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AAF" w:rsidRDefault="00114AAF">
      <w:pPr>
        <w:rPr>
          <w:rFonts w:hint="cs"/>
        </w:rPr>
      </w:pPr>
    </w:p>
    <w:p w:rsidR="00721150" w:rsidRDefault="002B6040" w:rsidP="00416BAB">
      <w:pPr>
        <w:spacing w:before="120" w:line="360" w:lineRule="auto"/>
        <w:jc w:val="right"/>
        <w:rPr>
          <w:rFonts w:ascii="Arial" w:hAnsi="Arial" w:cs="David"/>
          <w:rtl/>
        </w:rPr>
      </w:pPr>
      <w:r>
        <w:rPr>
          <w:rFonts w:ascii="Arial" w:hAnsi="Arial" w:cs="David" w:hint="cs"/>
          <w:rtl/>
        </w:rPr>
        <w:t>2 בדצמבר</w:t>
      </w:r>
      <w:bookmarkStart w:id="0" w:name="_GoBack"/>
      <w:bookmarkEnd w:id="0"/>
      <w:r w:rsidR="00114AAF">
        <w:rPr>
          <w:rFonts w:ascii="Arial" w:hAnsi="Arial" w:cs="David" w:hint="cs"/>
          <w:rtl/>
        </w:rPr>
        <w:t xml:space="preserve"> 2015</w:t>
      </w:r>
    </w:p>
    <w:p w:rsidR="00114AAF" w:rsidRDefault="00114AAF" w:rsidP="00416BAB">
      <w:pPr>
        <w:jc w:val="both"/>
        <w:rPr>
          <w:rFonts w:ascii="Arial" w:hAnsi="Arial" w:cs="David"/>
          <w:rtl/>
        </w:rPr>
      </w:pPr>
      <w:r>
        <w:rPr>
          <w:rFonts w:ascii="Arial" w:hAnsi="Arial" w:cs="David" w:hint="cs"/>
          <w:rtl/>
        </w:rPr>
        <w:t>לכבוד</w:t>
      </w:r>
    </w:p>
    <w:p w:rsidR="00114AAF" w:rsidRDefault="00114AAF" w:rsidP="00416BAB">
      <w:pPr>
        <w:jc w:val="both"/>
        <w:rPr>
          <w:rFonts w:ascii="Arial" w:hAnsi="Arial" w:cs="David"/>
          <w:rtl/>
        </w:rPr>
      </w:pPr>
      <w:r>
        <w:rPr>
          <w:rFonts w:ascii="Arial" w:hAnsi="Arial" w:cs="David" w:hint="cs"/>
          <w:rtl/>
        </w:rPr>
        <w:t>ח"כ סתיו שפיר, יו"ר</w:t>
      </w:r>
    </w:p>
    <w:p w:rsidR="00114AAF" w:rsidRDefault="00114AAF" w:rsidP="00416BAB">
      <w:pPr>
        <w:jc w:val="both"/>
        <w:rPr>
          <w:rFonts w:ascii="Arial" w:hAnsi="Arial" w:cs="David"/>
          <w:rtl/>
        </w:rPr>
      </w:pPr>
      <w:r>
        <w:rPr>
          <w:rFonts w:ascii="Arial" w:hAnsi="Arial" w:cs="David" w:hint="cs"/>
          <w:rtl/>
        </w:rPr>
        <w:t>הוועדה ה</w:t>
      </w:r>
      <w:r w:rsidRPr="00114AAF">
        <w:rPr>
          <w:rFonts w:ascii="Arial" w:hAnsi="Arial" w:cs="David"/>
          <w:rtl/>
        </w:rPr>
        <w:t xml:space="preserve">מיוחדת ליישום </w:t>
      </w:r>
      <w:proofErr w:type="spellStart"/>
      <w:r w:rsidRPr="00114AAF">
        <w:rPr>
          <w:rFonts w:ascii="Arial" w:hAnsi="Arial" w:cs="David"/>
          <w:rtl/>
        </w:rPr>
        <w:t>הנגשת</w:t>
      </w:r>
      <w:proofErr w:type="spellEnd"/>
      <w:r w:rsidRPr="00114AAF">
        <w:rPr>
          <w:rFonts w:ascii="Arial" w:hAnsi="Arial" w:cs="David"/>
          <w:rtl/>
        </w:rPr>
        <w:t xml:space="preserve"> המידע הממשלתי ועקרונות שקיפותו לציבור</w:t>
      </w:r>
    </w:p>
    <w:p w:rsidR="00114AAF" w:rsidRPr="00416BAB" w:rsidRDefault="00114AAF" w:rsidP="00416BAB">
      <w:pPr>
        <w:jc w:val="both"/>
        <w:rPr>
          <w:rFonts w:ascii="Arial" w:hAnsi="Arial" w:cs="David"/>
          <w:u w:val="single"/>
          <w:rtl/>
        </w:rPr>
      </w:pPr>
      <w:r w:rsidRPr="00416BAB">
        <w:rPr>
          <w:rFonts w:ascii="Arial" w:hAnsi="Arial" w:cs="David" w:hint="cs"/>
          <w:u w:val="single"/>
          <w:rtl/>
        </w:rPr>
        <w:t>הכנסת</w:t>
      </w:r>
    </w:p>
    <w:p w:rsidR="00114AAF" w:rsidRDefault="00114AAF" w:rsidP="00114AAF">
      <w:pPr>
        <w:spacing w:before="120" w:line="360" w:lineRule="auto"/>
        <w:jc w:val="both"/>
        <w:rPr>
          <w:rFonts w:ascii="Arial" w:hAnsi="Arial" w:cs="David"/>
          <w:rtl/>
        </w:rPr>
      </w:pPr>
    </w:p>
    <w:p w:rsidR="00114AAF" w:rsidRDefault="00114AAF" w:rsidP="00114AAF">
      <w:pPr>
        <w:spacing w:before="120" w:line="360" w:lineRule="auto"/>
        <w:jc w:val="both"/>
        <w:rPr>
          <w:rFonts w:ascii="Arial" w:hAnsi="Arial" w:cs="David"/>
          <w:rtl/>
        </w:rPr>
      </w:pPr>
      <w:r>
        <w:rPr>
          <w:rFonts w:ascii="Arial" w:hAnsi="Arial" w:cs="David" w:hint="cs"/>
          <w:rtl/>
        </w:rPr>
        <w:t>שלום רב,</w:t>
      </w:r>
    </w:p>
    <w:p w:rsidR="00114AAF" w:rsidRPr="00416BAB" w:rsidRDefault="00114AAF" w:rsidP="00416BAB">
      <w:pPr>
        <w:spacing w:before="120" w:line="360" w:lineRule="auto"/>
        <w:jc w:val="center"/>
        <w:rPr>
          <w:rFonts w:ascii="Arial" w:hAnsi="Arial" w:cs="David"/>
          <w:b/>
          <w:bCs/>
          <w:u w:val="single"/>
          <w:rtl/>
        </w:rPr>
      </w:pPr>
      <w:r w:rsidRPr="00416BAB">
        <w:rPr>
          <w:rFonts w:ascii="Arial" w:hAnsi="Arial" w:cs="David" w:hint="cs"/>
          <w:rtl/>
        </w:rPr>
        <w:t xml:space="preserve">הנדון: </w:t>
      </w:r>
      <w:r w:rsidRPr="00416BAB">
        <w:rPr>
          <w:rFonts w:ascii="Arial" w:hAnsi="Arial" w:cs="David" w:hint="cs"/>
          <w:b/>
          <w:bCs/>
          <w:u w:val="single"/>
          <w:rtl/>
        </w:rPr>
        <w:t>שקיפות במועצת מקרקעי ישראל</w:t>
      </w:r>
    </w:p>
    <w:p w:rsidR="00114AAF" w:rsidRDefault="00114AAF" w:rsidP="0027020F">
      <w:pPr>
        <w:spacing w:before="120" w:line="360" w:lineRule="auto"/>
        <w:jc w:val="both"/>
        <w:rPr>
          <w:rFonts w:ascii="Arial" w:hAnsi="Arial" w:cs="David"/>
          <w:rtl/>
        </w:rPr>
      </w:pPr>
      <w:r>
        <w:rPr>
          <w:rFonts w:ascii="Arial" w:hAnsi="Arial" w:cs="David" w:hint="cs"/>
          <w:rtl/>
        </w:rPr>
        <w:t xml:space="preserve">לקראת הדיון </w:t>
      </w:r>
      <w:r w:rsidR="00416BAB">
        <w:rPr>
          <w:rFonts w:ascii="Arial" w:hAnsi="Arial" w:cs="David" w:hint="cs"/>
          <w:rtl/>
        </w:rPr>
        <w:t xml:space="preserve">בנושא שבנדון </w:t>
      </w:r>
      <w:r>
        <w:rPr>
          <w:rFonts w:ascii="Arial" w:hAnsi="Arial" w:cs="David" w:hint="cs"/>
          <w:rtl/>
        </w:rPr>
        <w:t xml:space="preserve">בוועדה שבראשותך ביום </w:t>
      </w:r>
      <w:r w:rsidR="0027020F">
        <w:rPr>
          <w:rFonts w:ascii="Arial" w:hAnsi="Arial" w:cs="David" w:hint="cs"/>
          <w:rtl/>
        </w:rPr>
        <w:t>9</w:t>
      </w:r>
      <w:r>
        <w:rPr>
          <w:rFonts w:ascii="Arial" w:hAnsi="Arial" w:cs="David" w:hint="cs"/>
          <w:rtl/>
        </w:rPr>
        <w:t>.12.15, להלן עמדת האגודה לזכויות האזרח בישראל</w:t>
      </w:r>
      <w:r w:rsidR="00416BAB">
        <w:rPr>
          <w:rFonts w:ascii="Arial" w:hAnsi="Arial" w:cs="David" w:hint="cs"/>
          <w:rtl/>
        </w:rPr>
        <w:t>.</w:t>
      </w:r>
    </w:p>
    <w:p w:rsidR="00114AAF" w:rsidRDefault="003F51CD" w:rsidP="003F51CD">
      <w:pPr>
        <w:spacing w:before="120" w:line="360" w:lineRule="auto"/>
        <w:jc w:val="both"/>
        <w:rPr>
          <w:rFonts w:ascii="Arial" w:hAnsi="Arial" w:cs="David"/>
          <w:rtl/>
        </w:rPr>
      </w:pPr>
      <w:r>
        <w:rPr>
          <w:rFonts w:ascii="Arial" w:hAnsi="Arial" w:cs="David" w:hint="cs"/>
          <w:rtl/>
        </w:rPr>
        <w:t xml:space="preserve">רשות מקרקעי ישראל אחראית על ניהול קרקעות המדינה ומועצת מקרקעי ישראל הינה הגוף הקובע את מדיניותה. ההחלטות המתקבלות במועצת מקרקעי ישראל הינן בעלת השלכות מרחיקות לכת על מדיניות המקרקעין בישראל, על אופן חלוקת משאב הקרקע ועל הנגישות השווה של הציבור לקרקעות. </w:t>
      </w:r>
    </w:p>
    <w:p w:rsidR="003F51CD" w:rsidRPr="003F51CD" w:rsidRDefault="003F51CD" w:rsidP="00AC18DB">
      <w:pPr>
        <w:spacing w:before="120" w:line="360" w:lineRule="auto"/>
        <w:jc w:val="both"/>
        <w:rPr>
          <w:rFonts w:ascii="Arial" w:hAnsi="Arial" w:cs="David"/>
        </w:rPr>
      </w:pPr>
      <w:r w:rsidRPr="003F51CD">
        <w:rPr>
          <w:rFonts w:ascii="Arial" w:hAnsi="Arial" w:cs="David"/>
          <w:rtl/>
        </w:rPr>
        <w:t xml:space="preserve">המועצה דנה </w:t>
      </w:r>
      <w:r w:rsidR="00AC18DB">
        <w:rPr>
          <w:rFonts w:ascii="Arial" w:hAnsi="Arial" w:cs="David" w:hint="cs"/>
          <w:rtl/>
        </w:rPr>
        <w:t>בין היתר</w:t>
      </w:r>
      <w:r w:rsidRPr="003F51CD">
        <w:rPr>
          <w:rFonts w:ascii="Arial" w:hAnsi="Arial" w:cs="David"/>
          <w:rtl/>
        </w:rPr>
        <w:t xml:space="preserve"> בהקצאת קרקעות למטרות שונות, </w:t>
      </w:r>
      <w:r w:rsidR="00AC18DB">
        <w:rPr>
          <w:rFonts w:ascii="Arial" w:hAnsi="Arial" w:cs="David" w:hint="cs"/>
          <w:rtl/>
        </w:rPr>
        <w:t xml:space="preserve">במתן </w:t>
      </w:r>
      <w:r w:rsidRPr="003F51CD">
        <w:rPr>
          <w:rFonts w:ascii="Arial" w:hAnsi="Arial" w:cs="David"/>
          <w:rtl/>
        </w:rPr>
        <w:t xml:space="preserve">הנחות בקרקע, </w:t>
      </w:r>
      <w:r w:rsidR="00AC18DB">
        <w:rPr>
          <w:rFonts w:ascii="Arial" w:hAnsi="Arial" w:cs="David" w:hint="cs"/>
          <w:rtl/>
        </w:rPr>
        <w:t>ב</w:t>
      </w:r>
      <w:r w:rsidRPr="003F51CD">
        <w:rPr>
          <w:rFonts w:ascii="Arial" w:hAnsi="Arial" w:cs="David"/>
          <w:rtl/>
        </w:rPr>
        <w:t xml:space="preserve">פיצוי חקלאים על שינוי יעוד של קרקע חקלאית, </w:t>
      </w:r>
      <w:r w:rsidR="00AC18DB">
        <w:rPr>
          <w:rFonts w:ascii="Arial" w:hAnsi="Arial" w:cs="David" w:hint="cs"/>
          <w:rtl/>
        </w:rPr>
        <w:t>בסוגי ה</w:t>
      </w:r>
      <w:r w:rsidRPr="003F51CD">
        <w:rPr>
          <w:rFonts w:ascii="Arial" w:hAnsi="Arial" w:cs="David"/>
          <w:rtl/>
        </w:rPr>
        <w:t>מכרזים</w:t>
      </w:r>
      <w:r w:rsidR="00AC18DB">
        <w:rPr>
          <w:rFonts w:ascii="Arial" w:hAnsi="Arial" w:cs="David" w:hint="cs"/>
          <w:rtl/>
        </w:rPr>
        <w:t xml:space="preserve"> ותנאי מכרזים</w:t>
      </w:r>
      <w:r w:rsidRPr="003F51CD">
        <w:rPr>
          <w:rFonts w:ascii="Arial" w:hAnsi="Arial" w:cs="David"/>
          <w:rtl/>
        </w:rPr>
        <w:t>, במתן פטור ממכרז לגופים שונים, במדיניות של דיור להשכרה, דיור בהישג יד ודיור למשתכן, בקריטריונים לזכאות להתמודד על קרקעות מדינה</w:t>
      </w:r>
      <w:r w:rsidR="00152FE1">
        <w:rPr>
          <w:rFonts w:ascii="Arial" w:hAnsi="Arial" w:cs="David" w:hint="cs"/>
          <w:rtl/>
        </w:rPr>
        <w:t xml:space="preserve"> ועוד</w:t>
      </w:r>
      <w:r w:rsidRPr="003F51CD">
        <w:rPr>
          <w:rFonts w:ascii="Arial" w:hAnsi="Arial" w:cs="David"/>
          <w:rtl/>
        </w:rPr>
        <w:t xml:space="preserve">. </w:t>
      </w:r>
    </w:p>
    <w:p w:rsidR="003F51CD" w:rsidRPr="003F51CD" w:rsidRDefault="003F51CD" w:rsidP="003F51CD">
      <w:pPr>
        <w:spacing w:before="120" w:line="360" w:lineRule="auto"/>
        <w:jc w:val="both"/>
        <w:rPr>
          <w:rFonts w:ascii="Arial" w:hAnsi="Arial" w:cs="David"/>
          <w:rtl/>
        </w:rPr>
      </w:pPr>
      <w:r w:rsidRPr="003F51CD">
        <w:rPr>
          <w:rFonts w:ascii="Arial" w:hAnsi="Arial" w:cs="David"/>
          <w:rtl/>
        </w:rPr>
        <w:t xml:space="preserve">נושאים אלו מעוררים גם עניינים של צדק חלוקתי בין קבוצות שונות בחברה, </w:t>
      </w:r>
      <w:r w:rsidR="00AC18DB">
        <w:rPr>
          <w:rFonts w:ascii="Arial" w:hAnsi="Arial" w:cs="David" w:hint="cs"/>
          <w:rtl/>
        </w:rPr>
        <w:t xml:space="preserve">וגם </w:t>
      </w:r>
      <w:r w:rsidRPr="003F51CD">
        <w:rPr>
          <w:rFonts w:ascii="Arial" w:hAnsi="Arial" w:cs="David"/>
          <w:rtl/>
        </w:rPr>
        <w:t xml:space="preserve">סוגיות של שוויון בנגישות לקרקעות המדינה. </w:t>
      </w:r>
    </w:p>
    <w:p w:rsidR="00AC18DB" w:rsidRDefault="00AC18DB" w:rsidP="00AC18DB">
      <w:pPr>
        <w:spacing w:before="120" w:line="360" w:lineRule="auto"/>
        <w:jc w:val="both"/>
        <w:rPr>
          <w:rFonts w:ascii="Arial" w:hAnsi="Arial" w:cs="David"/>
          <w:rtl/>
        </w:rPr>
      </w:pPr>
      <w:r>
        <w:rPr>
          <w:rFonts w:ascii="Arial" w:hAnsi="Arial" w:cs="David" w:hint="cs"/>
          <w:rtl/>
        </w:rPr>
        <w:t xml:space="preserve">למרות החשיבות הרבה של הנושאים הנדונים במועצה, היא גוף מאוד לא שקוף. עד לאחרונה אפילו החלטות המועצה לא פורסמו. רק בעקבות תיקון חקיקה משנת 2012 נקבע כי </w:t>
      </w:r>
      <w:r w:rsidRPr="00AC18DB">
        <w:rPr>
          <w:rFonts w:ascii="Arial" w:hAnsi="Arial" w:cs="David" w:hint="cs"/>
          <w:rtl/>
        </w:rPr>
        <w:t>"החלטה של המועצה או של ועדה מ</w:t>
      </w:r>
      <w:r>
        <w:rPr>
          <w:rFonts w:ascii="Arial" w:hAnsi="Arial" w:cs="David" w:hint="cs"/>
          <w:rtl/>
        </w:rPr>
        <w:t>ו</w:t>
      </w:r>
      <w:r w:rsidRPr="00AC18DB">
        <w:rPr>
          <w:rFonts w:ascii="Arial" w:hAnsi="Arial" w:cs="David" w:hint="cs"/>
          <w:rtl/>
        </w:rPr>
        <w:t>ועדותיה, תפורסם ברשומות ובאתר האינטרנט של הרשות, אולם תחילת תוקפה לא תהיה מותנית בפרסומה אלא אם כן נקבע אחרת בהחלטה</w:t>
      </w:r>
      <w:r>
        <w:rPr>
          <w:rFonts w:ascii="Arial" w:hAnsi="Arial" w:cs="David" w:hint="cs"/>
          <w:rtl/>
        </w:rPr>
        <w:t xml:space="preserve">". מכאן, שהחלטות יכולות להתפרסם זמן ממושך לאחר קבלתן. ואכן </w:t>
      </w:r>
      <w:r>
        <w:rPr>
          <w:rFonts w:ascii="Arial" w:hAnsi="Arial" w:cs="David"/>
          <w:rtl/>
        </w:rPr>
        <w:t>–</w:t>
      </w:r>
      <w:r>
        <w:rPr>
          <w:rFonts w:ascii="Arial" w:hAnsi="Arial" w:cs="David" w:hint="cs"/>
          <w:rtl/>
        </w:rPr>
        <w:t xml:space="preserve"> בעבר נתקלנו במקרים בהן החלטות של ועדות משנה, כמו למשל הוועדה לפטור ממכרז, פורסמו חודשים לאחר מועד קבלתן.</w:t>
      </w:r>
    </w:p>
    <w:p w:rsidR="00AC18DB" w:rsidRDefault="00AC18DB" w:rsidP="00AC18DB">
      <w:pPr>
        <w:spacing w:before="120" w:line="360" w:lineRule="auto"/>
        <w:jc w:val="both"/>
        <w:rPr>
          <w:rFonts w:ascii="Arial" w:hAnsi="Arial" w:cs="David"/>
          <w:rtl/>
        </w:rPr>
      </w:pPr>
      <w:r>
        <w:rPr>
          <w:rFonts w:ascii="Arial" w:hAnsi="Arial" w:cs="David" w:hint="cs"/>
          <w:rtl/>
        </w:rPr>
        <w:t xml:space="preserve">תיקון זה חיובי אך אינו הופך את עבודת המועצה לשקופה במידה הנדרשת והמצופה. </w:t>
      </w:r>
      <w:r w:rsidR="00B03E7B">
        <w:rPr>
          <w:rFonts w:ascii="Arial" w:hAnsi="Arial" w:cs="David" w:hint="cs"/>
          <w:rtl/>
        </w:rPr>
        <w:t xml:space="preserve">רחוק מכך. </w:t>
      </w:r>
      <w:r>
        <w:rPr>
          <w:rFonts w:ascii="Arial" w:hAnsi="Arial" w:cs="David" w:hint="cs"/>
          <w:rtl/>
        </w:rPr>
        <w:t>כך, למשל, מעבר להחלטה עצמה, הפרוטוקולים לא מפורסמים כך שאין לדעת מה היה הבסיס לקבלת ההחלטה ומה הנימוקים להחלטה מסוימת</w:t>
      </w:r>
      <w:r w:rsidR="00B03E7B">
        <w:rPr>
          <w:rFonts w:ascii="Arial" w:hAnsi="Arial" w:cs="David" w:hint="cs"/>
          <w:rtl/>
        </w:rPr>
        <w:t xml:space="preserve"> (אלא אם פונים במיוחד בבקשת חופש מידע)</w:t>
      </w:r>
      <w:r>
        <w:rPr>
          <w:rFonts w:ascii="Arial" w:hAnsi="Arial" w:cs="David" w:hint="cs"/>
          <w:rtl/>
        </w:rPr>
        <w:t xml:space="preserve">. אם גופים שונים פנו למועצה במטרה לשכנע אותה לפעול בדרך כלשהי, אין הדבר שקוף לציבור. גם סדר היום של ישיבות המועצה מפורסם זמן קצר לפני הדיון </w:t>
      </w:r>
      <w:r w:rsidR="002970BA">
        <w:rPr>
          <w:rFonts w:ascii="Arial" w:hAnsi="Arial" w:cs="David" w:hint="cs"/>
          <w:rtl/>
        </w:rPr>
        <w:t xml:space="preserve">ותקופה זו קוצרה לשבוע לפני כמה חודשים. </w:t>
      </w:r>
      <w:r>
        <w:rPr>
          <w:rFonts w:ascii="Arial" w:hAnsi="Arial" w:cs="David" w:hint="cs"/>
          <w:rtl/>
        </w:rPr>
        <w:t xml:space="preserve"> </w:t>
      </w:r>
    </w:p>
    <w:p w:rsidR="00917A94" w:rsidRDefault="002970BA" w:rsidP="00AC18DB">
      <w:pPr>
        <w:spacing w:before="120" w:line="360" w:lineRule="auto"/>
        <w:jc w:val="both"/>
        <w:rPr>
          <w:rFonts w:ascii="Arial" w:hAnsi="Arial" w:cs="David"/>
          <w:rtl/>
        </w:rPr>
      </w:pPr>
      <w:r>
        <w:rPr>
          <w:rFonts w:ascii="Arial" w:hAnsi="Arial" w:cs="David" w:hint="cs"/>
          <w:rtl/>
        </w:rPr>
        <w:t xml:space="preserve">ראוי לציין בהקשר זה כי מדיניות המקרקעין מתחלקת בין עולם התכנון לבין עולם השיווק. בעולם התכנון השקיפות היא הרבה יותר משמעותית. </w:t>
      </w:r>
      <w:r w:rsidR="00917A94">
        <w:rPr>
          <w:rFonts w:ascii="Arial" w:hAnsi="Arial" w:cs="David" w:hint="cs"/>
          <w:rtl/>
        </w:rPr>
        <w:t xml:space="preserve">באתר תכנון זמין של </w:t>
      </w:r>
      <w:proofErr w:type="spellStart"/>
      <w:r w:rsidR="00917A94">
        <w:rPr>
          <w:rFonts w:ascii="Arial" w:hAnsi="Arial" w:cs="David" w:hint="cs"/>
          <w:rtl/>
        </w:rPr>
        <w:t>מינהל</w:t>
      </w:r>
      <w:proofErr w:type="spellEnd"/>
      <w:r w:rsidR="00917A94">
        <w:rPr>
          <w:rFonts w:ascii="Arial" w:hAnsi="Arial" w:cs="David" w:hint="cs"/>
          <w:rtl/>
        </w:rPr>
        <w:t xml:space="preserve"> התכנון ניתן </w:t>
      </w:r>
      <w:r w:rsidR="00917A94">
        <w:rPr>
          <w:rFonts w:ascii="Arial" w:hAnsi="Arial" w:cs="David" w:hint="cs"/>
          <w:rtl/>
        </w:rPr>
        <w:lastRenderedPageBreak/>
        <w:t xml:space="preserve">לראות כל תכנית המקודמת, </w:t>
      </w:r>
      <w:r>
        <w:rPr>
          <w:rFonts w:ascii="Arial" w:hAnsi="Arial" w:cs="David" w:hint="cs"/>
          <w:rtl/>
        </w:rPr>
        <w:t xml:space="preserve">כל ישיבה של ועדת תכנון מוקלטת </w:t>
      </w:r>
      <w:proofErr w:type="spellStart"/>
      <w:r>
        <w:rPr>
          <w:rFonts w:ascii="Arial" w:hAnsi="Arial" w:cs="David" w:hint="cs"/>
          <w:rtl/>
        </w:rPr>
        <w:t>ומתומללת</w:t>
      </w:r>
      <w:proofErr w:type="spellEnd"/>
      <w:r>
        <w:rPr>
          <w:rFonts w:ascii="Arial" w:hAnsi="Arial" w:cs="David" w:hint="cs"/>
          <w:rtl/>
        </w:rPr>
        <w:t xml:space="preserve"> ו</w:t>
      </w:r>
      <w:r w:rsidR="00917A94">
        <w:rPr>
          <w:rFonts w:ascii="Arial" w:hAnsi="Arial" w:cs="David" w:hint="cs"/>
          <w:rtl/>
        </w:rPr>
        <w:t xml:space="preserve">התמליל </w:t>
      </w:r>
      <w:r>
        <w:rPr>
          <w:rFonts w:ascii="Arial" w:hAnsi="Arial" w:cs="David" w:hint="cs"/>
          <w:rtl/>
        </w:rPr>
        <w:t>עולה לאתר,</w:t>
      </w:r>
      <w:r w:rsidR="00917A94">
        <w:rPr>
          <w:rFonts w:ascii="Arial" w:hAnsi="Arial" w:cs="David" w:hint="cs"/>
          <w:rtl/>
        </w:rPr>
        <w:t xml:space="preserve"> רשימת ההתנגדויות מפורסמת ו</w:t>
      </w:r>
      <w:r w:rsidR="001D6C84">
        <w:rPr>
          <w:rFonts w:ascii="Arial" w:hAnsi="Arial" w:cs="David" w:hint="cs"/>
          <w:rtl/>
        </w:rPr>
        <w:t xml:space="preserve">כך גם </w:t>
      </w:r>
      <w:r w:rsidR="00917A94">
        <w:rPr>
          <w:rFonts w:ascii="Arial" w:hAnsi="Arial" w:cs="David" w:hint="cs"/>
          <w:rtl/>
        </w:rPr>
        <w:t xml:space="preserve">כל ההחלטות, המפות והתסקירים. </w:t>
      </w:r>
    </w:p>
    <w:p w:rsidR="00C834E0" w:rsidRDefault="00C834E0" w:rsidP="00AC18DB">
      <w:pPr>
        <w:spacing w:before="120" w:line="360" w:lineRule="auto"/>
        <w:jc w:val="both"/>
        <w:rPr>
          <w:rFonts w:ascii="Arial" w:hAnsi="Arial" w:cs="David"/>
          <w:rtl/>
        </w:rPr>
      </w:pPr>
      <w:r>
        <w:rPr>
          <w:rFonts w:ascii="Arial" w:hAnsi="Arial" w:cs="David" w:hint="cs"/>
          <w:rtl/>
        </w:rPr>
        <w:t xml:space="preserve">גם בעניין שיתוף הציבור פעילות המועצה לוקה בחסר ולמעשה אין כל הליך מסודר לשיתוף הציבור, למעט פרסום סדר היום שבוע לפני הדיון. </w:t>
      </w:r>
    </w:p>
    <w:p w:rsidR="00C834E0" w:rsidRPr="00B03E7B" w:rsidRDefault="00C834E0" w:rsidP="00AC18DB">
      <w:pPr>
        <w:spacing w:before="120" w:line="360" w:lineRule="auto"/>
        <w:jc w:val="both"/>
        <w:rPr>
          <w:rFonts w:ascii="Arial" w:hAnsi="Arial" w:cs="David"/>
          <w:b/>
          <w:bCs/>
          <w:rtl/>
        </w:rPr>
      </w:pPr>
      <w:r w:rsidRPr="00B03E7B">
        <w:rPr>
          <w:rFonts w:ascii="Arial" w:hAnsi="Arial" w:cs="David" w:hint="cs"/>
          <w:b/>
          <w:bCs/>
          <w:rtl/>
        </w:rPr>
        <w:t>לאור זאת יש לקדם שינויים אלו:</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להאריך את תקופת הפרסום של סדר היום של המועצה לתקופה של שלושה שבועות לפחות ולפרסם גם חומר רקע המסביר את מהות ההחלטה העומדת לדיון</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לפרסם מראש את כל החומרים העומדים בפני המועצה, לרבות חוות דעת כלכליות, סביבתית וכל החומר הרלוונטי לדיון</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ליזום פניה לגופים רלוונטיים לקבלת התייחסותם בדומה להליך של הפצת תזכירי חוק או תקנות</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לאפשר לציבור להגיע ולהשקיף בישיבות המועצה, לפחות בחלק של הדיון</w:t>
      </w:r>
      <w:r w:rsidR="001D6C84">
        <w:rPr>
          <w:rFonts w:ascii="Arial" w:hAnsi="Arial" w:cs="David" w:hint="cs"/>
          <w:rtl/>
        </w:rPr>
        <w:t>.</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להגדיל את המשקיפים הקבועים, כמו למשל, לאפשר נציגות לנציג הארגונים החברתיים, שמעמדם עוגן לאחרונה בתיקון לחוק התכנון והבניה</w:t>
      </w:r>
      <w:r w:rsidR="00B03E7B" w:rsidRPr="00B03E7B">
        <w:rPr>
          <w:rFonts w:ascii="Arial" w:hAnsi="Arial" w:cs="David" w:hint="cs"/>
          <w:rtl/>
        </w:rPr>
        <w:t>.</w:t>
      </w:r>
    </w:p>
    <w:p w:rsidR="00B03E7B" w:rsidRPr="00B03E7B" w:rsidRDefault="00B03E7B"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לאפשר לגורמים שהגישו נייר עמדה לטעון גם בעל פה מול חברי המועצה ולנכוח בדיון</w:t>
      </w:r>
      <w:r w:rsidR="001D6C84">
        <w:rPr>
          <w:rFonts w:ascii="Arial" w:hAnsi="Arial" w:cs="David" w:hint="cs"/>
          <w:rtl/>
        </w:rPr>
        <w:t>.</w:t>
      </w:r>
    </w:p>
    <w:p w:rsidR="00B03E7B" w:rsidRPr="00B03E7B" w:rsidRDefault="00B03E7B"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לפרסם באתר את כל ניירות העמדה שהוגשו למועצה כדי שיהיו נגישים לקריאה לכלל הציבור</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לפרסם בתוך זמן סביר את תמליל הישיבה והפרוטוקולים</w:t>
      </w:r>
      <w:r w:rsidR="001D6C84">
        <w:rPr>
          <w:rFonts w:ascii="Arial" w:hAnsi="Arial" w:cs="David" w:hint="cs"/>
          <w:rtl/>
        </w:rPr>
        <w:t>.</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לפרסם כל ההחלטות ולא רק באופן משפטי אלא עם דברי הסבר המסבירים בשפה מובנת מה משמעות ההחלטה.</w:t>
      </w:r>
    </w:p>
    <w:p w:rsidR="00C834E0" w:rsidRPr="00B03E7B" w:rsidRDefault="00C834E0" w:rsidP="00B03E7B">
      <w:pPr>
        <w:pStyle w:val="a8"/>
        <w:numPr>
          <w:ilvl w:val="0"/>
          <w:numId w:val="1"/>
        </w:numPr>
        <w:spacing w:before="120" w:line="360" w:lineRule="auto"/>
        <w:jc w:val="both"/>
        <w:rPr>
          <w:rFonts w:ascii="Arial" w:hAnsi="Arial" w:cs="David"/>
          <w:rtl/>
        </w:rPr>
      </w:pPr>
      <w:r w:rsidRPr="00B03E7B">
        <w:rPr>
          <w:rFonts w:ascii="Arial" w:hAnsi="Arial" w:cs="David" w:hint="cs"/>
          <w:rtl/>
        </w:rPr>
        <w:t>להחיל את כל האמור גם על החלטות ועדות המשנה של המועצה וההנהלה של הרשות.</w:t>
      </w:r>
    </w:p>
    <w:p w:rsidR="00B03E7B" w:rsidRDefault="00B03E7B" w:rsidP="00B03E7B">
      <w:pPr>
        <w:pStyle w:val="a8"/>
        <w:numPr>
          <w:ilvl w:val="0"/>
          <w:numId w:val="1"/>
        </w:numPr>
        <w:spacing w:before="120" w:line="360" w:lineRule="auto"/>
        <w:jc w:val="both"/>
        <w:rPr>
          <w:rFonts w:ascii="Arial" w:hAnsi="Arial" w:cs="David"/>
        </w:rPr>
      </w:pPr>
      <w:r w:rsidRPr="00B03E7B">
        <w:rPr>
          <w:rFonts w:ascii="Arial" w:hAnsi="Arial" w:cs="David" w:hint="cs"/>
          <w:rtl/>
        </w:rPr>
        <w:t>לפרסם חוות דעת על ניגוד עניינים של חברי המועצה או הנהלת הרשות</w:t>
      </w:r>
      <w:r w:rsidR="001D6C84">
        <w:rPr>
          <w:rFonts w:ascii="Arial" w:hAnsi="Arial" w:cs="David" w:hint="cs"/>
          <w:rtl/>
        </w:rPr>
        <w:t>.</w:t>
      </w:r>
    </w:p>
    <w:p w:rsidR="00B03E7B" w:rsidRDefault="00B03E7B" w:rsidP="00AC18DB">
      <w:pPr>
        <w:spacing w:before="120" w:line="360" w:lineRule="auto"/>
        <w:jc w:val="both"/>
        <w:rPr>
          <w:rFonts w:ascii="Arial" w:hAnsi="Arial" w:cs="David"/>
          <w:rtl/>
        </w:rPr>
      </w:pPr>
    </w:p>
    <w:p w:rsidR="00721150" w:rsidRDefault="00B03E7B" w:rsidP="00B03E7B">
      <w:pPr>
        <w:spacing w:before="120" w:line="360" w:lineRule="auto"/>
        <w:jc w:val="both"/>
        <w:rPr>
          <w:rFonts w:ascii="Arial" w:hAnsi="Arial" w:cs="David"/>
          <w:rtl/>
        </w:rPr>
      </w:pPr>
      <w:r>
        <w:rPr>
          <w:rFonts w:ascii="Arial" w:hAnsi="Arial" w:cs="David" w:hint="cs"/>
          <w:rtl/>
        </w:rPr>
        <w:t xml:space="preserve">אנו מאמינים כי השקיפות אינה רק חיונית להליך תקין, למאבק בשחיתות, ולקבלת החלטות ענייניות אלא גם יש בה כדי להבטיח קבלת החלטות טובות יותר הלוקחות בחשבון את כלל השיקולים הרלוונטיים. </w:t>
      </w:r>
    </w:p>
    <w:p w:rsidR="00B03E7B" w:rsidRDefault="00B03E7B" w:rsidP="00B03E7B">
      <w:pPr>
        <w:spacing w:before="120" w:line="360" w:lineRule="auto"/>
        <w:jc w:val="both"/>
        <w:rPr>
          <w:rFonts w:ascii="Arial" w:hAnsi="Arial" w:cs="David"/>
          <w:rtl/>
        </w:rPr>
      </w:pPr>
    </w:p>
    <w:p w:rsidR="00B03E7B" w:rsidRDefault="00B03E7B" w:rsidP="00B03E7B">
      <w:pPr>
        <w:spacing w:before="120" w:line="360" w:lineRule="auto"/>
        <w:ind w:left="3600"/>
        <w:jc w:val="both"/>
        <w:rPr>
          <w:rFonts w:ascii="Arial" w:hAnsi="Arial" w:cs="David"/>
          <w:rtl/>
        </w:rPr>
      </w:pPr>
      <w:r>
        <w:rPr>
          <w:rFonts w:ascii="Arial" w:hAnsi="Arial" w:cs="David" w:hint="cs"/>
          <w:rtl/>
        </w:rPr>
        <w:t xml:space="preserve">בכבוד רב, </w:t>
      </w:r>
    </w:p>
    <w:p w:rsidR="00B03E7B" w:rsidRDefault="00B03E7B" w:rsidP="00B03E7B">
      <w:pPr>
        <w:spacing w:before="120" w:line="360" w:lineRule="auto"/>
        <w:ind w:left="3600"/>
        <w:jc w:val="both"/>
        <w:rPr>
          <w:rFonts w:ascii="Arial" w:hAnsi="Arial" w:cs="David"/>
          <w:rtl/>
        </w:rPr>
      </w:pPr>
      <w:r>
        <w:rPr>
          <w:rFonts w:ascii="Arial" w:hAnsi="Arial" w:cs="David" w:hint="cs"/>
          <w:noProof/>
          <w:rtl/>
        </w:rPr>
        <w:drawing>
          <wp:inline distT="0" distB="0" distL="0" distR="0">
            <wp:extent cx="870290" cy="476250"/>
            <wp:effectExtent l="0" t="0" r="635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תימה.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70290" cy="476250"/>
                    </a:xfrm>
                    <a:prstGeom prst="rect">
                      <a:avLst/>
                    </a:prstGeom>
                  </pic:spPr>
                </pic:pic>
              </a:graphicData>
            </a:graphic>
          </wp:inline>
        </w:drawing>
      </w:r>
    </w:p>
    <w:p w:rsidR="00B03E7B" w:rsidRDefault="00B03E7B" w:rsidP="00B03E7B">
      <w:pPr>
        <w:spacing w:before="120" w:line="360" w:lineRule="auto"/>
        <w:ind w:left="3600"/>
        <w:jc w:val="both"/>
        <w:rPr>
          <w:rFonts w:ascii="Arial" w:hAnsi="Arial" w:cs="David"/>
          <w:rtl/>
        </w:rPr>
      </w:pPr>
      <w:r>
        <w:rPr>
          <w:rFonts w:ascii="Arial" w:hAnsi="Arial" w:cs="David" w:hint="cs"/>
          <w:rtl/>
        </w:rPr>
        <w:t>גיל גן-מור, עו"ד</w:t>
      </w:r>
    </w:p>
    <w:p w:rsidR="00B03E7B" w:rsidRPr="009B10D1" w:rsidRDefault="00B03E7B" w:rsidP="00B03E7B">
      <w:pPr>
        <w:spacing w:before="120" w:line="360" w:lineRule="auto"/>
        <w:ind w:left="3600"/>
        <w:jc w:val="both"/>
        <w:rPr>
          <w:rFonts w:ascii="Arial" w:hAnsi="Arial" w:cs="David"/>
          <w:rtl/>
        </w:rPr>
      </w:pPr>
      <w:r>
        <w:rPr>
          <w:rFonts w:ascii="Arial" w:hAnsi="Arial" w:cs="David" w:hint="cs"/>
          <w:rtl/>
        </w:rPr>
        <w:t>מנהל היחידה לזכויות חברתיות</w:t>
      </w:r>
    </w:p>
    <w:sectPr w:rsidR="00B03E7B" w:rsidRPr="009B10D1" w:rsidSect="000A76FA">
      <w:headerReference w:type="even" r:id="rId9"/>
      <w:headerReference w:type="default" r:id="rId10"/>
      <w:footerReference w:type="default" r:id="rId11"/>
      <w:headerReference w:type="first" r:id="rId12"/>
      <w:footerReference w:type="first" r:id="rId13"/>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B2F" w:rsidRDefault="002B0B2F">
      <w:r>
        <w:separator/>
      </w:r>
    </w:p>
  </w:endnote>
  <w:endnote w:type="continuationSeparator" w:id="0">
    <w:p w:rsidR="002B0B2F" w:rsidRDefault="002B0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45" w:rsidRDefault="009A5C45" w:rsidP="00721150">
    <w:pPr>
      <w:pStyle w:val="a4"/>
      <w:pBdr>
        <w:bottom w:val="single" w:sz="6" w:space="1" w:color="auto"/>
      </w:pBdr>
      <w:rPr>
        <w:rtl/>
      </w:rPr>
    </w:pPr>
  </w:p>
  <w:p w:rsidR="009A5C45" w:rsidRPr="000A76FA" w:rsidRDefault="009A5C45" w:rsidP="00721150">
    <w:pPr>
      <w:pStyle w:val="a4"/>
      <w:jc w:val="center"/>
      <w:rPr>
        <w:rFonts w:ascii="Arial" w:hAnsi="Arial" w:cs="Arial"/>
        <w:sz w:val="20"/>
        <w:szCs w:val="20"/>
        <w:rtl/>
      </w:rPr>
    </w:pPr>
    <w:r w:rsidRPr="000A76FA">
      <w:rPr>
        <w:rFonts w:ascii="Arial" w:hAnsi="Arial" w:cs="Arial"/>
        <w:sz w:val="20"/>
        <w:szCs w:val="20"/>
        <w:rtl/>
      </w:rPr>
      <w:t>האגודה לזכויות האזרח, נחלת בנימין 75 תל אביב, טל': 03-5608185, פקס: 03-5608165</w:t>
    </w:r>
  </w:p>
  <w:p w:rsidR="009A5C45" w:rsidRPr="000A76FA" w:rsidRDefault="009A5C45" w:rsidP="00FE5710">
    <w:pPr>
      <w:pStyle w:val="a4"/>
      <w:jc w:val="center"/>
      <w:rPr>
        <w:rFonts w:ascii="Arial" w:hAnsi="Arial" w:cs="Arial"/>
        <w:sz w:val="20"/>
        <w:szCs w:val="20"/>
      </w:rPr>
    </w:pPr>
    <w:r w:rsidRPr="000A76FA">
      <w:rPr>
        <w:rFonts w:ascii="Arial" w:hAnsi="Arial" w:cs="Arial"/>
        <w:sz w:val="20"/>
        <w:szCs w:val="20"/>
        <w:rtl/>
      </w:rPr>
      <w:t xml:space="preserve">אתר: </w:t>
    </w:r>
    <w:hyperlink r:id="rId1" w:history="1">
      <w:r w:rsidRPr="000A76FA">
        <w:rPr>
          <w:rStyle w:val="Hyperlink"/>
          <w:rFonts w:ascii="Arial" w:hAnsi="Arial"/>
          <w:sz w:val="20"/>
        </w:rPr>
        <w:t>www.acri.org.il</w:t>
      </w:r>
    </w:hyperlink>
    <w:r w:rsidRPr="000A76FA">
      <w:rPr>
        <w:rFonts w:ascii="Arial" w:hAnsi="Arial" w:cs="Arial"/>
        <w:sz w:val="20"/>
        <w:szCs w:val="20"/>
        <w:rtl/>
      </w:rPr>
      <w:t xml:space="preserve">, </w:t>
    </w:r>
    <w:r w:rsidR="00FE5710">
      <w:rPr>
        <w:rFonts w:ascii="Arial" w:hAnsi="Arial" w:cs="Arial" w:hint="cs"/>
        <w:sz w:val="20"/>
        <w:szCs w:val="20"/>
        <w:rtl/>
      </w:rPr>
      <w:t>דוא"ל</w:t>
    </w:r>
    <w:r w:rsidRPr="000A76FA">
      <w:rPr>
        <w:rFonts w:ascii="Arial" w:hAnsi="Arial" w:cs="Arial"/>
        <w:sz w:val="20"/>
        <w:szCs w:val="20"/>
        <w:rtl/>
      </w:rPr>
      <w:t xml:space="preserve">: </w:t>
    </w:r>
    <w:hyperlink r:id="rId2" w:history="1">
      <w:r w:rsidR="00FE5710">
        <w:rPr>
          <w:rStyle w:val="Hyperlink"/>
          <w:rFonts w:ascii="Arial" w:hAnsi="Arial"/>
          <w:sz w:val="20"/>
        </w:rPr>
        <w:t>gil</w:t>
      </w:r>
      <w:r w:rsidRPr="00752CF6">
        <w:rPr>
          <w:rStyle w:val="Hyperlink"/>
          <w:rFonts w:ascii="Arial" w:hAnsi="Arial"/>
          <w:sz w:val="20"/>
        </w:rPr>
        <w:t>@acri.org.il</w:t>
      </w:r>
    </w:hyperlink>
  </w:p>
  <w:p w:rsidR="009A5C45" w:rsidRPr="00721150" w:rsidRDefault="009A5C4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45" w:rsidRDefault="009A5C45">
    <w:pPr>
      <w:pStyle w:val="a4"/>
      <w:pBdr>
        <w:bottom w:val="single" w:sz="6" w:space="1" w:color="auto"/>
      </w:pBdr>
      <w:rPr>
        <w:rtl/>
      </w:rPr>
    </w:pPr>
  </w:p>
  <w:p w:rsidR="009A5C45" w:rsidRPr="000A76FA" w:rsidRDefault="009A5C45" w:rsidP="000A76FA">
    <w:pPr>
      <w:pStyle w:val="a4"/>
      <w:jc w:val="center"/>
      <w:rPr>
        <w:rFonts w:ascii="Arial" w:hAnsi="Arial" w:cs="Arial"/>
        <w:sz w:val="20"/>
        <w:szCs w:val="20"/>
        <w:rtl/>
      </w:rPr>
    </w:pPr>
    <w:r w:rsidRPr="000A76FA">
      <w:rPr>
        <w:rFonts w:ascii="Arial" w:hAnsi="Arial" w:cs="Arial"/>
        <w:sz w:val="20"/>
        <w:szCs w:val="20"/>
        <w:rtl/>
      </w:rPr>
      <w:t>האגודה לזכויות האזרח</w:t>
    </w:r>
    <w:r>
      <w:rPr>
        <w:rFonts w:ascii="Arial" w:hAnsi="Arial" w:cs="Arial" w:hint="cs"/>
        <w:sz w:val="20"/>
        <w:szCs w:val="20"/>
        <w:rtl/>
      </w:rPr>
      <w:t xml:space="preserve"> בישראל (</w:t>
    </w:r>
    <w:proofErr w:type="spellStart"/>
    <w:r>
      <w:rPr>
        <w:rFonts w:ascii="Arial" w:hAnsi="Arial" w:cs="Arial" w:hint="cs"/>
        <w:sz w:val="20"/>
        <w:szCs w:val="20"/>
        <w:rtl/>
      </w:rPr>
      <w:t>ע"ר</w:t>
    </w:r>
    <w:proofErr w:type="spellEnd"/>
    <w:r>
      <w:rPr>
        <w:rFonts w:ascii="Arial" w:hAnsi="Arial" w:cs="Arial" w:hint="cs"/>
        <w:sz w:val="20"/>
        <w:szCs w:val="20"/>
        <w:rtl/>
      </w:rPr>
      <w:t>)</w:t>
    </w:r>
    <w:r w:rsidRPr="000A76FA">
      <w:rPr>
        <w:rFonts w:ascii="Arial" w:hAnsi="Arial" w:cs="Arial"/>
        <w:sz w:val="20"/>
        <w:szCs w:val="20"/>
        <w:rtl/>
      </w:rPr>
      <w:t>, נחלת בנימין 75 תל אביב, טל': 03-5608185, פקס: 03-5608165</w:t>
    </w:r>
  </w:p>
  <w:p w:rsidR="009A5C45" w:rsidRPr="000A76FA" w:rsidRDefault="00FE5710" w:rsidP="00FE5710">
    <w:pPr>
      <w:pStyle w:val="a4"/>
      <w:jc w:val="center"/>
      <w:rPr>
        <w:rFonts w:ascii="Arial" w:hAnsi="Arial" w:cs="Arial"/>
        <w:sz w:val="20"/>
        <w:szCs w:val="20"/>
      </w:rPr>
    </w:pPr>
    <w:r>
      <w:rPr>
        <w:rFonts w:ascii="Arial" w:hAnsi="Arial" w:cs="Arial"/>
        <w:sz w:val="20"/>
        <w:szCs w:val="20"/>
      </w:rPr>
      <w:t xml:space="preserve"> </w:t>
    </w:r>
    <w:r>
      <w:rPr>
        <w:rFonts w:ascii="Arial" w:hAnsi="Arial" w:cs="Arial" w:hint="cs"/>
        <w:sz w:val="20"/>
        <w:szCs w:val="20"/>
        <w:rtl/>
      </w:rPr>
      <w:t xml:space="preserve">אתר: </w:t>
    </w:r>
    <w:hyperlink r:id="rId1" w:history="1">
      <w:r w:rsidR="009A5C45" w:rsidRPr="000A76FA">
        <w:rPr>
          <w:rStyle w:val="Hyperlink"/>
          <w:rFonts w:ascii="Arial" w:hAnsi="Arial"/>
          <w:sz w:val="20"/>
        </w:rPr>
        <w:t>www.acri.org.il</w:t>
      </w:r>
    </w:hyperlink>
    <w:r w:rsidR="009A5C45" w:rsidRPr="000A76FA">
      <w:rPr>
        <w:rFonts w:ascii="Arial" w:hAnsi="Arial" w:cs="Arial"/>
        <w:sz w:val="20"/>
        <w:szCs w:val="20"/>
        <w:rtl/>
      </w:rPr>
      <w:t xml:space="preserve">, </w:t>
    </w:r>
    <w:r>
      <w:rPr>
        <w:rFonts w:ascii="Arial" w:hAnsi="Arial" w:cs="Arial" w:hint="cs"/>
        <w:sz w:val="20"/>
        <w:szCs w:val="20"/>
        <w:rtl/>
      </w:rPr>
      <w:t>דוא"ל</w:t>
    </w:r>
    <w:r w:rsidR="009A5C45" w:rsidRPr="000A76FA">
      <w:rPr>
        <w:rFonts w:ascii="Arial" w:hAnsi="Arial" w:cs="Arial"/>
        <w:sz w:val="20"/>
        <w:szCs w:val="20"/>
        <w:rtl/>
      </w:rPr>
      <w:t xml:space="preserve">: </w:t>
    </w:r>
    <w:hyperlink r:id="rId2" w:history="1">
      <w:r w:rsidR="009B10D1">
        <w:rPr>
          <w:rStyle w:val="Hyperlink"/>
          <w:rFonts w:ascii="Arial" w:hAnsi="Arial"/>
          <w:sz w:val="20"/>
        </w:rPr>
        <w:t>gil</w:t>
      </w:r>
      <w:r w:rsidR="009A5C45" w:rsidRPr="00752CF6">
        <w:rPr>
          <w:rStyle w:val="Hyperlink"/>
          <w:rFonts w:ascii="Arial" w:hAnsi="Arial"/>
          <w:sz w:val="20"/>
        </w:rPr>
        <w:t>@acri.org.il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B2F" w:rsidRDefault="002B0B2F">
      <w:r>
        <w:separator/>
      </w:r>
    </w:p>
  </w:footnote>
  <w:footnote w:type="continuationSeparator" w:id="0">
    <w:p w:rsidR="002B0B2F" w:rsidRDefault="002B0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710" w:rsidRDefault="00FE5710" w:rsidP="00E40103">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FE5710" w:rsidRDefault="00FE57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710" w:rsidRDefault="00FE5710" w:rsidP="00E40103">
    <w:pPr>
      <w:pStyle w:val="a3"/>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separate"/>
    </w:r>
    <w:r w:rsidR="0027020F">
      <w:rPr>
        <w:rStyle w:val="a5"/>
        <w:noProof/>
        <w:rtl/>
      </w:rPr>
      <w:t>2</w:t>
    </w:r>
    <w:r>
      <w:rPr>
        <w:rStyle w:val="a5"/>
        <w:rtl/>
      </w:rPr>
      <w:fldChar w:fldCharType="end"/>
    </w:r>
  </w:p>
  <w:p w:rsidR="00FE5710" w:rsidRDefault="00FE571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C45" w:rsidRDefault="00114AAF" w:rsidP="000A76FA">
    <w:pPr>
      <w:pStyle w:val="a3"/>
      <w:jc w:val="center"/>
    </w:pPr>
    <w:r>
      <w:rPr>
        <w:noProof/>
      </w:rPr>
      <w:drawing>
        <wp:inline distT="0" distB="0" distL="0" distR="0" wp14:anchorId="3CEF2C57" wp14:editId="3E84C7D8">
          <wp:extent cx="3752850" cy="8001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7616B"/>
    <w:multiLevelType w:val="hybridMultilevel"/>
    <w:tmpl w:val="45C4C492"/>
    <w:lvl w:ilvl="0" w:tplc="04090013">
      <w:start w:val="1"/>
      <w:numFmt w:val="hebrew1"/>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AAF"/>
    <w:rsid w:val="000A6C59"/>
    <w:rsid w:val="000A76FA"/>
    <w:rsid w:val="000D5353"/>
    <w:rsid w:val="00114AAF"/>
    <w:rsid w:val="00152FE1"/>
    <w:rsid w:val="00160508"/>
    <w:rsid w:val="00184227"/>
    <w:rsid w:val="001D6C84"/>
    <w:rsid w:val="001F50E3"/>
    <w:rsid w:val="0027020F"/>
    <w:rsid w:val="002970BA"/>
    <w:rsid w:val="002B0B2F"/>
    <w:rsid w:val="002B6040"/>
    <w:rsid w:val="00307A93"/>
    <w:rsid w:val="003675D1"/>
    <w:rsid w:val="0039552A"/>
    <w:rsid w:val="003D51A9"/>
    <w:rsid w:val="003F51CD"/>
    <w:rsid w:val="00416BAB"/>
    <w:rsid w:val="00721150"/>
    <w:rsid w:val="00917A94"/>
    <w:rsid w:val="00944B3C"/>
    <w:rsid w:val="0096070F"/>
    <w:rsid w:val="009A5C45"/>
    <w:rsid w:val="009B10D1"/>
    <w:rsid w:val="009C7FF3"/>
    <w:rsid w:val="00AC18DB"/>
    <w:rsid w:val="00AD1487"/>
    <w:rsid w:val="00AE21DB"/>
    <w:rsid w:val="00B03E7B"/>
    <w:rsid w:val="00B23000"/>
    <w:rsid w:val="00B94776"/>
    <w:rsid w:val="00BE73D3"/>
    <w:rsid w:val="00C04437"/>
    <w:rsid w:val="00C44DDA"/>
    <w:rsid w:val="00C834E0"/>
    <w:rsid w:val="00CB7F63"/>
    <w:rsid w:val="00D141FD"/>
    <w:rsid w:val="00D249A5"/>
    <w:rsid w:val="00DF66C1"/>
    <w:rsid w:val="00E40103"/>
    <w:rsid w:val="00EC0073"/>
    <w:rsid w:val="00F05BF3"/>
    <w:rsid w:val="00FE57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rPr>
  </w:style>
  <w:style w:type="paragraph" w:styleId="1">
    <w:name w:val="heading 1"/>
    <w:basedOn w:val="a"/>
    <w:next w:val="a"/>
    <w:qFormat/>
    <w:rsid w:val="00944B3C"/>
    <w:pPr>
      <w:keepNext/>
      <w:spacing w:before="240" w:after="60"/>
      <w:outlineLvl w:val="0"/>
    </w:pPr>
    <w:rPr>
      <w:rFonts w:ascii="Arial" w:hAnsi="Arial" w:cs="Arial"/>
      <w:b/>
      <w:bCs/>
      <w:kern w:val="32"/>
      <w:sz w:val="32"/>
      <w:szCs w:val="32"/>
    </w:rPr>
  </w:style>
  <w:style w:type="paragraph" w:styleId="3">
    <w:name w:val="heading 3"/>
    <w:basedOn w:val="a"/>
    <w:next w:val="a"/>
    <w:autoRedefine/>
    <w:qFormat/>
    <w:rsid w:val="009C7FF3"/>
    <w:pPr>
      <w:keepNext/>
      <w:spacing w:before="240" w:after="60"/>
      <w:outlineLvl w:val="2"/>
    </w:pPr>
    <w:rPr>
      <w:rFonts w:ascii="Arial" w:hAnsi="Arial" w:cs="Tahoma"/>
      <w:b/>
      <w:bCs/>
      <w:noProof/>
      <w:sz w:val="26"/>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2heb">
    <w:name w:val="head2heb"/>
    <w:basedOn w:val="a"/>
    <w:rsid w:val="00D249A5"/>
    <w:pPr>
      <w:spacing w:after="240" w:line="360" w:lineRule="auto"/>
    </w:pPr>
    <w:rPr>
      <w:rFonts w:ascii="Tahoma" w:hAnsi="Tahoma" w:cs="Tahoma"/>
      <w:b/>
      <w:bCs/>
      <w:sz w:val="22"/>
      <w:szCs w:val="22"/>
      <w:u w:val="single"/>
    </w:rPr>
  </w:style>
  <w:style w:type="paragraph" w:customStyle="1" w:styleId="StyleHeading1">
    <w:name w:val="Style Heading 1 +"/>
    <w:basedOn w:val="1"/>
    <w:autoRedefine/>
    <w:rsid w:val="00944B3C"/>
    <w:pPr>
      <w:keepNext w:val="0"/>
      <w:spacing w:before="120" w:after="0" w:line="360" w:lineRule="auto"/>
    </w:pPr>
    <w:rPr>
      <w:rFonts w:ascii="Times New Roman" w:hAnsi="Times New Roman" w:cs="David"/>
      <w:kern w:val="36"/>
      <w:sz w:val="48"/>
      <w:szCs w:val="28"/>
    </w:rPr>
  </w:style>
  <w:style w:type="character" w:styleId="Hyperlink">
    <w:name w:val="Hyperlink"/>
    <w:basedOn w:val="a0"/>
    <w:rsid w:val="00EC0073"/>
    <w:rPr>
      <w:rFonts w:cs="Arial"/>
      <w:color w:val="0000FF"/>
      <w:szCs w:val="20"/>
      <w:u w:val="single" w:color="0000FF"/>
    </w:rPr>
  </w:style>
  <w:style w:type="paragraph" w:styleId="a3">
    <w:name w:val="header"/>
    <w:basedOn w:val="a"/>
    <w:rsid w:val="000A76FA"/>
    <w:pPr>
      <w:tabs>
        <w:tab w:val="center" w:pos="4153"/>
        <w:tab w:val="right" w:pos="8306"/>
      </w:tabs>
    </w:pPr>
  </w:style>
  <w:style w:type="paragraph" w:styleId="a4">
    <w:name w:val="footer"/>
    <w:basedOn w:val="a"/>
    <w:rsid w:val="000A76FA"/>
    <w:pPr>
      <w:tabs>
        <w:tab w:val="center" w:pos="4153"/>
        <w:tab w:val="right" w:pos="8306"/>
      </w:tabs>
    </w:pPr>
  </w:style>
  <w:style w:type="character" w:styleId="a5">
    <w:name w:val="page number"/>
    <w:basedOn w:val="a0"/>
    <w:rsid w:val="00FE5710"/>
  </w:style>
  <w:style w:type="paragraph" w:styleId="a6">
    <w:name w:val="Balloon Text"/>
    <w:basedOn w:val="a"/>
    <w:link w:val="a7"/>
    <w:rsid w:val="00114AAF"/>
    <w:rPr>
      <w:rFonts w:ascii="Tahoma" w:hAnsi="Tahoma" w:cs="Tahoma"/>
      <w:sz w:val="16"/>
      <w:szCs w:val="16"/>
    </w:rPr>
  </w:style>
  <w:style w:type="character" w:customStyle="1" w:styleId="a7">
    <w:name w:val="טקסט בלונים תו"/>
    <w:basedOn w:val="a0"/>
    <w:link w:val="a6"/>
    <w:rsid w:val="00114AAF"/>
    <w:rPr>
      <w:rFonts w:ascii="Tahoma" w:hAnsi="Tahoma" w:cs="Tahoma"/>
      <w:sz w:val="16"/>
      <w:szCs w:val="16"/>
    </w:rPr>
  </w:style>
  <w:style w:type="paragraph" w:styleId="a8">
    <w:name w:val="List Paragraph"/>
    <w:basedOn w:val="a"/>
    <w:uiPriority w:val="34"/>
    <w:qFormat/>
    <w:rsid w:val="00B03E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sz w:val="24"/>
      <w:szCs w:val="24"/>
    </w:rPr>
  </w:style>
  <w:style w:type="paragraph" w:styleId="1">
    <w:name w:val="heading 1"/>
    <w:basedOn w:val="a"/>
    <w:next w:val="a"/>
    <w:qFormat/>
    <w:rsid w:val="00944B3C"/>
    <w:pPr>
      <w:keepNext/>
      <w:spacing w:before="240" w:after="60"/>
      <w:outlineLvl w:val="0"/>
    </w:pPr>
    <w:rPr>
      <w:rFonts w:ascii="Arial" w:hAnsi="Arial" w:cs="Arial"/>
      <w:b/>
      <w:bCs/>
      <w:kern w:val="32"/>
      <w:sz w:val="32"/>
      <w:szCs w:val="32"/>
    </w:rPr>
  </w:style>
  <w:style w:type="paragraph" w:styleId="3">
    <w:name w:val="heading 3"/>
    <w:basedOn w:val="a"/>
    <w:next w:val="a"/>
    <w:autoRedefine/>
    <w:qFormat/>
    <w:rsid w:val="009C7FF3"/>
    <w:pPr>
      <w:keepNext/>
      <w:spacing w:before="240" w:after="60"/>
      <w:outlineLvl w:val="2"/>
    </w:pPr>
    <w:rPr>
      <w:rFonts w:ascii="Arial" w:hAnsi="Arial" w:cs="Tahoma"/>
      <w:b/>
      <w:bCs/>
      <w:noProof/>
      <w:sz w:val="26"/>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2heb">
    <w:name w:val="head2heb"/>
    <w:basedOn w:val="a"/>
    <w:rsid w:val="00D249A5"/>
    <w:pPr>
      <w:spacing w:after="240" w:line="360" w:lineRule="auto"/>
    </w:pPr>
    <w:rPr>
      <w:rFonts w:ascii="Tahoma" w:hAnsi="Tahoma" w:cs="Tahoma"/>
      <w:b/>
      <w:bCs/>
      <w:sz w:val="22"/>
      <w:szCs w:val="22"/>
      <w:u w:val="single"/>
    </w:rPr>
  </w:style>
  <w:style w:type="paragraph" w:customStyle="1" w:styleId="StyleHeading1">
    <w:name w:val="Style Heading 1 +"/>
    <w:basedOn w:val="1"/>
    <w:autoRedefine/>
    <w:rsid w:val="00944B3C"/>
    <w:pPr>
      <w:keepNext w:val="0"/>
      <w:spacing w:before="120" w:after="0" w:line="360" w:lineRule="auto"/>
    </w:pPr>
    <w:rPr>
      <w:rFonts w:ascii="Times New Roman" w:hAnsi="Times New Roman" w:cs="David"/>
      <w:kern w:val="36"/>
      <w:sz w:val="48"/>
      <w:szCs w:val="28"/>
    </w:rPr>
  </w:style>
  <w:style w:type="character" w:styleId="Hyperlink">
    <w:name w:val="Hyperlink"/>
    <w:basedOn w:val="a0"/>
    <w:rsid w:val="00EC0073"/>
    <w:rPr>
      <w:rFonts w:cs="Arial"/>
      <w:color w:val="0000FF"/>
      <w:szCs w:val="20"/>
      <w:u w:val="single" w:color="0000FF"/>
    </w:rPr>
  </w:style>
  <w:style w:type="paragraph" w:styleId="a3">
    <w:name w:val="header"/>
    <w:basedOn w:val="a"/>
    <w:rsid w:val="000A76FA"/>
    <w:pPr>
      <w:tabs>
        <w:tab w:val="center" w:pos="4153"/>
        <w:tab w:val="right" w:pos="8306"/>
      </w:tabs>
    </w:pPr>
  </w:style>
  <w:style w:type="paragraph" w:styleId="a4">
    <w:name w:val="footer"/>
    <w:basedOn w:val="a"/>
    <w:rsid w:val="000A76FA"/>
    <w:pPr>
      <w:tabs>
        <w:tab w:val="center" w:pos="4153"/>
        <w:tab w:val="right" w:pos="8306"/>
      </w:tabs>
    </w:pPr>
  </w:style>
  <w:style w:type="character" w:styleId="a5">
    <w:name w:val="page number"/>
    <w:basedOn w:val="a0"/>
    <w:rsid w:val="00FE5710"/>
  </w:style>
  <w:style w:type="paragraph" w:styleId="a6">
    <w:name w:val="Balloon Text"/>
    <w:basedOn w:val="a"/>
    <w:link w:val="a7"/>
    <w:rsid w:val="00114AAF"/>
    <w:rPr>
      <w:rFonts w:ascii="Tahoma" w:hAnsi="Tahoma" w:cs="Tahoma"/>
      <w:sz w:val="16"/>
      <w:szCs w:val="16"/>
    </w:rPr>
  </w:style>
  <w:style w:type="character" w:customStyle="1" w:styleId="a7">
    <w:name w:val="טקסט בלונים תו"/>
    <w:basedOn w:val="a0"/>
    <w:link w:val="a6"/>
    <w:rsid w:val="00114AAF"/>
    <w:rPr>
      <w:rFonts w:ascii="Tahoma" w:hAnsi="Tahoma" w:cs="Tahoma"/>
      <w:sz w:val="16"/>
      <w:szCs w:val="16"/>
    </w:rPr>
  </w:style>
  <w:style w:type="paragraph" w:styleId="a8">
    <w:name w:val="List Paragraph"/>
    <w:basedOn w:val="a"/>
    <w:uiPriority w:val="34"/>
    <w:qFormat/>
    <w:rsid w:val="00B0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75261">
      <w:bodyDiv w:val="1"/>
      <w:marLeft w:val="0"/>
      <w:marRight w:val="0"/>
      <w:marTop w:val="0"/>
      <w:marBottom w:val="0"/>
      <w:divBdr>
        <w:top w:val="none" w:sz="0" w:space="0" w:color="auto"/>
        <w:left w:val="none" w:sz="0" w:space="0" w:color="auto"/>
        <w:bottom w:val="none" w:sz="0" w:space="0" w:color="auto"/>
        <w:right w:val="none" w:sz="0" w:space="0" w:color="auto"/>
      </w:divBdr>
    </w:div>
    <w:div w:id="141408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l\Desktop\&#1504;&#1497;&#1497;&#1512;%20&#1500;&#1493;&#1490;&#1493;%20&#1500;&#1502;&#1499;&#1514;&#1489;.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D27C9-7C3D-4A77-8CF2-6472CE19206A}"/>
</file>

<file path=customXml/itemProps2.xml><?xml version="1.0" encoding="utf-8"?>
<ds:datastoreItem xmlns:ds="http://schemas.openxmlformats.org/officeDocument/2006/customXml" ds:itemID="{A081A7F5-A05C-44F3-A444-C0C48691387F}"/>
</file>

<file path=customXml/itemProps3.xml><?xml version="1.0" encoding="utf-8"?>
<ds:datastoreItem xmlns:ds="http://schemas.openxmlformats.org/officeDocument/2006/customXml" ds:itemID="{04067DAC-670F-441C-BE90-CA0B8DCF9202}"/>
</file>

<file path=docProps/app.xml><?xml version="1.0" encoding="utf-8"?>
<Properties xmlns="http://schemas.openxmlformats.org/officeDocument/2006/extended-properties" xmlns:vt="http://schemas.openxmlformats.org/officeDocument/2006/docPropsVTypes">
  <Template>נייר לוגו למכתב</Template>
  <TotalTime>0</TotalTime>
  <Pages>2</Pages>
  <Words>567</Words>
  <Characters>2838</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3399</CharactersWithSpaces>
  <SharedDoc>false</SharedDoc>
  <HLinks>
    <vt:vector size="24" baseType="variant">
      <vt:variant>
        <vt:i4>5046310</vt:i4>
      </vt:variant>
      <vt:variant>
        <vt:i4>14</vt:i4>
      </vt:variant>
      <vt:variant>
        <vt:i4>0</vt:i4>
      </vt:variant>
      <vt:variant>
        <vt:i4>5</vt:i4>
      </vt:variant>
      <vt:variant>
        <vt:lpwstr>mailto:mail@acri.org.il</vt:lpwstr>
      </vt:variant>
      <vt:variant>
        <vt:lpwstr/>
      </vt:variant>
      <vt:variant>
        <vt:i4>2490427</vt:i4>
      </vt:variant>
      <vt:variant>
        <vt:i4>11</vt:i4>
      </vt:variant>
      <vt:variant>
        <vt:i4>0</vt:i4>
      </vt:variant>
      <vt:variant>
        <vt:i4>5</vt:i4>
      </vt:variant>
      <vt:variant>
        <vt:lpwstr>http://www.acri.org.il/</vt:lpwstr>
      </vt:variant>
      <vt:variant>
        <vt:lpwstr/>
      </vt:variant>
      <vt:variant>
        <vt:i4>5046310</vt:i4>
      </vt:variant>
      <vt:variant>
        <vt:i4>8</vt:i4>
      </vt:variant>
      <vt:variant>
        <vt:i4>0</vt:i4>
      </vt:variant>
      <vt:variant>
        <vt:i4>5</vt:i4>
      </vt:variant>
      <vt:variant>
        <vt:lpwstr>mailto:mail@acri.org.il</vt:lpwstr>
      </vt:variant>
      <vt:variant>
        <vt:lpwstr/>
      </vt:variant>
      <vt:variant>
        <vt:i4>2490427</vt:i4>
      </vt:variant>
      <vt:variant>
        <vt:i4>5</vt:i4>
      </vt:variant>
      <vt:variant>
        <vt:i4>0</vt:i4>
      </vt:variant>
      <vt:variant>
        <vt:i4>5</vt:i4>
      </vt:variant>
      <vt:variant>
        <vt:lpwstr>http://www.acri.org.il/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 Gan-Mor</dc:creator>
  <cp:lastModifiedBy>Debbie Gild-Hayo</cp:lastModifiedBy>
  <cp:revision>2</cp:revision>
  <dcterms:created xsi:type="dcterms:W3CDTF">2015-12-02T12:55:00Z</dcterms:created>
  <dcterms:modified xsi:type="dcterms:W3CDTF">2015-12-02T12:55:00Z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