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72F39" w:rsidRDefault="00031507">
      <w:pPr>
        <w:pStyle w:val="normal0"/>
        <w:bidi/>
        <w:jc w:val="center"/>
      </w:pPr>
      <w:r>
        <w:rPr>
          <w:b/>
          <w:color w:val="222222"/>
          <w:sz w:val="28"/>
          <w:szCs w:val="28"/>
          <w:highlight w:val="white"/>
          <w:u w:val="single"/>
          <w:rtl/>
        </w:rPr>
        <w:t xml:space="preserve"> החלטת ממשלה מספר 1116 - נייר עמדה דצמבר 2015</w:t>
      </w:r>
      <w:r>
        <w:rPr>
          <w:noProof/>
        </w:rPr>
        <w:drawing>
          <wp:anchor distT="114300" distB="114300" distL="114300" distR="114300" simplePos="0" relativeHeight="251658240" behindDoc="0" locked="0" layoutInCell="0" allowOverlap="0">
            <wp:simplePos x="0" y="0"/>
            <wp:positionH relativeFrom="margin">
              <wp:posOffset>2019300</wp:posOffset>
            </wp:positionH>
            <wp:positionV relativeFrom="paragraph">
              <wp:posOffset>9525</wp:posOffset>
            </wp:positionV>
            <wp:extent cx="757238" cy="757238"/>
            <wp:effectExtent l="0" t="0" r="0" b="0"/>
            <wp:wrapTopAndBottom distT="114300" distB="11430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5" cstate="print"/>
                    <a:srcRect/>
                    <a:stretch>
                      <a:fillRect/>
                    </a:stretch>
                  </pic:blipFill>
                  <pic:spPr>
                    <a:xfrm>
                      <a:off x="0" y="0"/>
                      <a:ext cx="757238" cy="757238"/>
                    </a:xfrm>
                    <a:prstGeom prst="rect">
                      <a:avLst/>
                    </a:prstGeom>
                    <a:ln/>
                  </pic:spPr>
                </pic:pic>
              </a:graphicData>
            </a:graphic>
          </wp:anchor>
        </w:drawing>
      </w:r>
      <w:r>
        <w:rPr>
          <w:noProof/>
        </w:rPr>
        <w:drawing>
          <wp:anchor distT="114300" distB="114300" distL="114300" distR="114300" simplePos="0" relativeHeight="251659264" behindDoc="0" locked="0" layoutInCell="0" allowOverlap="0">
            <wp:simplePos x="0" y="0"/>
            <wp:positionH relativeFrom="margin">
              <wp:posOffset>2962275</wp:posOffset>
            </wp:positionH>
            <wp:positionV relativeFrom="paragraph">
              <wp:posOffset>0</wp:posOffset>
            </wp:positionV>
            <wp:extent cx="704850" cy="704850"/>
            <wp:effectExtent l="0" t="0" r="0" b="0"/>
            <wp:wrapTopAndBottom distT="114300" distB="114300"/>
            <wp:docPr id="4"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6" cstate="print"/>
                    <a:srcRect/>
                    <a:stretch>
                      <a:fillRect/>
                    </a:stretch>
                  </pic:blipFill>
                  <pic:spPr>
                    <a:xfrm>
                      <a:off x="0" y="0"/>
                      <a:ext cx="704850" cy="704850"/>
                    </a:xfrm>
                    <a:prstGeom prst="rect">
                      <a:avLst/>
                    </a:prstGeom>
                    <a:ln/>
                  </pic:spPr>
                </pic:pic>
              </a:graphicData>
            </a:graphic>
          </wp:anchor>
        </w:drawing>
      </w:r>
    </w:p>
    <w:p w:rsidR="00E72F39" w:rsidRDefault="00E72F39">
      <w:pPr>
        <w:pStyle w:val="normal0"/>
        <w:bidi/>
      </w:pPr>
    </w:p>
    <w:p w:rsidR="00E72F39" w:rsidRDefault="00031507">
      <w:pPr>
        <w:pStyle w:val="normal0"/>
        <w:bidi/>
      </w:pPr>
      <w:r>
        <w:rPr>
          <w:b/>
          <w:color w:val="222222"/>
          <w:sz w:val="24"/>
          <w:szCs w:val="24"/>
          <w:highlight w:val="white"/>
          <w:rtl/>
        </w:rPr>
        <w:t>1. רקע</w:t>
      </w:r>
    </w:p>
    <w:p w:rsidR="00E72F39" w:rsidRDefault="00031507">
      <w:pPr>
        <w:pStyle w:val="normal0"/>
        <w:bidi/>
        <w:jc w:val="both"/>
      </w:pPr>
      <w:r>
        <w:rPr>
          <w:color w:val="222222"/>
          <w:sz w:val="20"/>
          <w:szCs w:val="20"/>
          <w:highlight w:val="white"/>
          <w:rtl/>
        </w:rPr>
        <w:t>נייר עמדה זה עניינו יישומה של החלטת ממשלה מספר 1116 בנושא פרסום היתרים ומסמכי התקשרות בין רשויות המדינה לגופים פרטיים מיום 29.12.2013 (התקבלה על ידי הממשלה ה-33 בראשותו של מר בנימין נתניהו).</w:t>
      </w:r>
    </w:p>
    <w:p w:rsidR="00E72F39" w:rsidRDefault="00031507">
      <w:pPr>
        <w:pStyle w:val="normal0"/>
        <w:bidi/>
        <w:jc w:val="both"/>
      </w:pPr>
      <w:r>
        <w:rPr>
          <w:color w:val="222222"/>
          <w:sz w:val="20"/>
          <w:szCs w:val="20"/>
          <w:highlight w:val="white"/>
          <w:rtl/>
        </w:rPr>
        <w:t xml:space="preserve">ההחלטה </w:t>
      </w:r>
      <w:r>
        <w:rPr>
          <w:color w:val="222222"/>
          <w:sz w:val="20"/>
          <w:szCs w:val="20"/>
          <w:highlight w:val="white"/>
          <w:rtl/>
        </w:rPr>
        <w:t xml:space="preserve">התקבלה בהמשך להחלטת ממשלה מספר 4515 מיום 01.04.2012 ובהתאם לקידום מדיניות ''ממשל פתוח'' של ממשלת ישראל. מטרתה העיקרית היא קידום השקיפות באמצעות הרחבת ההפצה היזומה של מידע לטובת הציבור ופרסום מסמכי התקשרות והיתרים שעניינם שירותים לציבור או משאבים ציבוריים. </w:t>
      </w:r>
    </w:p>
    <w:p w:rsidR="00E72F39" w:rsidRDefault="00031507">
      <w:pPr>
        <w:pStyle w:val="normal0"/>
        <w:bidi/>
        <w:jc w:val="both"/>
      </w:pPr>
      <w:r>
        <w:rPr>
          <w:color w:val="222222"/>
          <w:sz w:val="20"/>
          <w:szCs w:val="20"/>
          <w:highlight w:val="white"/>
          <w:rtl/>
        </w:rPr>
        <w:t xml:space="preserve">יתרה מכך, בהחלטה הכירה ממשלת ישראל בחשיבות הרבה שבפרסום יזום של מידע הנוגע להקצאת משאבי המדינה, כפי שעלה בוועדת הריכוזיות. </w:t>
      </w:r>
    </w:p>
    <w:p w:rsidR="00E72F39" w:rsidRDefault="00E72F39">
      <w:pPr>
        <w:pStyle w:val="normal0"/>
        <w:bidi/>
        <w:jc w:val="both"/>
      </w:pPr>
    </w:p>
    <w:p w:rsidR="00E72F39" w:rsidRDefault="00031507">
      <w:pPr>
        <w:pStyle w:val="normal0"/>
        <w:bidi/>
        <w:jc w:val="both"/>
      </w:pPr>
      <w:r>
        <w:rPr>
          <w:color w:val="222222"/>
          <w:sz w:val="20"/>
          <w:szCs w:val="20"/>
          <w:highlight w:val="white"/>
          <w:rtl/>
        </w:rPr>
        <w:t>ההחלטה דורשת פרסום יזום של התקשרויות, ומידע אודות רישיונות והיתרים שניתנו לגופים פרטיים ע"י גופים ממשלתיים. הפרסום יעשה באתר המרכז</w:t>
      </w:r>
      <w:r>
        <w:rPr>
          <w:color w:val="222222"/>
          <w:sz w:val="20"/>
          <w:szCs w:val="20"/>
          <w:highlight w:val="white"/>
          <w:rtl/>
        </w:rPr>
        <w:t>י לחופש המידע החל מיוני 2014.</w:t>
      </w:r>
    </w:p>
    <w:p w:rsidR="00E72F39" w:rsidRDefault="00031507">
      <w:pPr>
        <w:pStyle w:val="normal0"/>
        <w:bidi/>
        <w:jc w:val="both"/>
      </w:pPr>
      <w:r>
        <w:rPr>
          <w:color w:val="222222"/>
          <w:sz w:val="20"/>
          <w:szCs w:val="20"/>
          <w:highlight w:val="white"/>
          <w:rtl/>
        </w:rPr>
        <w:t>ההחלטה דורשת פרסום ייזום ממשרדי ממשלה ויחידות סמך לפרסם התקשרויות או היתרים עם גופים פרטיים שעניינם אחד מאלה:</w:t>
      </w:r>
    </w:p>
    <w:p w:rsidR="00E72F39" w:rsidRDefault="00031507">
      <w:pPr>
        <w:pStyle w:val="normal0"/>
        <w:numPr>
          <w:ilvl w:val="0"/>
          <w:numId w:val="2"/>
        </w:numPr>
        <w:bidi/>
        <w:ind w:hanging="360"/>
        <w:contextualSpacing/>
        <w:jc w:val="both"/>
        <w:rPr>
          <w:color w:val="222222"/>
          <w:sz w:val="20"/>
          <w:szCs w:val="20"/>
          <w:highlight w:val="white"/>
        </w:rPr>
      </w:pPr>
      <w:r>
        <w:rPr>
          <w:color w:val="222222"/>
          <w:sz w:val="20"/>
          <w:szCs w:val="20"/>
          <w:highlight w:val="white"/>
          <w:rtl/>
        </w:rPr>
        <w:t>שימוש של הגוף הפרטי במשאב ציבורי שהוא תשתית תחבורתית או מים, מחצב, משאב טבע ונפט כשהוא מופק בישראל. (לדוגמא: נמלים פ</w:t>
      </w:r>
      <w:r>
        <w:rPr>
          <w:color w:val="222222"/>
          <w:sz w:val="20"/>
          <w:szCs w:val="20"/>
          <w:highlight w:val="white"/>
          <w:rtl/>
        </w:rPr>
        <w:t>רטיים, שאיבת מים מבארות, מחצבות, הפקת מינרלים).</w:t>
      </w:r>
    </w:p>
    <w:p w:rsidR="00E72F39" w:rsidRDefault="00031507">
      <w:pPr>
        <w:pStyle w:val="normal0"/>
        <w:numPr>
          <w:ilvl w:val="0"/>
          <w:numId w:val="2"/>
        </w:numPr>
        <w:bidi/>
        <w:ind w:hanging="360"/>
        <w:contextualSpacing/>
        <w:jc w:val="both"/>
        <w:rPr>
          <w:color w:val="222222"/>
          <w:sz w:val="20"/>
          <w:szCs w:val="20"/>
          <w:highlight w:val="white"/>
        </w:rPr>
      </w:pPr>
      <w:r>
        <w:rPr>
          <w:color w:val="222222"/>
          <w:sz w:val="20"/>
          <w:szCs w:val="20"/>
          <w:highlight w:val="white"/>
          <w:rtl/>
        </w:rPr>
        <w:t xml:space="preserve">שירות לציבור הניתן באמצעות הגוף פרטי בתחום התחבורה, הבריאות, החינוך, הרווחה או שירות הניתן לציבור באמצעות משאב ציבורי או המספק לציבור את המשאב הציבורי או חלקים ממנו. (לדוגמא: תפעול כבישים בשיטת  </w:t>
      </w:r>
      <w:r>
        <w:rPr>
          <w:color w:val="222222"/>
          <w:sz w:val="20"/>
          <w:szCs w:val="20"/>
          <w:highlight w:val="white"/>
        </w:rPr>
        <w:t>B.O.T</w:t>
      </w:r>
      <w:r>
        <w:rPr>
          <w:color w:val="222222"/>
          <w:sz w:val="20"/>
          <w:szCs w:val="20"/>
          <w:highlight w:val="white"/>
          <w:rtl/>
        </w:rPr>
        <w:t>, בריאות</w:t>
      </w:r>
      <w:r>
        <w:rPr>
          <w:color w:val="222222"/>
          <w:sz w:val="20"/>
          <w:szCs w:val="20"/>
          <w:highlight w:val="white"/>
          <w:rtl/>
        </w:rPr>
        <w:t xml:space="preserve"> התלמיד, תכני העשרה לתלמידים וכו').</w:t>
      </w:r>
    </w:p>
    <w:p w:rsidR="00E72F39" w:rsidRDefault="00E72F39">
      <w:pPr>
        <w:pStyle w:val="normal0"/>
        <w:bidi/>
        <w:jc w:val="both"/>
      </w:pPr>
    </w:p>
    <w:p w:rsidR="00E72F39" w:rsidRDefault="00031507">
      <w:pPr>
        <w:pStyle w:val="normal0"/>
        <w:bidi/>
        <w:jc w:val="both"/>
      </w:pPr>
      <w:r>
        <w:rPr>
          <w:color w:val="222222"/>
          <w:sz w:val="20"/>
          <w:szCs w:val="20"/>
          <w:highlight w:val="white"/>
          <w:rtl/>
        </w:rPr>
        <w:t>השר האחראי על המעקב אחר יישומה של ההחלטה הוא שר המשפטים.</w:t>
      </w:r>
    </w:p>
    <w:p w:rsidR="00E72F39" w:rsidRDefault="00E72F39">
      <w:pPr>
        <w:pStyle w:val="normal0"/>
        <w:bidi/>
        <w:jc w:val="both"/>
      </w:pPr>
    </w:p>
    <w:p w:rsidR="00E72F39" w:rsidRDefault="00031507">
      <w:pPr>
        <w:pStyle w:val="normal0"/>
        <w:bidi/>
        <w:jc w:val="both"/>
      </w:pPr>
      <w:r>
        <w:rPr>
          <w:b/>
          <w:color w:val="222222"/>
          <w:sz w:val="20"/>
          <w:szCs w:val="20"/>
          <w:highlight w:val="white"/>
          <w:u w:val="single"/>
          <w:rtl/>
        </w:rPr>
        <w:t>המשמעות לאזרחים</w:t>
      </w:r>
    </w:p>
    <w:p w:rsidR="00E72F39" w:rsidRDefault="00031507">
      <w:pPr>
        <w:pStyle w:val="normal0"/>
        <w:bidi/>
        <w:jc w:val="both"/>
      </w:pPr>
      <w:r>
        <w:rPr>
          <w:color w:val="222222"/>
          <w:sz w:val="20"/>
          <w:szCs w:val="20"/>
          <w:highlight w:val="white"/>
          <w:rtl/>
        </w:rPr>
        <w:t>ההחלטה מעגנת תרבות ארגונית של ממשל פתוח באמצעות שקיפות ופרסום מידע ממשלתי, מתוך תפישה שמדובר בידע ציבורי. בפועל, מאפשרת ההחלטה לציבור לצפות בהתקש</w:t>
      </w:r>
      <w:r>
        <w:rPr>
          <w:color w:val="222222"/>
          <w:sz w:val="20"/>
          <w:szCs w:val="20"/>
          <w:highlight w:val="white"/>
          <w:rtl/>
        </w:rPr>
        <w:t>רויות וחוזים שעורכים גופים ממשלתיים ויחידות סמך באמצעות אתר האינטרנט של חופש המידע, ללא צורך בהגשת בקשת חופש מידע מוכוונות התקשרות. חשיפת המידע מסייעת במנהל תקין ובביקורת אזרחית.</w:t>
      </w:r>
    </w:p>
    <w:p w:rsidR="00E72F39" w:rsidRDefault="00E72F39">
      <w:pPr>
        <w:pStyle w:val="normal0"/>
        <w:bidi/>
        <w:jc w:val="both"/>
      </w:pPr>
    </w:p>
    <w:p w:rsidR="00E72F39" w:rsidRDefault="00E72F39">
      <w:pPr>
        <w:pStyle w:val="normal0"/>
        <w:bidi/>
        <w:jc w:val="both"/>
      </w:pPr>
    </w:p>
    <w:p w:rsidR="00E72F39" w:rsidRDefault="00031507">
      <w:pPr>
        <w:pStyle w:val="normal0"/>
        <w:bidi/>
        <w:jc w:val="both"/>
      </w:pPr>
      <w:r>
        <w:rPr>
          <w:b/>
          <w:color w:val="222222"/>
          <w:sz w:val="24"/>
          <w:szCs w:val="24"/>
          <w:highlight w:val="white"/>
          <w:rtl/>
        </w:rPr>
        <w:t>2. המצב כיום</w:t>
      </w:r>
    </w:p>
    <w:p w:rsidR="00E72F39" w:rsidRDefault="00031507">
      <w:pPr>
        <w:pStyle w:val="normal0"/>
        <w:bidi/>
        <w:jc w:val="both"/>
      </w:pPr>
      <w:r>
        <w:rPr>
          <w:color w:val="222222"/>
          <w:sz w:val="20"/>
          <w:szCs w:val="20"/>
          <w:highlight w:val="white"/>
          <w:rtl/>
        </w:rPr>
        <w:t xml:space="preserve">אנו נמצאים כיום שנה וחצי לאחר תאריך היעד ליישום ההחלטה. </w:t>
      </w:r>
      <w:r>
        <w:rPr>
          <w:b/>
          <w:color w:val="222222"/>
          <w:sz w:val="20"/>
          <w:szCs w:val="20"/>
          <w:highlight w:val="white"/>
          <w:rtl/>
        </w:rPr>
        <w:t>החלק ה</w:t>
      </w:r>
      <w:r>
        <w:rPr>
          <w:b/>
          <w:color w:val="222222"/>
          <w:sz w:val="20"/>
          <w:szCs w:val="20"/>
          <w:highlight w:val="white"/>
          <w:rtl/>
        </w:rPr>
        <w:t>משמעותי ביותר בהחלטה הוא הדרישה לפרסום יזום של מסמכי התקשרות והיתרים בין רשויות המדינה לגופים פרטיים,</w:t>
      </w:r>
      <w:r>
        <w:rPr>
          <w:color w:val="222222"/>
          <w:sz w:val="20"/>
          <w:szCs w:val="20"/>
          <w:highlight w:val="white"/>
          <w:rtl/>
        </w:rPr>
        <w:t xml:space="preserve"> כך שכל התקשרות והיתר שיחתמו או יוענקו החל מתאריך 1.6.2014, יפורסמו בנוסחם המלא תוך חודש מיום החתימה. למרבה הצער, הפרסומים ב</w:t>
      </w:r>
      <w:r w:rsidR="00E72F39">
        <w:fldChar w:fldCharType="begin"/>
      </w:r>
      <w:r w:rsidR="00E72F39">
        <w:instrText>HYPERLINK \h</w:instrText>
      </w:r>
      <w:r w:rsidR="00E72F39">
        <w:fldChar w:fldCharType="separate"/>
      </w:r>
      <w:r>
        <w:rPr>
          <w:color w:val="1155CC"/>
          <w:sz w:val="20"/>
          <w:szCs w:val="20"/>
          <w:highlight w:val="white"/>
          <w:u w:val="single"/>
          <w:rtl/>
        </w:rPr>
        <w:t>אתר</w:t>
      </w:r>
      <w:r w:rsidR="00E72F39">
        <w:fldChar w:fldCharType="end"/>
      </w:r>
      <w:hyperlink>
        <w:r>
          <w:rPr>
            <w:color w:val="1155CC"/>
            <w:sz w:val="20"/>
            <w:szCs w:val="20"/>
            <w:highlight w:val="white"/>
            <w:u w:val="single"/>
            <w:rtl/>
          </w:rPr>
          <w:t xml:space="preserve"> </w:t>
        </w:r>
      </w:hyperlink>
      <w:hyperlink>
        <w:r>
          <w:rPr>
            <w:color w:val="1155CC"/>
            <w:sz w:val="20"/>
            <w:szCs w:val="20"/>
            <w:highlight w:val="white"/>
            <w:u w:val="single"/>
            <w:rtl/>
          </w:rPr>
          <w:t>חופש</w:t>
        </w:r>
      </w:hyperlink>
      <w:hyperlink>
        <w:r>
          <w:rPr>
            <w:color w:val="1155CC"/>
            <w:sz w:val="20"/>
            <w:szCs w:val="20"/>
            <w:highlight w:val="white"/>
            <w:u w:val="single"/>
            <w:rtl/>
          </w:rPr>
          <w:t xml:space="preserve"> </w:t>
        </w:r>
      </w:hyperlink>
      <w:hyperlink>
        <w:r>
          <w:rPr>
            <w:color w:val="1155CC"/>
            <w:sz w:val="20"/>
            <w:szCs w:val="20"/>
            <w:highlight w:val="white"/>
            <w:u w:val="single"/>
            <w:rtl/>
          </w:rPr>
          <w:t>המידע</w:t>
        </w:r>
      </w:hyperlink>
      <w:hyperlink>
        <w:r>
          <w:rPr>
            <w:color w:val="1155CC"/>
            <w:sz w:val="20"/>
            <w:szCs w:val="20"/>
            <w:highlight w:val="white"/>
            <w:u w:val="single"/>
            <w:rtl/>
          </w:rPr>
          <w:t xml:space="preserve"> </w:t>
        </w:r>
      </w:hyperlink>
      <w:hyperlink>
        <w:r>
          <w:rPr>
            <w:color w:val="1155CC"/>
            <w:sz w:val="20"/>
            <w:szCs w:val="20"/>
            <w:highlight w:val="white"/>
            <w:u w:val="single"/>
            <w:rtl/>
          </w:rPr>
          <w:t>של</w:t>
        </w:r>
      </w:hyperlink>
      <w:hyperlink>
        <w:r>
          <w:rPr>
            <w:color w:val="1155CC"/>
            <w:sz w:val="20"/>
            <w:szCs w:val="20"/>
            <w:highlight w:val="white"/>
            <w:u w:val="single"/>
            <w:rtl/>
          </w:rPr>
          <w:t xml:space="preserve"> </w:t>
        </w:r>
      </w:hyperlink>
      <w:hyperlink>
        <w:r>
          <w:rPr>
            <w:color w:val="1155CC"/>
            <w:sz w:val="20"/>
            <w:szCs w:val="20"/>
            <w:highlight w:val="white"/>
            <w:u w:val="single"/>
            <w:rtl/>
          </w:rPr>
          <w:t>ממשלת</w:t>
        </w:r>
      </w:hyperlink>
      <w:hyperlink>
        <w:r>
          <w:rPr>
            <w:color w:val="1155CC"/>
            <w:sz w:val="20"/>
            <w:szCs w:val="20"/>
            <w:highlight w:val="white"/>
            <w:u w:val="single"/>
            <w:rtl/>
          </w:rPr>
          <w:t xml:space="preserve"> </w:t>
        </w:r>
      </w:hyperlink>
      <w:hyperlink>
        <w:r>
          <w:rPr>
            <w:color w:val="1155CC"/>
            <w:sz w:val="20"/>
            <w:szCs w:val="20"/>
            <w:highlight w:val="white"/>
            <w:u w:val="single"/>
            <w:rtl/>
          </w:rPr>
          <w:t>ישראל</w:t>
        </w:r>
      </w:hyperlink>
      <w:r>
        <w:rPr>
          <w:color w:val="222222"/>
          <w:sz w:val="20"/>
          <w:szCs w:val="20"/>
          <w:highlight w:val="white"/>
          <w:rtl/>
        </w:rPr>
        <w:t xml:space="preserve"> מראים כי ההחלטה מיושמת באופן חלקי ביותר. כך, פורסמו עד היום 32 חוזי התקשרויות של הממשלה בלבד</w:t>
      </w:r>
      <w:r>
        <w:rPr>
          <w:color w:val="222222"/>
          <w:sz w:val="20"/>
          <w:szCs w:val="20"/>
          <w:highlight w:val="white"/>
          <w:rtl/>
        </w:rPr>
        <w:t>, מתוכם 16 חוזים של המשרד לאזרחים ותיקים (כפי שניתן לראות בטבלה מס' 1 שלהלן). בנוסף, לא בכל המשרדים הממשלתיים קיימות תוכניות יישום והטמעה.</w:t>
      </w:r>
    </w:p>
    <w:p w:rsidR="00E72F39" w:rsidRDefault="00031507">
      <w:pPr>
        <w:pStyle w:val="normal0"/>
        <w:bidi/>
        <w:jc w:val="both"/>
      </w:pPr>
      <w:r>
        <w:rPr>
          <w:color w:val="222222"/>
          <w:sz w:val="20"/>
          <w:szCs w:val="20"/>
          <w:highlight w:val="white"/>
          <w:rtl/>
        </w:rPr>
        <w:t>ניתן לומר שבאופן מעשי המצב בישראל כיום הוא שפרסום המכרז הוא החלק היחיד ששקוף ונגיש לציבור באתר הממשלה, בעוד שפרטי החו</w:t>
      </w:r>
      <w:r>
        <w:rPr>
          <w:color w:val="222222"/>
          <w:sz w:val="20"/>
          <w:szCs w:val="20"/>
          <w:highlight w:val="white"/>
          <w:rtl/>
        </w:rPr>
        <w:t>זים שנחתמו נותרו חסויים מעיני הציבור.</w:t>
      </w:r>
    </w:p>
    <w:p w:rsidR="00E72F39" w:rsidRDefault="00E72F39">
      <w:pPr>
        <w:pStyle w:val="normal0"/>
        <w:bidi/>
        <w:jc w:val="both"/>
      </w:pPr>
    </w:p>
    <w:p w:rsidR="00E72F39" w:rsidRDefault="00E72F39">
      <w:pPr>
        <w:pStyle w:val="normal0"/>
        <w:bidi/>
        <w:jc w:val="both"/>
      </w:pPr>
    </w:p>
    <w:p w:rsidR="00E72F39" w:rsidRDefault="00E72F39">
      <w:pPr>
        <w:pStyle w:val="normal0"/>
        <w:bidi/>
        <w:jc w:val="both"/>
      </w:pPr>
    </w:p>
    <w:p w:rsidR="00E72F39" w:rsidRDefault="00E72F39">
      <w:pPr>
        <w:pStyle w:val="normal0"/>
        <w:bidi/>
        <w:jc w:val="both"/>
      </w:pPr>
    </w:p>
    <w:p w:rsidR="00E72F39" w:rsidRDefault="00E72F39">
      <w:pPr>
        <w:pStyle w:val="normal0"/>
        <w:bidi/>
        <w:jc w:val="both"/>
      </w:pPr>
    </w:p>
    <w:tbl>
      <w:tblPr>
        <w:tblStyle w:val="1"/>
        <w:tblW w:w="9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2484"/>
        <w:gridCol w:w="2500"/>
        <w:gridCol w:w="999"/>
        <w:gridCol w:w="3042"/>
      </w:tblGrid>
      <w:tr w:rsidR="00E72F39">
        <w:tc>
          <w:tcPr>
            <w:tcW w:w="24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lastRenderedPageBreak/>
              <w:t>הוחלט</w:t>
            </w:r>
          </w:p>
        </w:tc>
        <w:tc>
          <w:tcPr>
            <w:tcW w:w="2499" w:type="dxa"/>
            <w:tcBorders>
              <w:top w:val="single" w:sz="8" w:space="0" w:color="000000"/>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השינוי במדיניות</w:t>
            </w:r>
          </w:p>
        </w:tc>
        <w:tc>
          <w:tcPr>
            <w:tcW w:w="999" w:type="dxa"/>
            <w:tcBorders>
              <w:top w:val="single" w:sz="8" w:space="0" w:color="000000"/>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יישום</w:t>
            </w:r>
          </w:p>
        </w:tc>
        <w:tc>
          <w:tcPr>
            <w:tcW w:w="3041" w:type="dxa"/>
            <w:tcBorders>
              <w:top w:val="single" w:sz="8" w:space="0" w:color="000000"/>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סטטוס יישום</w:t>
            </w:r>
          </w:p>
        </w:tc>
      </w:tr>
      <w:tr w:rsidR="00E72F39">
        <w:tc>
          <w:tcPr>
            <w:tcW w:w="2484"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פרסום התקשרויות באתר האינטרנט של חופש המידע</w:t>
            </w:r>
          </w:p>
        </w:tc>
        <w:tc>
          <w:tcPr>
            <w:tcW w:w="2499" w:type="dxa"/>
            <w:tcBorders>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אין צורך בהגשת בקשות חופש מידע- המידע מתפרסם באופן יזום מן המשרדים</w:t>
            </w:r>
          </w:p>
        </w:tc>
        <w:tc>
          <w:tcPr>
            <w:tcW w:w="999" w:type="dxa"/>
            <w:tcBorders>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חלקי</w:t>
            </w:r>
          </w:p>
        </w:tc>
        <w:tc>
          <w:tcPr>
            <w:tcW w:w="3041" w:type="dxa"/>
            <w:tcBorders>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 xml:space="preserve">פרסום </w:t>
            </w:r>
            <w:r w:rsidR="00E72F39">
              <w:fldChar w:fldCharType="begin"/>
            </w:r>
            <w:r w:rsidR="00E72F39">
              <w:instrText>HYPERLINK "https://foi.gov.il/" \h</w:instrText>
            </w:r>
            <w:r w:rsidR="00E72F39">
              <w:fldChar w:fldCharType="separate"/>
            </w:r>
            <w:r>
              <w:rPr>
                <w:color w:val="222222"/>
                <w:sz w:val="20"/>
                <w:szCs w:val="20"/>
                <w:highlight w:val="white"/>
                <w:rtl/>
              </w:rPr>
              <w:t>באתר</w:t>
            </w:r>
            <w:r w:rsidR="00E72F39">
              <w:fldChar w:fldCharType="end"/>
            </w:r>
            <w:hyperlink r:id="rId7">
              <w:r>
                <w:rPr>
                  <w:color w:val="222222"/>
                  <w:sz w:val="20"/>
                  <w:szCs w:val="20"/>
                  <w:highlight w:val="white"/>
                  <w:rtl/>
                </w:rPr>
                <w:t xml:space="preserve"> </w:t>
              </w:r>
            </w:hyperlink>
            <w:hyperlink r:id="rId8">
              <w:r>
                <w:rPr>
                  <w:color w:val="222222"/>
                  <w:sz w:val="20"/>
                  <w:szCs w:val="20"/>
                  <w:highlight w:val="white"/>
                  <w:rtl/>
                </w:rPr>
                <w:t>המרכזי</w:t>
              </w:r>
            </w:hyperlink>
            <w:hyperlink r:id="rId9">
              <w:r>
                <w:rPr>
                  <w:color w:val="222222"/>
                  <w:sz w:val="20"/>
                  <w:szCs w:val="20"/>
                  <w:highlight w:val="white"/>
                  <w:rtl/>
                </w:rPr>
                <w:t xml:space="preserve"> </w:t>
              </w:r>
            </w:hyperlink>
            <w:hyperlink r:id="rId10">
              <w:r>
                <w:rPr>
                  <w:color w:val="222222"/>
                  <w:sz w:val="20"/>
                  <w:szCs w:val="20"/>
                  <w:highlight w:val="white"/>
                  <w:rtl/>
                </w:rPr>
                <w:t>לחופש</w:t>
              </w:r>
            </w:hyperlink>
            <w:hyperlink r:id="rId11">
              <w:r>
                <w:rPr>
                  <w:color w:val="222222"/>
                  <w:sz w:val="20"/>
                  <w:szCs w:val="20"/>
                  <w:highlight w:val="white"/>
                  <w:rtl/>
                </w:rPr>
                <w:t xml:space="preserve"> </w:t>
              </w:r>
            </w:hyperlink>
            <w:hyperlink r:id="rId12">
              <w:r>
                <w:rPr>
                  <w:color w:val="222222"/>
                  <w:sz w:val="20"/>
                  <w:szCs w:val="20"/>
                  <w:highlight w:val="white"/>
                  <w:rtl/>
                </w:rPr>
                <w:t>המידע</w:t>
              </w:r>
            </w:hyperlink>
            <w:r>
              <w:rPr>
                <w:color w:val="222222"/>
                <w:sz w:val="20"/>
                <w:szCs w:val="20"/>
                <w:highlight w:val="white"/>
                <w:rtl/>
              </w:rPr>
              <w:t xml:space="preserve"> של הממשלה</w:t>
            </w:r>
          </w:p>
        </w:tc>
      </w:tr>
      <w:tr w:rsidR="00E72F39">
        <w:tc>
          <w:tcPr>
            <w:tcW w:w="2484"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פרסום</w:t>
            </w:r>
            <w:r>
              <w:rPr>
                <w:color w:val="222222"/>
                <w:sz w:val="20"/>
                <w:szCs w:val="20"/>
                <w:highlight w:val="white"/>
                <w:rtl/>
              </w:rPr>
              <w:t xml:space="preserve"> דוח מעקב בסוף שנת 2014 ע"י שרת המשפטים</w:t>
            </w:r>
          </w:p>
        </w:tc>
        <w:tc>
          <w:tcPr>
            <w:tcW w:w="2499" w:type="dxa"/>
            <w:tcBorders>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מעקב ודיווח ממשלתי אחר יישום ההחלטה</w:t>
            </w:r>
          </w:p>
        </w:tc>
        <w:tc>
          <w:tcPr>
            <w:tcW w:w="999" w:type="dxa"/>
            <w:tcBorders>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חלקי</w:t>
            </w:r>
          </w:p>
        </w:tc>
        <w:tc>
          <w:tcPr>
            <w:tcW w:w="3041" w:type="dxa"/>
            <w:tcBorders>
              <w:left w:val="single" w:sz="8" w:space="0" w:color="000000"/>
              <w:bottom w:val="single" w:sz="8" w:space="0" w:color="000000"/>
            </w:tcBorders>
            <w:tcMar>
              <w:top w:w="100" w:type="dxa"/>
              <w:left w:w="100" w:type="dxa"/>
              <w:bottom w:w="100" w:type="dxa"/>
              <w:right w:w="100" w:type="dxa"/>
            </w:tcMar>
          </w:tcPr>
          <w:p w:rsidR="00E72F39" w:rsidRDefault="00E72F39">
            <w:pPr>
              <w:pStyle w:val="normal0"/>
              <w:bidi/>
              <w:jc w:val="both"/>
            </w:pPr>
            <w:hyperlink r:id="rId13">
              <w:r w:rsidR="00031507">
                <w:rPr>
                  <w:color w:val="222222"/>
                  <w:sz w:val="20"/>
                  <w:szCs w:val="20"/>
                  <w:highlight w:val="white"/>
                  <w:rtl/>
                </w:rPr>
                <w:t>הדו</w:t>
              </w:r>
            </w:hyperlink>
            <w:hyperlink r:id="rId14">
              <w:r w:rsidR="00031507">
                <w:rPr>
                  <w:color w:val="222222"/>
                  <w:sz w:val="20"/>
                  <w:szCs w:val="20"/>
                  <w:highlight w:val="white"/>
                  <w:rtl/>
                </w:rPr>
                <w:t>"</w:t>
              </w:r>
            </w:hyperlink>
            <w:hyperlink r:id="rId15">
              <w:r w:rsidR="00031507">
                <w:rPr>
                  <w:color w:val="222222"/>
                  <w:sz w:val="20"/>
                  <w:szCs w:val="20"/>
                  <w:highlight w:val="white"/>
                  <w:rtl/>
                </w:rPr>
                <w:t>ח</w:t>
              </w:r>
            </w:hyperlink>
            <w:hyperlink r:id="rId16">
              <w:r w:rsidR="00031507">
                <w:rPr>
                  <w:color w:val="222222"/>
                  <w:sz w:val="20"/>
                  <w:szCs w:val="20"/>
                  <w:highlight w:val="white"/>
                  <w:rtl/>
                </w:rPr>
                <w:t xml:space="preserve"> </w:t>
              </w:r>
            </w:hyperlink>
            <w:hyperlink r:id="rId17">
              <w:r w:rsidR="00031507">
                <w:rPr>
                  <w:color w:val="222222"/>
                  <w:sz w:val="20"/>
                  <w:szCs w:val="20"/>
                  <w:highlight w:val="white"/>
                  <w:rtl/>
                </w:rPr>
                <w:t>הוגש</w:t>
              </w:r>
            </w:hyperlink>
            <w:hyperlink r:id="rId18">
              <w:r w:rsidR="00031507">
                <w:rPr>
                  <w:color w:val="222222"/>
                  <w:sz w:val="20"/>
                  <w:szCs w:val="20"/>
                  <w:highlight w:val="white"/>
                  <w:rtl/>
                </w:rPr>
                <w:t xml:space="preserve"> </w:t>
              </w:r>
            </w:hyperlink>
            <w:hyperlink r:id="rId19">
              <w:r w:rsidR="00031507">
                <w:rPr>
                  <w:color w:val="222222"/>
                  <w:sz w:val="20"/>
                  <w:szCs w:val="20"/>
                  <w:highlight w:val="white"/>
                  <w:rtl/>
                </w:rPr>
                <w:t>ופורסם</w:t>
              </w:r>
            </w:hyperlink>
            <w:r w:rsidR="00031507">
              <w:rPr>
                <w:color w:val="222222"/>
                <w:sz w:val="20"/>
                <w:szCs w:val="20"/>
                <w:highlight w:val="white"/>
                <w:rtl/>
              </w:rPr>
              <w:t xml:space="preserve"> ע"י היחידה הממשלתית לחופש המידע לרה"מ שכיהן כשר משפטים -12/2014 אך לא הוגש על ידיו לממשלה.</w:t>
            </w:r>
          </w:p>
        </w:tc>
      </w:tr>
      <w:tr w:rsidR="00E72F39">
        <w:tc>
          <w:tcPr>
            <w:tcW w:w="2484"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פרסום יזום של כלל המשרדים הנדרשים בפלטפורמה ה</w:t>
            </w:r>
            <w:r>
              <w:rPr>
                <w:color w:val="222222"/>
                <w:sz w:val="20"/>
                <w:szCs w:val="20"/>
                <w:highlight w:val="white"/>
                <w:rtl/>
              </w:rPr>
              <w:t>נדרשת</w:t>
            </w:r>
          </w:p>
        </w:tc>
        <w:tc>
          <w:tcPr>
            <w:tcW w:w="2499" w:type="dxa"/>
            <w:tcBorders>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פרסום יזום ע"י המשרדים ללא צורך בהגשת בקשות</w:t>
            </w:r>
          </w:p>
        </w:tc>
        <w:tc>
          <w:tcPr>
            <w:tcW w:w="999" w:type="dxa"/>
            <w:tcBorders>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חלקי</w:t>
            </w:r>
          </w:p>
        </w:tc>
        <w:tc>
          <w:tcPr>
            <w:tcW w:w="3041" w:type="dxa"/>
            <w:tcBorders>
              <w:left w:val="single" w:sz="8" w:space="0" w:color="000000"/>
              <w:bottom w:val="single" w:sz="8" w:space="0" w:color="000000"/>
            </w:tcBorders>
            <w:tcMar>
              <w:top w:w="100" w:type="dxa"/>
              <w:left w:w="100" w:type="dxa"/>
              <w:bottom w:w="100" w:type="dxa"/>
              <w:right w:w="100" w:type="dxa"/>
            </w:tcMar>
          </w:tcPr>
          <w:p w:rsidR="00E72F39" w:rsidRDefault="00031507">
            <w:pPr>
              <w:pStyle w:val="normal0"/>
              <w:bidi/>
              <w:jc w:val="both"/>
            </w:pPr>
            <w:r>
              <w:rPr>
                <w:color w:val="222222"/>
                <w:sz w:val="20"/>
                <w:szCs w:val="20"/>
                <w:highlight w:val="white"/>
                <w:rtl/>
              </w:rPr>
              <w:t>מאז יוני 2014 פורסמו רק 19 היתרים ומסמכי התקשרות.</w:t>
            </w:r>
          </w:p>
          <w:p w:rsidR="00E72F39" w:rsidRDefault="00031507">
            <w:pPr>
              <w:pStyle w:val="normal0"/>
              <w:bidi/>
              <w:jc w:val="both"/>
            </w:pPr>
            <w:r>
              <w:rPr>
                <w:color w:val="222222"/>
                <w:sz w:val="20"/>
                <w:szCs w:val="20"/>
                <w:highlight w:val="white"/>
                <w:rtl/>
              </w:rPr>
              <w:t>נמצא כי לא בכל המשרדים ישנה תוכנית ליישום ההחלטה.</w:t>
            </w:r>
          </w:p>
          <w:p w:rsidR="00E72F39" w:rsidRDefault="00031507">
            <w:pPr>
              <w:pStyle w:val="normal0"/>
              <w:bidi/>
              <w:jc w:val="both"/>
            </w:pPr>
            <w:r>
              <w:rPr>
                <w:color w:val="222222"/>
                <w:sz w:val="20"/>
                <w:szCs w:val="20"/>
                <w:highlight w:val="white"/>
                <w:rtl/>
              </w:rPr>
              <w:t>המשרדים שנבדקו- בריאות, תשתיות ורווחה, ההחלטה מיושמת באופן חלקי.</w:t>
            </w:r>
          </w:p>
          <w:p w:rsidR="00E72F39" w:rsidRDefault="00031507">
            <w:pPr>
              <w:pStyle w:val="normal0"/>
              <w:bidi/>
              <w:jc w:val="both"/>
            </w:pPr>
            <w:r>
              <w:rPr>
                <w:color w:val="222222"/>
                <w:sz w:val="20"/>
                <w:szCs w:val="20"/>
                <w:highlight w:val="white"/>
              </w:rPr>
              <w:t xml:space="preserve"> </w:t>
            </w:r>
          </w:p>
        </w:tc>
      </w:tr>
    </w:tbl>
    <w:p w:rsidR="00E72F39" w:rsidRDefault="00E72F39">
      <w:pPr>
        <w:pStyle w:val="normal0"/>
        <w:bidi/>
        <w:jc w:val="both"/>
      </w:pPr>
    </w:p>
    <w:p w:rsidR="00E72F39" w:rsidRDefault="00031507">
      <w:pPr>
        <w:pStyle w:val="normal0"/>
        <w:bidi/>
        <w:jc w:val="both"/>
      </w:pPr>
      <w:r>
        <w:rPr>
          <w:color w:val="222222"/>
          <w:sz w:val="20"/>
          <w:szCs w:val="20"/>
          <w:highlight w:val="white"/>
          <w:rtl/>
        </w:rPr>
        <w:t xml:space="preserve">טבלה מס' 1: סטטוס יישום לפי </w:t>
      </w:r>
      <w:r>
        <w:rPr>
          <w:color w:val="222222"/>
          <w:sz w:val="20"/>
          <w:szCs w:val="20"/>
          <w:highlight w:val="white"/>
          <w:rtl/>
        </w:rPr>
        <w:t>מרכיבי ההחלטה</w:t>
      </w:r>
    </w:p>
    <w:p w:rsidR="00E72F39" w:rsidRDefault="00E72F39">
      <w:pPr>
        <w:pStyle w:val="normal0"/>
        <w:bidi/>
        <w:jc w:val="both"/>
      </w:pPr>
    </w:p>
    <w:p w:rsidR="00E72F39" w:rsidRDefault="00031507">
      <w:pPr>
        <w:pStyle w:val="normal0"/>
        <w:bidi/>
        <w:jc w:val="both"/>
      </w:pPr>
      <w:r>
        <w:rPr>
          <w:color w:val="222222"/>
          <w:sz w:val="20"/>
          <w:szCs w:val="20"/>
          <w:highlight w:val="white"/>
          <w:rtl/>
        </w:rPr>
        <w:t xml:space="preserve">במסגרת פרויקט שערכה התנועה לחופש המידע, בוצעה פניה לשלושה משרדי ממשלה על מנת לבחון כיצד בכוונתם ליישם את החלטת ממשלה מס' 1116, וזאת לאור אי יישומה או יישומה החלקי במשרדים אלו. </w:t>
      </w:r>
    </w:p>
    <w:p w:rsidR="00E72F39" w:rsidRDefault="00031507">
      <w:pPr>
        <w:pStyle w:val="normal0"/>
        <w:bidi/>
        <w:jc w:val="both"/>
      </w:pPr>
      <w:r>
        <w:rPr>
          <w:color w:val="222222"/>
          <w:sz w:val="20"/>
          <w:szCs w:val="20"/>
          <w:highlight w:val="white"/>
          <w:rtl/>
        </w:rPr>
        <w:t>להלן התשובות שהתקבלו ממשרדי הממשלה:</w:t>
      </w:r>
    </w:p>
    <w:p w:rsidR="00E72F39" w:rsidRDefault="00CE7042" w:rsidP="00CE7042">
      <w:pPr>
        <w:pStyle w:val="normal0"/>
        <w:bidi/>
        <w:ind w:left="209" w:hanging="209"/>
        <w:jc w:val="both"/>
      </w:pPr>
      <w:r>
        <w:rPr>
          <w:rFonts w:hint="cs"/>
          <w:color w:val="222222"/>
          <w:sz w:val="20"/>
          <w:szCs w:val="20"/>
          <w:highlight w:val="white"/>
          <w:rtl/>
        </w:rPr>
        <w:t xml:space="preserve">1. </w:t>
      </w:r>
      <w:r w:rsidR="00031507">
        <w:rPr>
          <w:b/>
          <w:color w:val="222222"/>
          <w:sz w:val="20"/>
          <w:szCs w:val="20"/>
          <w:highlight w:val="white"/>
          <w:rtl/>
        </w:rPr>
        <w:t>תשובת משרד הבריאות</w:t>
      </w:r>
      <w:r w:rsidR="00031507">
        <w:rPr>
          <w:color w:val="222222"/>
          <w:sz w:val="20"/>
          <w:szCs w:val="20"/>
          <w:highlight w:val="white"/>
          <w:rtl/>
        </w:rPr>
        <w:t>: "בימים</w:t>
      </w:r>
      <w:r w:rsidR="00031507">
        <w:rPr>
          <w:color w:val="222222"/>
          <w:sz w:val="20"/>
          <w:szCs w:val="20"/>
          <w:highlight w:val="white"/>
          <w:rtl/>
        </w:rPr>
        <w:t xml:space="preserve"> אלו אנו מקיימים דיונים על מנת לבחון התמודדות המשרד עם החלטת הממשלה. </w:t>
      </w:r>
      <w:r w:rsidR="00031507">
        <w:rPr>
          <w:color w:val="222222"/>
          <w:sz w:val="20"/>
          <w:szCs w:val="20"/>
          <w:highlight w:val="white"/>
          <w:rtl/>
        </w:rPr>
        <w:t>עם קבלת ההחלטות אודיעך בדבר".</w:t>
      </w:r>
    </w:p>
    <w:p w:rsidR="00E72F39" w:rsidRPr="00CE7042" w:rsidRDefault="00CE7042" w:rsidP="00CE7042">
      <w:pPr>
        <w:pStyle w:val="normal0"/>
        <w:bidi/>
        <w:ind w:left="209" w:hanging="209"/>
        <w:jc w:val="both"/>
        <w:rPr>
          <w:color w:val="222222"/>
          <w:sz w:val="20"/>
          <w:szCs w:val="20"/>
          <w:highlight w:val="white"/>
        </w:rPr>
      </w:pPr>
      <w:r>
        <w:rPr>
          <w:rFonts w:hint="cs"/>
          <w:color w:val="222222"/>
          <w:sz w:val="20"/>
          <w:szCs w:val="20"/>
          <w:highlight w:val="white"/>
          <w:rtl/>
        </w:rPr>
        <w:t xml:space="preserve">2. </w:t>
      </w:r>
      <w:r w:rsidR="00031507" w:rsidRPr="00CE7042">
        <w:rPr>
          <w:color w:val="222222"/>
          <w:sz w:val="20"/>
          <w:szCs w:val="20"/>
          <w:highlight w:val="white"/>
          <w:rtl/>
        </w:rPr>
        <w:t>תשובת משרד הרווחה</w:t>
      </w:r>
      <w:r w:rsidR="00031507">
        <w:rPr>
          <w:color w:val="222222"/>
          <w:sz w:val="20"/>
          <w:szCs w:val="20"/>
          <w:highlight w:val="white"/>
          <w:rtl/>
        </w:rPr>
        <w:t>: "כמענה לבקשתכם שבסמך, בנושא יישום החלטת ממשלה 1116, הריני להשיבכם כדלקמן: החלטת הממשלה 1116 ידועה ומוכר לגורמים הרלוונטיים במשרד. הובא ל</w:t>
      </w:r>
      <w:r w:rsidR="00031507">
        <w:rPr>
          <w:color w:val="222222"/>
          <w:sz w:val="20"/>
          <w:szCs w:val="20"/>
          <w:highlight w:val="white"/>
          <w:rtl/>
        </w:rPr>
        <w:t>ידי כי בימים אלו בוחן המשרד את האפשרות ליישם את ההחלטה באמצעות הקמת צוות בין אגפי שיורכב מנציגי הלשכה המשפטית, חשבות המשרד, נציגי מינהל ומשק, ואגף מערכות מידע".</w:t>
      </w:r>
    </w:p>
    <w:p w:rsidR="00E72F39" w:rsidRDefault="00CE7042" w:rsidP="00CE7042">
      <w:pPr>
        <w:pStyle w:val="normal0"/>
        <w:bidi/>
        <w:ind w:left="209" w:hanging="209"/>
        <w:jc w:val="both"/>
      </w:pPr>
      <w:r>
        <w:rPr>
          <w:rFonts w:hint="cs"/>
          <w:color w:val="222222"/>
          <w:sz w:val="20"/>
          <w:szCs w:val="20"/>
          <w:highlight w:val="white"/>
          <w:rtl/>
        </w:rPr>
        <w:t xml:space="preserve">3. </w:t>
      </w:r>
      <w:r w:rsidR="00031507">
        <w:rPr>
          <w:b/>
          <w:color w:val="222222"/>
          <w:sz w:val="20"/>
          <w:szCs w:val="20"/>
          <w:highlight w:val="white"/>
          <w:rtl/>
        </w:rPr>
        <w:t>תשובת משרד התשתיות הלאומיות, האנרגיה והמים</w:t>
      </w:r>
      <w:r w:rsidR="00031507">
        <w:rPr>
          <w:color w:val="222222"/>
          <w:sz w:val="20"/>
          <w:szCs w:val="20"/>
          <w:highlight w:val="white"/>
          <w:rtl/>
        </w:rPr>
        <w:t>: "במענה למכתבכם מיום 22.2.15 בנושא יישום החלטת ממש</w:t>
      </w:r>
      <w:r w:rsidR="00031507">
        <w:rPr>
          <w:color w:val="222222"/>
          <w:sz w:val="20"/>
          <w:szCs w:val="20"/>
          <w:highlight w:val="white"/>
          <w:rtl/>
        </w:rPr>
        <w:t>לה 1116, הריני להשיבכם כדלקמן:</w:t>
      </w:r>
    </w:p>
    <w:p w:rsidR="00E72F39" w:rsidRDefault="00031507">
      <w:pPr>
        <w:pStyle w:val="normal0"/>
        <w:bidi/>
        <w:ind w:left="720"/>
        <w:jc w:val="both"/>
      </w:pPr>
      <w:r>
        <w:rPr>
          <w:color w:val="222222"/>
          <w:sz w:val="20"/>
          <w:szCs w:val="20"/>
          <w:highlight w:val="white"/>
          <w:rtl/>
        </w:rPr>
        <w:t>א.</w:t>
      </w:r>
      <w:r>
        <w:rPr>
          <w:color w:val="222222"/>
          <w:sz w:val="20"/>
          <w:szCs w:val="20"/>
          <w:highlight w:val="white"/>
        </w:rPr>
        <w:t xml:space="preserve"> </w:t>
      </w:r>
      <w:r>
        <w:rPr>
          <w:color w:val="222222"/>
          <w:sz w:val="20"/>
          <w:szCs w:val="20"/>
          <w:highlight w:val="white"/>
          <w:rtl/>
        </w:rPr>
        <w:t>משרדנו פרסם באתר האינטרנט את מסמכי הזכויות שניתנו בנושא כרייה וחציבה. באשר לרישיונות בנושא חיפושי גז ונפט: מסמכי שני רישיונות כבר פורסמו באתר. באשר ליתר הרישיונות, נערכה פניה לבעלי הזכויות לצורך קבלת עמדתם ביחס לפרסום מסמכ</w:t>
      </w:r>
      <w:r>
        <w:rPr>
          <w:color w:val="222222"/>
          <w:sz w:val="20"/>
          <w:szCs w:val="20"/>
          <w:highlight w:val="white"/>
          <w:rtl/>
        </w:rPr>
        <w:t>י הרישיונות, לרבות תוכניות עבודה.</w:t>
      </w:r>
    </w:p>
    <w:p w:rsidR="00E72F39" w:rsidRDefault="00031507">
      <w:pPr>
        <w:pStyle w:val="normal0"/>
        <w:bidi/>
        <w:ind w:firstLine="720"/>
        <w:jc w:val="both"/>
      </w:pPr>
      <w:r>
        <w:rPr>
          <w:color w:val="222222"/>
          <w:sz w:val="20"/>
          <w:szCs w:val="20"/>
          <w:highlight w:val="white"/>
          <w:rtl/>
        </w:rPr>
        <w:t>ב.מחודש יוני 2014 ועד היום משרדנו לא התקשר בהסכמים שעניינם מתן שירות לציבור.</w:t>
      </w:r>
    </w:p>
    <w:p w:rsidR="00E72F39" w:rsidRDefault="00031507">
      <w:pPr>
        <w:pStyle w:val="normal0"/>
        <w:bidi/>
        <w:ind w:left="720"/>
        <w:jc w:val="both"/>
      </w:pPr>
      <w:r>
        <w:rPr>
          <w:color w:val="222222"/>
          <w:sz w:val="20"/>
          <w:szCs w:val="20"/>
          <w:highlight w:val="white"/>
          <w:rtl/>
        </w:rPr>
        <w:t>ג.הלשכה המשפטית במשרדנו העבירה הנחיה לכלל יחידות המשרד, בקשר ליישום החלטת ממשלה 1116. הח"מ אמונה על יישום ההחלטה, בשיתוף פעולה עם גורמי המקצוע הר</w:t>
      </w:r>
      <w:r>
        <w:rPr>
          <w:color w:val="222222"/>
          <w:sz w:val="20"/>
          <w:szCs w:val="20"/>
          <w:highlight w:val="white"/>
          <w:rtl/>
        </w:rPr>
        <w:t>לבנטיים במשרד".</w:t>
      </w:r>
    </w:p>
    <w:p w:rsidR="00E72F39" w:rsidRDefault="00E72F39">
      <w:pPr>
        <w:pStyle w:val="normal0"/>
        <w:bidi/>
        <w:jc w:val="both"/>
      </w:pPr>
    </w:p>
    <w:p w:rsidR="00E72F39" w:rsidRDefault="00031507">
      <w:pPr>
        <w:pStyle w:val="normal0"/>
        <w:bidi/>
        <w:jc w:val="both"/>
      </w:pPr>
      <w:r>
        <w:rPr>
          <w:b/>
          <w:color w:val="222222"/>
          <w:sz w:val="24"/>
          <w:szCs w:val="24"/>
          <w:highlight w:val="white"/>
          <w:rtl/>
        </w:rPr>
        <w:t>3. המצב בעולם</w:t>
      </w:r>
    </w:p>
    <w:p w:rsidR="00E72F39" w:rsidRDefault="00031507">
      <w:pPr>
        <w:pStyle w:val="normal0"/>
        <w:bidi/>
        <w:jc w:val="both"/>
      </w:pPr>
      <w:r>
        <w:rPr>
          <w:color w:val="222222"/>
          <w:sz w:val="20"/>
          <w:szCs w:val="20"/>
          <w:highlight w:val="white"/>
          <w:rtl/>
        </w:rPr>
        <w:t>רבות ממדינות העולם רואות בשיפור תהליכי הרכש ושקיפותם חשיבות עליונה</w:t>
      </w:r>
    </w:p>
    <w:p w:rsidR="00E72F39" w:rsidRDefault="00031507">
      <w:pPr>
        <w:pStyle w:val="normal0"/>
        <w:bidi/>
        <w:jc w:val="both"/>
      </w:pPr>
      <w:r>
        <w:rPr>
          <w:color w:val="222222"/>
          <w:sz w:val="20"/>
          <w:szCs w:val="20"/>
          <w:highlight w:val="white"/>
          <w:rtl/>
        </w:rPr>
        <w:t xml:space="preserve">על פי  ה- </w:t>
      </w:r>
      <w:r w:rsidR="00E72F39">
        <w:fldChar w:fldCharType="begin"/>
      </w:r>
      <w:r w:rsidR="00E72F39">
        <w:instrText>HYPERLINK "http://www.opengovguide.com/topics/public-contracting/" \h</w:instrText>
      </w:r>
      <w:r w:rsidR="00E72F39">
        <w:fldChar w:fldCharType="separate"/>
      </w:r>
      <w:r>
        <w:rPr>
          <w:color w:val="1155CC"/>
          <w:sz w:val="20"/>
          <w:szCs w:val="20"/>
          <w:highlight w:val="white"/>
          <w:u w:val="single"/>
        </w:rPr>
        <w:t xml:space="preserve">Open </w:t>
      </w:r>
      <w:proofErr w:type="spellStart"/>
      <w:r>
        <w:rPr>
          <w:color w:val="1155CC"/>
          <w:sz w:val="20"/>
          <w:szCs w:val="20"/>
          <w:highlight w:val="white"/>
          <w:u w:val="single"/>
        </w:rPr>
        <w:t>goverment</w:t>
      </w:r>
      <w:proofErr w:type="spellEnd"/>
      <w:r>
        <w:rPr>
          <w:color w:val="1155CC"/>
          <w:sz w:val="20"/>
          <w:szCs w:val="20"/>
          <w:highlight w:val="white"/>
          <w:u w:val="single"/>
        </w:rPr>
        <w:t xml:space="preserve"> guide</w:t>
      </w:r>
      <w:r w:rsidR="00E72F39">
        <w:fldChar w:fldCharType="end"/>
      </w:r>
      <w:r>
        <w:rPr>
          <w:color w:val="222222"/>
          <w:sz w:val="20"/>
          <w:szCs w:val="20"/>
          <w:highlight w:val="white"/>
          <w:rtl/>
        </w:rPr>
        <w:t xml:space="preserve"> ממשלות מוציאות ומקבלות סכומי עתק - בסדר גודל של 9.5 </w:t>
      </w:r>
      <w:r>
        <w:rPr>
          <w:color w:val="222222"/>
          <w:sz w:val="20"/>
          <w:szCs w:val="20"/>
          <w:highlight w:val="white"/>
          <w:rtl/>
        </w:rPr>
        <w:t>טריליון דולר וכ- 15% מהתל"ג בכל שנה - בכדי לבנות תשתיות ולספק שרותים (</w:t>
      </w:r>
      <w:r>
        <w:rPr>
          <w:color w:val="222222"/>
          <w:sz w:val="20"/>
          <w:szCs w:val="20"/>
          <w:highlight w:val="white"/>
        </w:rPr>
        <w:t>Kenny</w:t>
      </w:r>
      <w:r>
        <w:rPr>
          <w:color w:val="222222"/>
          <w:sz w:val="20"/>
          <w:szCs w:val="20"/>
          <w:highlight w:val="white"/>
          <w:rtl/>
        </w:rPr>
        <w:t xml:space="preserve">, 2014). ה- </w:t>
      </w:r>
      <w:r>
        <w:rPr>
          <w:color w:val="222222"/>
          <w:sz w:val="20"/>
          <w:szCs w:val="20"/>
          <w:highlight w:val="white"/>
        </w:rPr>
        <w:t>OECD</w:t>
      </w:r>
      <w:r>
        <w:rPr>
          <w:color w:val="222222"/>
          <w:sz w:val="20"/>
          <w:szCs w:val="20"/>
          <w:highlight w:val="white"/>
          <w:rtl/>
        </w:rPr>
        <w:t xml:space="preserve">, הועדה האירופית, המרכז הכלכלי העולמי והמשרד לסמים ופשע של האו"ם מסכימים כולם שחוזים ורכש הם הפעילות הממשלתית הפגיעה ביותר לבזבוז, ניהול לקוי, חוסר יעילות ושחיתות </w:t>
      </w:r>
      <w:r w:rsidR="00E72F39">
        <w:fldChar w:fldCharType="begin"/>
      </w:r>
      <w:r w:rsidR="00E72F39">
        <w:instrText>HYPERLINK "http://www.opengovguide.com/topics/public-contracting/" \l "_ftn1" \h</w:instrText>
      </w:r>
      <w:r w:rsidR="00E72F39">
        <w:fldChar w:fldCharType="separate"/>
      </w:r>
      <w:r>
        <w:rPr>
          <w:color w:val="222222"/>
          <w:sz w:val="20"/>
          <w:szCs w:val="20"/>
          <w:highlight w:val="white"/>
        </w:rPr>
        <w:t>[1]</w:t>
      </w:r>
      <w:r w:rsidR="00E72F39">
        <w:fldChar w:fldCharType="end"/>
      </w:r>
      <w:r>
        <w:rPr>
          <w:color w:val="222222"/>
          <w:sz w:val="20"/>
          <w:szCs w:val="20"/>
          <w:highlight w:val="white"/>
        </w:rPr>
        <w:t>.</w:t>
      </w:r>
    </w:p>
    <w:p w:rsidR="00E72F39" w:rsidRDefault="00031507">
      <w:pPr>
        <w:pStyle w:val="normal0"/>
        <w:bidi/>
        <w:jc w:val="both"/>
      </w:pPr>
      <w:r>
        <w:rPr>
          <w:color w:val="222222"/>
          <w:sz w:val="20"/>
          <w:szCs w:val="20"/>
          <w:highlight w:val="white"/>
          <w:rtl/>
        </w:rPr>
        <w:t>במסמך עקרונות של ה-</w:t>
      </w:r>
      <w:r>
        <w:rPr>
          <w:color w:val="222222"/>
          <w:sz w:val="20"/>
          <w:szCs w:val="20"/>
          <w:highlight w:val="white"/>
        </w:rPr>
        <w:t>OECD</w:t>
      </w:r>
      <w:r>
        <w:rPr>
          <w:color w:val="222222"/>
          <w:sz w:val="20"/>
          <w:szCs w:val="20"/>
          <w:highlight w:val="white"/>
          <w:rtl/>
        </w:rPr>
        <w:t xml:space="preserve"> משנת 2009 מוגדרים שלושה שלבים במחזור החיים של רכש ציבורי: טרום מכרז, מכרז ולאחר זכייה (כפי שניתן לראות באיור מספר 1 שלהלן).</w:t>
      </w:r>
    </w:p>
    <w:p w:rsidR="00E72F39" w:rsidRDefault="00031507">
      <w:pPr>
        <w:pStyle w:val="normal0"/>
        <w:bidi/>
        <w:jc w:val="both"/>
      </w:pPr>
      <w:r>
        <w:rPr>
          <w:noProof/>
        </w:rPr>
        <w:lastRenderedPageBreak/>
        <w:drawing>
          <wp:inline distT="114300" distB="114300" distL="114300" distR="114300">
            <wp:extent cx="5731200" cy="1892300"/>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20" cstate="print"/>
                    <a:srcRect/>
                    <a:stretch>
                      <a:fillRect/>
                    </a:stretch>
                  </pic:blipFill>
                  <pic:spPr>
                    <a:xfrm>
                      <a:off x="0" y="0"/>
                      <a:ext cx="5731200" cy="1892300"/>
                    </a:xfrm>
                    <a:prstGeom prst="rect">
                      <a:avLst/>
                    </a:prstGeom>
                    <a:ln/>
                  </pic:spPr>
                </pic:pic>
              </a:graphicData>
            </a:graphic>
          </wp:inline>
        </w:drawing>
      </w:r>
      <w:r>
        <w:rPr>
          <w:color w:val="222222"/>
          <w:sz w:val="20"/>
          <w:szCs w:val="20"/>
          <w:highlight w:val="white"/>
          <w:rtl/>
        </w:rPr>
        <w:t>איור מס. 1: שלושה שלב</w:t>
      </w:r>
      <w:r>
        <w:rPr>
          <w:color w:val="222222"/>
          <w:sz w:val="20"/>
          <w:szCs w:val="20"/>
          <w:highlight w:val="white"/>
          <w:rtl/>
        </w:rPr>
        <w:t xml:space="preserve">ים במחזור החיים של רכש ציבורי </w:t>
      </w:r>
    </w:p>
    <w:p w:rsidR="00E72F39" w:rsidRDefault="00E72F39">
      <w:pPr>
        <w:pStyle w:val="normal0"/>
        <w:bidi/>
        <w:jc w:val="both"/>
      </w:pPr>
    </w:p>
    <w:p w:rsidR="00E72F39" w:rsidRDefault="00031507">
      <w:pPr>
        <w:pStyle w:val="normal0"/>
        <w:bidi/>
        <w:jc w:val="both"/>
      </w:pPr>
      <w:r>
        <w:rPr>
          <w:color w:val="222222"/>
          <w:sz w:val="20"/>
          <w:szCs w:val="20"/>
          <w:highlight w:val="white"/>
          <w:rtl/>
        </w:rPr>
        <w:t>מסמך ה- (</w:t>
      </w:r>
      <w:r>
        <w:rPr>
          <w:color w:val="222222"/>
          <w:sz w:val="20"/>
          <w:szCs w:val="20"/>
          <w:highlight w:val="white"/>
        </w:rPr>
        <w:t>OECD</w:t>
      </w:r>
      <w:r>
        <w:rPr>
          <w:color w:val="222222"/>
          <w:sz w:val="20"/>
          <w:szCs w:val="20"/>
          <w:highlight w:val="white"/>
          <w:rtl/>
        </w:rPr>
        <w:t xml:space="preserve"> (2009 מכיל רשימת תיוג (</w:t>
      </w:r>
      <w:r>
        <w:rPr>
          <w:color w:val="222222"/>
          <w:sz w:val="20"/>
          <w:szCs w:val="20"/>
          <w:highlight w:val="white"/>
        </w:rPr>
        <w:t>checklist</w:t>
      </w:r>
      <w:r>
        <w:rPr>
          <w:color w:val="222222"/>
          <w:sz w:val="20"/>
          <w:szCs w:val="20"/>
          <w:highlight w:val="white"/>
          <w:rtl/>
        </w:rPr>
        <w:t xml:space="preserve">) המגדירה את רשימת ההמלצות של ה- </w:t>
      </w:r>
      <w:r>
        <w:rPr>
          <w:color w:val="222222"/>
          <w:sz w:val="20"/>
          <w:szCs w:val="20"/>
          <w:highlight w:val="white"/>
        </w:rPr>
        <w:t>OECD</w:t>
      </w:r>
      <w:r>
        <w:rPr>
          <w:color w:val="222222"/>
          <w:sz w:val="20"/>
          <w:szCs w:val="20"/>
          <w:highlight w:val="white"/>
          <w:rtl/>
        </w:rPr>
        <w:t xml:space="preserve"> לשיפור מערכת הרכש של המדינות. בשנת 2011 יצא מסמך מעקב של ה- </w:t>
      </w:r>
      <w:r>
        <w:rPr>
          <w:color w:val="222222"/>
          <w:sz w:val="20"/>
          <w:szCs w:val="20"/>
          <w:highlight w:val="white"/>
        </w:rPr>
        <w:t>OECD</w:t>
      </w:r>
      <w:r>
        <w:rPr>
          <w:color w:val="222222"/>
          <w:sz w:val="20"/>
          <w:szCs w:val="20"/>
          <w:highlight w:val="white"/>
          <w:rtl/>
        </w:rPr>
        <w:t xml:space="preserve"> המתאר את התקדמות המדינות השונות במימוש רשימת התיוג. ישראל מוקמה במקום ה- 27</w:t>
      </w:r>
      <w:r>
        <w:rPr>
          <w:color w:val="222222"/>
          <w:sz w:val="20"/>
          <w:szCs w:val="20"/>
          <w:highlight w:val="white"/>
          <w:rtl/>
        </w:rPr>
        <w:t xml:space="preserve"> מתוך 30 ולצערנו עדיין ממוקמת שם כפי שמתואר באיור 2. רוב המדינות דאגו למחשוב ושקיפות בכל שלושת השלבים של הרכש הממשלתי המתוארים למעלה, בעוד שישראל התקדמה רק בפרסום המכרזים.</w:t>
      </w:r>
    </w:p>
    <w:p w:rsidR="00E72F39" w:rsidRDefault="00031507">
      <w:pPr>
        <w:pStyle w:val="normal0"/>
        <w:bidi/>
        <w:jc w:val="both"/>
      </w:pPr>
      <w:r>
        <w:rPr>
          <w:noProof/>
        </w:rPr>
        <w:drawing>
          <wp:inline distT="114300" distB="114300" distL="114300" distR="114300">
            <wp:extent cx="5731200" cy="2400300"/>
            <wp:effectExtent l="0" t="0" r="0" b="0"/>
            <wp:docPr id="3"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21" cstate="print"/>
                    <a:srcRect/>
                    <a:stretch>
                      <a:fillRect/>
                    </a:stretch>
                  </pic:blipFill>
                  <pic:spPr>
                    <a:xfrm>
                      <a:off x="0" y="0"/>
                      <a:ext cx="5731200" cy="2400300"/>
                    </a:xfrm>
                    <a:prstGeom prst="rect">
                      <a:avLst/>
                    </a:prstGeom>
                    <a:ln/>
                  </pic:spPr>
                </pic:pic>
              </a:graphicData>
            </a:graphic>
          </wp:inline>
        </w:drawing>
      </w:r>
    </w:p>
    <w:p w:rsidR="00E72F39" w:rsidRDefault="00031507">
      <w:pPr>
        <w:pStyle w:val="normal0"/>
        <w:bidi/>
        <w:jc w:val="both"/>
      </w:pPr>
      <w:r>
        <w:rPr>
          <w:b/>
          <w:color w:val="222222"/>
          <w:sz w:val="20"/>
          <w:szCs w:val="20"/>
          <w:highlight w:val="white"/>
          <w:rtl/>
        </w:rPr>
        <w:t xml:space="preserve">איור 2: התקדמות המדינות עד שנת 2011 בהמלצות ה- </w:t>
      </w:r>
      <w:r>
        <w:rPr>
          <w:b/>
          <w:color w:val="222222"/>
          <w:sz w:val="20"/>
          <w:szCs w:val="20"/>
          <w:highlight w:val="white"/>
        </w:rPr>
        <w:t>OECD</w:t>
      </w:r>
      <w:r>
        <w:rPr>
          <w:b/>
          <w:color w:val="222222"/>
          <w:sz w:val="20"/>
          <w:szCs w:val="20"/>
          <w:highlight w:val="white"/>
          <w:rtl/>
        </w:rPr>
        <w:t xml:space="preserve"> בנושא רכש</w:t>
      </w:r>
    </w:p>
    <w:p w:rsidR="00E72F39" w:rsidRDefault="00E72F39">
      <w:pPr>
        <w:pStyle w:val="normal0"/>
        <w:bidi/>
        <w:jc w:val="both"/>
      </w:pPr>
    </w:p>
    <w:p w:rsidR="00E72F39" w:rsidRDefault="00031507">
      <w:pPr>
        <w:pStyle w:val="normal0"/>
        <w:bidi/>
        <w:jc w:val="both"/>
      </w:pPr>
      <w:r>
        <w:rPr>
          <w:b/>
          <w:color w:val="222222"/>
          <w:sz w:val="24"/>
          <w:szCs w:val="24"/>
          <w:highlight w:val="white"/>
          <w:rtl/>
        </w:rPr>
        <w:t>4. סיכום</w:t>
      </w:r>
    </w:p>
    <w:p w:rsidR="00E72F39" w:rsidRDefault="00031507">
      <w:pPr>
        <w:pStyle w:val="normal0"/>
        <w:bidi/>
        <w:jc w:val="both"/>
      </w:pPr>
      <w:r>
        <w:rPr>
          <w:color w:val="222222"/>
          <w:sz w:val="20"/>
          <w:szCs w:val="20"/>
          <w:highlight w:val="white"/>
          <w:rtl/>
        </w:rPr>
        <w:t>חשוב לציין</w:t>
      </w:r>
      <w:r>
        <w:rPr>
          <w:color w:val="222222"/>
          <w:sz w:val="20"/>
          <w:szCs w:val="20"/>
          <w:highlight w:val="white"/>
          <w:rtl/>
        </w:rPr>
        <w:t xml:space="preserve"> כי ההחלטה התקבלה בדצמבר 2013, והדרישה לפרסום יזום על ידי המשרדים נכנסה לתוקף בחודש יוני 2014. כלומר, הממשלה נתנה למשרדי הממשלה תקופת התארגנות והערכות של שישה חודשים. </w:t>
      </w:r>
    </w:p>
    <w:p w:rsidR="00E72F39" w:rsidRDefault="00031507">
      <w:pPr>
        <w:pStyle w:val="normal0"/>
        <w:bidi/>
        <w:jc w:val="both"/>
      </w:pPr>
      <w:r>
        <w:rPr>
          <w:color w:val="222222"/>
          <w:sz w:val="20"/>
          <w:szCs w:val="20"/>
          <w:highlight w:val="white"/>
          <w:rtl/>
        </w:rPr>
        <w:t xml:space="preserve">כיום, בחלוף שנתיים ממועד קבלת ההחלטה, ושנה וחצי מיום כניסתה לתוקף, יישומה לוקה בחסר. </w:t>
      </w:r>
      <w:r>
        <w:rPr>
          <w:color w:val="222222"/>
          <w:sz w:val="20"/>
          <w:szCs w:val="20"/>
          <w:highlight w:val="white"/>
          <w:rtl/>
        </w:rPr>
        <w:t xml:space="preserve">חשוב לזכור שהחלטת הממשלה לא התייחסה להתקשרויות עבר. </w:t>
      </w:r>
    </w:p>
    <w:p w:rsidR="00E72F39" w:rsidRDefault="00031507">
      <w:pPr>
        <w:pStyle w:val="normal0"/>
        <w:bidi/>
        <w:jc w:val="both"/>
      </w:pPr>
      <w:r>
        <w:rPr>
          <w:color w:val="222222"/>
          <w:sz w:val="20"/>
          <w:szCs w:val="20"/>
          <w:highlight w:val="white"/>
          <w:rtl/>
        </w:rPr>
        <w:t xml:space="preserve">באחריות הממשלה לפעול בהקדם ליישומה של החלטת הממשלה מספר 1116, תוך שהיא מקדמת מדיניות רחבה של ממשל פתוח ושקיפות בתחום הרכש הציבורי. </w:t>
      </w:r>
    </w:p>
    <w:p w:rsidR="00E72F39" w:rsidRDefault="00E72F39">
      <w:pPr>
        <w:pStyle w:val="normal0"/>
        <w:bidi/>
        <w:jc w:val="both"/>
      </w:pPr>
    </w:p>
    <w:p w:rsidR="00E72F39" w:rsidRDefault="00031507">
      <w:pPr>
        <w:pStyle w:val="normal0"/>
        <w:bidi/>
        <w:jc w:val="both"/>
      </w:pPr>
      <w:r>
        <w:rPr>
          <w:color w:val="222222"/>
          <w:sz w:val="20"/>
          <w:szCs w:val="20"/>
          <w:highlight w:val="white"/>
          <w:rtl/>
        </w:rPr>
        <w:t>אנו ממליצים לא רק לממש את ההחלטה, אלא להרחיב אותה למערכת רכש פתוח.</w:t>
      </w:r>
      <w:r>
        <w:rPr>
          <w:sz w:val="20"/>
          <w:szCs w:val="20"/>
          <w:highlight w:val="white"/>
        </w:rPr>
        <w:t xml:space="preserve"> </w:t>
      </w:r>
      <w:r>
        <w:rPr>
          <w:color w:val="222222"/>
          <w:sz w:val="20"/>
          <w:szCs w:val="20"/>
          <w:highlight w:val="white"/>
          <w:rtl/>
        </w:rPr>
        <w:t>זאת</w:t>
      </w:r>
      <w:r>
        <w:rPr>
          <w:color w:val="222222"/>
          <w:sz w:val="20"/>
          <w:szCs w:val="20"/>
          <w:highlight w:val="white"/>
          <w:rtl/>
        </w:rPr>
        <w:t xml:space="preserve"> כיוון שהשקעה כלכלית במערכת רכש לא רק תחזיר את עצמה מבחינה פיננסית, אלא אף תגרום להתייעלות המשק כולו. לדוגמא מערכת הרכש הממוחשבת של ממשלת דרום קוריאה </w:t>
      </w:r>
      <w:r w:rsidR="00E72F39">
        <w:fldChar w:fldCharType="begin"/>
      </w:r>
      <w:r w:rsidR="00E72F39">
        <w:instrText>HYPERLINK "https://www.pps.go.kr/eng/jsp/koneps/overview.eng" \h</w:instrText>
      </w:r>
      <w:r w:rsidR="00E72F39">
        <w:fldChar w:fldCharType="separate"/>
      </w:r>
      <w:r>
        <w:rPr>
          <w:color w:val="222222"/>
          <w:sz w:val="20"/>
          <w:szCs w:val="20"/>
          <w:highlight w:val="white"/>
        </w:rPr>
        <w:t xml:space="preserve">KONEPS </w:t>
      </w:r>
      <w:r w:rsidR="00E72F39">
        <w:fldChar w:fldCharType="end"/>
      </w:r>
      <w:r>
        <w:rPr>
          <w:color w:val="222222"/>
          <w:sz w:val="20"/>
          <w:szCs w:val="20"/>
          <w:highlight w:val="white"/>
          <w:rtl/>
        </w:rPr>
        <w:t>חסכה למגזר הציבורי 1.4 ביליון דו</w:t>
      </w:r>
      <w:r>
        <w:rPr>
          <w:color w:val="222222"/>
          <w:sz w:val="20"/>
          <w:szCs w:val="20"/>
          <w:highlight w:val="white"/>
          <w:rtl/>
        </w:rPr>
        <w:t>לר (</w:t>
      </w:r>
      <w:r>
        <w:rPr>
          <w:color w:val="222222"/>
          <w:sz w:val="20"/>
          <w:szCs w:val="20"/>
          <w:highlight w:val="white"/>
        </w:rPr>
        <w:t>OECD</w:t>
      </w:r>
      <w:r>
        <w:rPr>
          <w:color w:val="222222"/>
          <w:sz w:val="20"/>
          <w:szCs w:val="20"/>
          <w:highlight w:val="white"/>
          <w:rtl/>
        </w:rPr>
        <w:t>, 2015). הדבר חסך גם לעסקים 6.6 ביליון דולר. זמן הכנת ההצעות למכרז ירד מ-30 שעות לשעתיים.</w:t>
      </w:r>
    </w:p>
    <w:p w:rsidR="00E72F39" w:rsidRDefault="00E72F39">
      <w:pPr>
        <w:pStyle w:val="normal0"/>
        <w:bidi/>
        <w:jc w:val="both"/>
      </w:pPr>
    </w:p>
    <w:p w:rsidR="00E72F39" w:rsidRDefault="00031507">
      <w:pPr>
        <w:pStyle w:val="normal0"/>
      </w:pPr>
      <w:r>
        <w:br w:type="page"/>
      </w:r>
    </w:p>
    <w:p w:rsidR="00E72F39" w:rsidRDefault="00E72F39">
      <w:pPr>
        <w:pStyle w:val="normal0"/>
        <w:bidi/>
        <w:jc w:val="both"/>
      </w:pPr>
    </w:p>
    <w:p w:rsidR="00E72F39" w:rsidRDefault="00E72F39">
      <w:pPr>
        <w:pStyle w:val="normal0"/>
        <w:bidi/>
        <w:jc w:val="both"/>
      </w:pPr>
    </w:p>
    <w:p w:rsidR="00E72F39" w:rsidRDefault="00031507">
      <w:pPr>
        <w:pStyle w:val="normal0"/>
        <w:bidi/>
        <w:jc w:val="both"/>
      </w:pPr>
      <w:r>
        <w:rPr>
          <w:b/>
          <w:color w:val="222222"/>
          <w:highlight w:val="white"/>
          <w:rtl/>
        </w:rPr>
        <w:t>4.1 דרכי פעולה אפשריות</w:t>
      </w:r>
    </w:p>
    <w:p w:rsidR="00E72F39" w:rsidRDefault="00031507">
      <w:pPr>
        <w:pStyle w:val="normal0"/>
        <w:bidi/>
        <w:jc w:val="both"/>
      </w:pPr>
      <w:r>
        <w:rPr>
          <w:color w:val="222222"/>
          <w:sz w:val="20"/>
          <w:szCs w:val="20"/>
          <w:highlight w:val="white"/>
          <w:rtl/>
        </w:rPr>
        <w:t>נזכיר כי מדינות רבות באירופה ומחוצה לה (בינהן האיחוד האירופי, אנגליה, בלגיה ואף אינדונזיה, מלטה, ירדן וג'מייקה) בחרו להשתמש במערכת</w:t>
      </w:r>
      <w:r>
        <w:rPr>
          <w:color w:val="222222"/>
          <w:sz w:val="20"/>
          <w:szCs w:val="20"/>
          <w:highlight w:val="white"/>
          <w:rtl/>
        </w:rPr>
        <w:t xml:space="preserve"> ה- </w:t>
      </w:r>
      <w:hyperlink r:id="rId22">
        <w:r>
          <w:rPr>
            <w:color w:val="1155CC"/>
            <w:sz w:val="20"/>
            <w:szCs w:val="20"/>
            <w:highlight w:val="white"/>
            <w:u w:val="single"/>
          </w:rPr>
          <w:t>e-</w:t>
        </w:r>
        <w:proofErr w:type="spellStart"/>
        <w:r>
          <w:rPr>
            <w:color w:val="1155CC"/>
            <w:sz w:val="20"/>
            <w:szCs w:val="20"/>
            <w:highlight w:val="white"/>
            <w:u w:val="single"/>
          </w:rPr>
          <w:t>pps</w:t>
        </w:r>
        <w:proofErr w:type="spellEnd"/>
      </w:hyperlink>
      <w:r>
        <w:rPr>
          <w:color w:val="222222"/>
          <w:sz w:val="20"/>
          <w:szCs w:val="20"/>
          <w:highlight w:val="white"/>
          <w:rtl/>
        </w:rPr>
        <w:t xml:space="preserve">  של חברת </w:t>
      </w:r>
      <w:r>
        <w:rPr>
          <w:color w:val="222222"/>
          <w:sz w:val="20"/>
          <w:szCs w:val="20"/>
          <w:highlight w:val="white"/>
        </w:rPr>
        <w:t>European Dynamics</w:t>
      </w:r>
      <w:r>
        <w:rPr>
          <w:color w:val="222222"/>
          <w:sz w:val="20"/>
          <w:szCs w:val="20"/>
          <w:highlight w:val="white"/>
          <w:rtl/>
        </w:rPr>
        <w:t xml:space="preserve"> שהותאמה כבר לשפות: ערבית, הולנדית, אנגלית, יוונית, גרמנית, צרפתית ואיטלקית.</w:t>
      </w:r>
    </w:p>
    <w:p w:rsidR="00E72F39" w:rsidRDefault="00E72F39">
      <w:pPr>
        <w:pStyle w:val="normal0"/>
        <w:bidi/>
        <w:spacing w:line="240" w:lineRule="auto"/>
        <w:jc w:val="both"/>
      </w:pPr>
      <w:hyperlink r:id="rId23">
        <w:r w:rsidR="00031507">
          <w:rPr>
            <w:color w:val="1155CC"/>
            <w:highlight w:val="white"/>
            <w:u w:val="single"/>
            <w:rtl/>
          </w:rPr>
          <w:t>בסלובקיה</w:t>
        </w:r>
      </w:hyperlink>
      <w:hyperlink r:id="rId24">
        <w:r w:rsidR="00031507">
          <w:rPr>
            <w:color w:val="1155CC"/>
            <w:highlight w:val="white"/>
            <w:u w:val="single"/>
            <w:rtl/>
          </w:rPr>
          <w:t xml:space="preserve"> </w:t>
        </w:r>
      </w:hyperlink>
      <w:hyperlink r:id="rId25">
        <w:r w:rsidR="00031507">
          <w:rPr>
            <w:color w:val="1155CC"/>
            <w:highlight w:val="white"/>
            <w:u w:val="single"/>
            <w:rtl/>
          </w:rPr>
          <w:t>חוזים</w:t>
        </w:r>
      </w:hyperlink>
      <w:hyperlink r:id="rId26">
        <w:r w:rsidR="00031507">
          <w:rPr>
            <w:color w:val="1155CC"/>
            <w:highlight w:val="white"/>
            <w:u w:val="single"/>
            <w:rtl/>
          </w:rPr>
          <w:t xml:space="preserve"> </w:t>
        </w:r>
      </w:hyperlink>
      <w:hyperlink r:id="rId27">
        <w:r w:rsidR="00031507">
          <w:rPr>
            <w:color w:val="1155CC"/>
            <w:highlight w:val="white"/>
            <w:u w:val="single"/>
            <w:rtl/>
          </w:rPr>
          <w:t>ציבוריים</w:t>
        </w:r>
      </w:hyperlink>
      <w:hyperlink r:id="rId28">
        <w:r w:rsidR="00031507">
          <w:rPr>
            <w:color w:val="1155CC"/>
            <w:highlight w:val="white"/>
            <w:u w:val="single"/>
            <w:rtl/>
          </w:rPr>
          <w:t xml:space="preserve"> </w:t>
        </w:r>
      </w:hyperlink>
      <w:hyperlink r:id="rId29">
        <w:r w:rsidR="00031507">
          <w:rPr>
            <w:color w:val="1155CC"/>
            <w:highlight w:val="white"/>
            <w:u w:val="single"/>
            <w:rtl/>
          </w:rPr>
          <w:t>מפורסמים</w:t>
        </w:r>
      </w:hyperlink>
      <w:hyperlink r:id="rId30">
        <w:r w:rsidR="00031507">
          <w:rPr>
            <w:color w:val="1155CC"/>
            <w:highlight w:val="white"/>
            <w:u w:val="single"/>
            <w:rtl/>
          </w:rPr>
          <w:t xml:space="preserve"> </w:t>
        </w:r>
      </w:hyperlink>
      <w:hyperlink r:id="rId31">
        <w:r w:rsidR="00031507">
          <w:rPr>
            <w:color w:val="1155CC"/>
            <w:highlight w:val="white"/>
            <w:u w:val="single"/>
            <w:rtl/>
          </w:rPr>
          <w:t>ברשת</w:t>
        </w:r>
      </w:hyperlink>
      <w:r w:rsidR="00031507">
        <w:rPr>
          <w:highlight w:val="white"/>
          <w:rtl/>
        </w:rPr>
        <w:t xml:space="preserve"> כמו גם </w:t>
      </w:r>
      <w:r>
        <w:fldChar w:fldCharType="begin"/>
      </w:r>
      <w:r>
        <w:instrText>HYPERLINK "https://evo.gov.sk/evo/ethics.nsf/public_tenders2!OpenView" \h</w:instrText>
      </w:r>
      <w:r>
        <w:fldChar w:fldCharType="separate"/>
      </w:r>
      <w:r w:rsidR="00031507">
        <w:rPr>
          <w:color w:val="1155CC"/>
          <w:highlight w:val="white"/>
          <w:u w:val="single"/>
          <w:rtl/>
        </w:rPr>
        <w:t>מכרזים</w:t>
      </w:r>
      <w:r>
        <w:fldChar w:fldCharType="end"/>
      </w:r>
    </w:p>
    <w:p w:rsidR="00E72F39" w:rsidRDefault="00031507">
      <w:pPr>
        <w:pStyle w:val="normal0"/>
        <w:bidi/>
        <w:spacing w:after="180" w:line="240" w:lineRule="auto"/>
        <w:jc w:val="both"/>
      </w:pPr>
      <w:r>
        <w:rPr>
          <w:sz w:val="20"/>
          <w:szCs w:val="20"/>
          <w:highlight w:val="white"/>
          <w:rtl/>
        </w:rPr>
        <w:t xml:space="preserve">בקנדה הרכש הפתוח זמין באתר </w:t>
      </w:r>
      <w:r w:rsidR="00E72F39">
        <w:fldChar w:fldCharType="begin"/>
      </w:r>
      <w:r w:rsidR="00E72F39">
        <w:instrText>HYPERLINK "https://buyandsell.gc.ca/" \h</w:instrText>
      </w:r>
      <w:r w:rsidR="00E72F39">
        <w:fldChar w:fldCharType="separate"/>
      </w:r>
      <w:proofErr w:type="spellStart"/>
      <w:r>
        <w:rPr>
          <w:color w:val="1155CC"/>
          <w:sz w:val="20"/>
          <w:szCs w:val="20"/>
          <w:highlight w:val="white"/>
          <w:u w:val="single"/>
        </w:rPr>
        <w:t>buyandcell</w:t>
      </w:r>
      <w:proofErr w:type="spellEnd"/>
      <w:r w:rsidR="00E72F39">
        <w:fldChar w:fldCharType="end"/>
      </w:r>
      <w:hyperlink r:id="rId32">
        <w:r>
          <w:rPr>
            <w:color w:val="1155CC"/>
            <w:sz w:val="20"/>
            <w:szCs w:val="20"/>
            <w:highlight w:val="white"/>
          </w:rPr>
          <w:t xml:space="preserve"> </w:t>
        </w:r>
      </w:hyperlink>
      <w:r>
        <w:rPr>
          <w:sz w:val="20"/>
          <w:szCs w:val="20"/>
          <w:highlight w:val="white"/>
          <w:rtl/>
        </w:rPr>
        <w:t xml:space="preserve">המאפשר חיפוש מכרזים, הגשת מכרזים, מעקב אחר מכרז שהוגש,  רישום לשאילתות על שינויים באמצעות </w:t>
      </w:r>
      <w:r>
        <w:rPr>
          <w:sz w:val="20"/>
          <w:szCs w:val="20"/>
          <w:highlight w:val="white"/>
        </w:rPr>
        <w:t>RSS</w:t>
      </w:r>
      <w:r>
        <w:rPr>
          <w:sz w:val="20"/>
          <w:szCs w:val="20"/>
          <w:highlight w:val="white"/>
          <w:rtl/>
        </w:rPr>
        <w:t xml:space="preserve"> ו- </w:t>
      </w:r>
      <w:r>
        <w:rPr>
          <w:sz w:val="20"/>
          <w:szCs w:val="20"/>
          <w:highlight w:val="white"/>
        </w:rPr>
        <w:t>ATOM</w:t>
      </w:r>
      <w:r>
        <w:rPr>
          <w:sz w:val="20"/>
          <w:szCs w:val="20"/>
          <w:highlight w:val="white"/>
          <w:rtl/>
        </w:rPr>
        <w:t>, כמו גם מידע על מכרזים היסטוריים.</w:t>
      </w:r>
    </w:p>
    <w:p w:rsidR="00E72F39" w:rsidRDefault="00E72F39">
      <w:pPr>
        <w:pStyle w:val="normal0"/>
        <w:bidi/>
        <w:jc w:val="both"/>
      </w:pPr>
    </w:p>
    <w:p w:rsidR="00E72F39" w:rsidRDefault="00E72F39">
      <w:pPr>
        <w:pStyle w:val="normal0"/>
        <w:bidi/>
        <w:jc w:val="both"/>
      </w:pPr>
    </w:p>
    <w:p w:rsidR="00E72F39" w:rsidRDefault="00031507">
      <w:pPr>
        <w:pStyle w:val="Heading3"/>
        <w:keepNext w:val="0"/>
        <w:keepLines w:val="0"/>
        <w:bidi/>
        <w:spacing w:before="0" w:after="0" w:line="240" w:lineRule="auto"/>
        <w:contextualSpacing w:val="0"/>
        <w:jc w:val="both"/>
      </w:pPr>
      <w:bookmarkStart w:id="0" w:name="h.15ja1ucnnj91" w:colFirst="0" w:colLast="0"/>
      <w:bookmarkEnd w:id="0"/>
      <w:r>
        <w:rPr>
          <w:b/>
          <w:color w:val="222222"/>
          <w:sz w:val="24"/>
          <w:szCs w:val="24"/>
          <w:highlight w:val="white"/>
          <w:rtl/>
        </w:rPr>
        <w:t>5. מקורות</w:t>
      </w:r>
    </w:p>
    <w:p w:rsidR="00E72F39" w:rsidRDefault="00E72F39">
      <w:pPr>
        <w:pStyle w:val="normal0"/>
        <w:bidi/>
        <w:jc w:val="both"/>
      </w:pPr>
    </w:p>
    <w:p w:rsidR="00E72F39" w:rsidRDefault="00031507">
      <w:pPr>
        <w:pStyle w:val="normal0"/>
        <w:numPr>
          <w:ilvl w:val="1"/>
          <w:numId w:val="1"/>
        </w:numPr>
        <w:spacing w:line="360" w:lineRule="auto"/>
        <w:ind w:left="-30" w:firstLine="150"/>
        <w:jc w:val="both"/>
        <w:rPr>
          <w:sz w:val="20"/>
          <w:szCs w:val="20"/>
        </w:rPr>
      </w:pPr>
      <w:r>
        <w:rPr>
          <w:sz w:val="20"/>
          <w:szCs w:val="20"/>
          <w:shd w:val="clear" w:color="auto" w:fill="FAFAFA"/>
        </w:rPr>
        <w:t xml:space="preserve">Kenny, C. (2014). Publish Government Contracts. Addressing Concerns and Easing Implementation. Center for Global Development, Washington DC. </w:t>
      </w:r>
      <w:hyperlink r:id="rId33">
        <w:r>
          <w:rPr>
            <w:color w:val="1155CC"/>
            <w:sz w:val="20"/>
            <w:szCs w:val="20"/>
            <w:u w:val="single"/>
            <w:shd w:val="clear" w:color="auto" w:fill="FAFAFA"/>
          </w:rPr>
          <w:t>http://www.cgd</w:t>
        </w:r>
        <w:r>
          <w:rPr>
            <w:color w:val="1155CC"/>
            <w:sz w:val="20"/>
            <w:szCs w:val="20"/>
            <w:u w:val="single"/>
            <w:shd w:val="clear" w:color="auto" w:fill="FAFAFA"/>
          </w:rPr>
          <w:t>ev.org/sites/default/files/publishing-government-contracts-report.pdf</w:t>
        </w:r>
      </w:hyperlink>
    </w:p>
    <w:p w:rsidR="00E72F39" w:rsidRDefault="00031507">
      <w:pPr>
        <w:pStyle w:val="normal0"/>
        <w:numPr>
          <w:ilvl w:val="1"/>
          <w:numId w:val="1"/>
        </w:numPr>
        <w:spacing w:line="360" w:lineRule="auto"/>
        <w:ind w:left="-30" w:firstLine="150"/>
        <w:jc w:val="both"/>
        <w:rPr>
          <w:sz w:val="20"/>
          <w:szCs w:val="20"/>
        </w:rPr>
      </w:pPr>
      <w:r>
        <w:rPr>
          <w:sz w:val="20"/>
          <w:szCs w:val="20"/>
          <w:shd w:val="clear" w:color="auto" w:fill="FAFAFA"/>
        </w:rPr>
        <w:t xml:space="preserve">OECD (2009). “Enhancing Integrity at Each Stage of the Procurement Cycle: A Checklist”, in OECD Principles for Integrity in Public Procurement, OECD Publishing. </w:t>
      </w:r>
    </w:p>
    <w:p w:rsidR="00E72F39" w:rsidRDefault="00031507">
      <w:pPr>
        <w:pStyle w:val="normal0"/>
        <w:numPr>
          <w:ilvl w:val="1"/>
          <w:numId w:val="1"/>
        </w:numPr>
        <w:spacing w:line="360" w:lineRule="auto"/>
        <w:ind w:left="-30" w:firstLine="150"/>
        <w:contextualSpacing/>
        <w:jc w:val="both"/>
        <w:rPr>
          <w:sz w:val="20"/>
          <w:szCs w:val="20"/>
        </w:rPr>
      </w:pPr>
      <w:r>
        <w:rPr>
          <w:sz w:val="20"/>
          <w:szCs w:val="20"/>
          <w:shd w:val="clear" w:color="auto" w:fill="FAFAFA"/>
        </w:rPr>
        <w:t>OECD (2012). Progress Made in Implementing the OECD Recommendation on Enhancing Integrity in Public Procurement</w:t>
      </w:r>
    </w:p>
    <w:p w:rsidR="00E72F39" w:rsidRDefault="00031507">
      <w:pPr>
        <w:pStyle w:val="normal0"/>
        <w:numPr>
          <w:ilvl w:val="1"/>
          <w:numId w:val="1"/>
        </w:numPr>
        <w:spacing w:line="360" w:lineRule="auto"/>
        <w:ind w:left="-30" w:firstLine="150"/>
        <w:jc w:val="both"/>
        <w:rPr>
          <w:sz w:val="20"/>
          <w:szCs w:val="20"/>
        </w:rPr>
      </w:pPr>
      <w:r>
        <w:rPr>
          <w:sz w:val="20"/>
          <w:szCs w:val="20"/>
          <w:shd w:val="clear" w:color="auto" w:fill="FAFAFA"/>
        </w:rPr>
        <w:t xml:space="preserve">OECD (2015). Transparency in public procurement – moving away from the abstract, </w:t>
      </w:r>
      <w:hyperlink r:id="rId34">
        <w:r>
          <w:rPr>
            <w:color w:val="1155CC"/>
            <w:sz w:val="20"/>
            <w:szCs w:val="20"/>
            <w:u w:val="single"/>
            <w:shd w:val="clear" w:color="auto" w:fill="FAFAFA"/>
          </w:rPr>
          <w:t>http://oecdinsights.org/2015/03/27/transparency-in-public-procurement-moving-away-from-the-abstract</w:t>
        </w:r>
      </w:hyperlink>
    </w:p>
    <w:sectPr w:rsidR="00E72F39" w:rsidSect="00E72F39">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2178D"/>
    <w:multiLevelType w:val="multilevel"/>
    <w:tmpl w:val="4C3AC3B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3BB66BFA"/>
    <w:multiLevelType w:val="multilevel"/>
    <w:tmpl w:val="4D8C6968"/>
    <w:lvl w:ilvl="0">
      <w:start w:val="1"/>
      <w:numFmt w:val="bullet"/>
      <w:lvlText w:val=""/>
      <w:lvlJc w:val="left"/>
      <w:pPr>
        <w:ind w:left="720" w:firstLine="360"/>
      </w:pPr>
      <w:rPr>
        <w:rFonts w:ascii="Arial" w:eastAsia="Arial" w:hAnsi="Arial" w:cs="Arial"/>
        <w:sz w:val="24"/>
        <w:szCs w:val="24"/>
        <w:highlight w:val="white"/>
        <w:u w:val="none"/>
      </w:rPr>
    </w:lvl>
    <w:lvl w:ilvl="1">
      <w:start w:val="1"/>
      <w:numFmt w:val="bullet"/>
      <w:lvlText w:val=""/>
      <w:lvlJc w:val="left"/>
      <w:pPr>
        <w:ind w:left="1440" w:firstLine="1080"/>
      </w:pPr>
      <w:rPr>
        <w:rFonts w:ascii="Arial" w:eastAsia="Arial" w:hAnsi="Arial" w:cs="Arial"/>
        <w:sz w:val="24"/>
        <w:szCs w:val="24"/>
        <w:u w:val="none"/>
        <w:shd w:val="clear" w:color="auto" w:fill="FAFAFA"/>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defaultTabStop w:val="720"/>
  <w:characterSpacingControl w:val="doNotCompress"/>
  <w:compat/>
  <w:rsids>
    <w:rsidRoot w:val="00E72F39"/>
    <w:rsid w:val="00031507"/>
    <w:rsid w:val="00CE7042"/>
    <w:rsid w:val="00E72F39"/>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n-US" w:eastAsia="en-US" w:bidi="he-IL"/>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E72F39"/>
    <w:pPr>
      <w:keepNext/>
      <w:keepLines/>
      <w:spacing w:before="400" w:after="120"/>
      <w:contextualSpacing/>
      <w:outlineLvl w:val="0"/>
    </w:pPr>
    <w:rPr>
      <w:sz w:val="40"/>
      <w:szCs w:val="40"/>
    </w:rPr>
  </w:style>
  <w:style w:type="paragraph" w:styleId="Heading2">
    <w:name w:val="heading 2"/>
    <w:basedOn w:val="normal0"/>
    <w:next w:val="normal0"/>
    <w:rsid w:val="00E72F39"/>
    <w:pPr>
      <w:keepNext/>
      <w:keepLines/>
      <w:spacing w:before="360" w:after="120"/>
      <w:contextualSpacing/>
      <w:outlineLvl w:val="1"/>
    </w:pPr>
    <w:rPr>
      <w:sz w:val="32"/>
      <w:szCs w:val="32"/>
    </w:rPr>
  </w:style>
  <w:style w:type="paragraph" w:styleId="Heading3">
    <w:name w:val="heading 3"/>
    <w:basedOn w:val="normal0"/>
    <w:next w:val="normal0"/>
    <w:rsid w:val="00E72F39"/>
    <w:pPr>
      <w:keepNext/>
      <w:keepLines/>
      <w:spacing w:before="320" w:after="80"/>
      <w:contextualSpacing/>
      <w:outlineLvl w:val="2"/>
    </w:pPr>
    <w:rPr>
      <w:color w:val="434343"/>
      <w:sz w:val="28"/>
      <w:szCs w:val="28"/>
    </w:rPr>
  </w:style>
  <w:style w:type="paragraph" w:styleId="Heading4">
    <w:name w:val="heading 4"/>
    <w:basedOn w:val="normal0"/>
    <w:next w:val="normal0"/>
    <w:rsid w:val="00E72F39"/>
    <w:pPr>
      <w:keepNext/>
      <w:keepLines/>
      <w:spacing w:before="280" w:after="80"/>
      <w:contextualSpacing/>
      <w:outlineLvl w:val="3"/>
    </w:pPr>
    <w:rPr>
      <w:color w:val="666666"/>
      <w:sz w:val="24"/>
      <w:szCs w:val="24"/>
    </w:rPr>
  </w:style>
  <w:style w:type="paragraph" w:styleId="Heading5">
    <w:name w:val="heading 5"/>
    <w:basedOn w:val="normal0"/>
    <w:next w:val="normal0"/>
    <w:rsid w:val="00E72F39"/>
    <w:pPr>
      <w:keepNext/>
      <w:keepLines/>
      <w:spacing w:before="240" w:after="80"/>
      <w:contextualSpacing/>
      <w:outlineLvl w:val="4"/>
    </w:pPr>
    <w:rPr>
      <w:color w:val="666666"/>
    </w:rPr>
  </w:style>
  <w:style w:type="paragraph" w:styleId="Heading6">
    <w:name w:val="heading 6"/>
    <w:basedOn w:val="normal0"/>
    <w:next w:val="normal0"/>
    <w:rsid w:val="00E72F39"/>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72F39"/>
  </w:style>
  <w:style w:type="paragraph" w:styleId="Title">
    <w:name w:val="Title"/>
    <w:basedOn w:val="normal0"/>
    <w:next w:val="normal0"/>
    <w:rsid w:val="00E72F39"/>
    <w:pPr>
      <w:keepNext/>
      <w:keepLines/>
      <w:spacing w:after="60"/>
      <w:contextualSpacing/>
    </w:pPr>
    <w:rPr>
      <w:sz w:val="52"/>
      <w:szCs w:val="52"/>
    </w:rPr>
  </w:style>
  <w:style w:type="paragraph" w:styleId="Subtitle">
    <w:name w:val="Subtitle"/>
    <w:basedOn w:val="normal0"/>
    <w:next w:val="normal0"/>
    <w:rsid w:val="00E72F39"/>
    <w:pPr>
      <w:keepNext/>
      <w:keepLines/>
      <w:spacing w:after="320"/>
      <w:contextualSpacing/>
    </w:pPr>
    <w:rPr>
      <w:color w:val="666666"/>
      <w:sz w:val="30"/>
      <w:szCs w:val="30"/>
    </w:rPr>
  </w:style>
  <w:style w:type="table" w:customStyle="1" w:styleId="1">
    <w:name w:val="1"/>
    <w:basedOn w:val="TableNormal"/>
    <w:rsid w:val="00E72F39"/>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E704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0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index.justice.gov.il/Pubilcations/Articles/Pages/FreedomOfInformation2912.aspx" TargetMode="External"/><Relationship Id="rId18" Type="http://schemas.openxmlformats.org/officeDocument/2006/relationships/hyperlink" Target="http://index.justice.gov.il/Pubilcations/Articles/Pages/FreedomOfInformation2912.aspx" TargetMode="External"/><Relationship Id="rId26" Type="http://schemas.openxmlformats.org/officeDocument/2006/relationships/hyperlink" Target="http://www.otvorenezmluvy.sk/" TargetMode="External"/><Relationship Id="rId39"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oecdinsights.org/2015/03/27/transparency-in-public-procurement-moving-away-from-the-abstract/" TargetMode="External"/><Relationship Id="rId7" Type="http://schemas.openxmlformats.org/officeDocument/2006/relationships/hyperlink" Target="https://foi.gov.il/" TargetMode="External"/><Relationship Id="rId12" Type="http://schemas.openxmlformats.org/officeDocument/2006/relationships/hyperlink" Target="https://foi.gov.il/" TargetMode="External"/><Relationship Id="rId17" Type="http://schemas.openxmlformats.org/officeDocument/2006/relationships/hyperlink" Target="http://index.justice.gov.il/Pubilcations/Articles/Pages/FreedomOfInformation2912.aspx" TargetMode="External"/><Relationship Id="rId25" Type="http://schemas.openxmlformats.org/officeDocument/2006/relationships/hyperlink" Target="http://www.otvorenezmluvy.sk/" TargetMode="External"/><Relationship Id="rId33" Type="http://schemas.openxmlformats.org/officeDocument/2006/relationships/hyperlink" Target="http://www.cgdev.org/sites/default/files/publishing-government-contracts-report.pdf" TargetMode="External"/><Relationship Id="rId38"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index.justice.gov.il/Pubilcations/Articles/Pages/FreedomOfInformation2912.aspx" TargetMode="External"/><Relationship Id="rId20" Type="http://schemas.openxmlformats.org/officeDocument/2006/relationships/image" Target="media/image3.png"/><Relationship Id="rId29" Type="http://schemas.openxmlformats.org/officeDocument/2006/relationships/hyperlink" Target="http://www.otvorenezmluvy.s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foi.gov.il/" TargetMode="External"/><Relationship Id="rId24" Type="http://schemas.openxmlformats.org/officeDocument/2006/relationships/hyperlink" Target="http://www.otvorenezmluvy.sk/" TargetMode="External"/><Relationship Id="rId32" Type="http://schemas.openxmlformats.org/officeDocument/2006/relationships/hyperlink" Target="https://buyandsell.gc.ca/" TargetMode="External"/><Relationship Id="rId37" Type="http://schemas.openxmlformats.org/officeDocument/2006/relationships/customXml" Target="../customXml/item1.xml"/><Relationship Id="rId5" Type="http://schemas.openxmlformats.org/officeDocument/2006/relationships/image" Target="media/image1.png"/><Relationship Id="rId15" Type="http://schemas.openxmlformats.org/officeDocument/2006/relationships/hyperlink" Target="http://index.justice.gov.il/Pubilcations/Articles/Pages/FreedomOfInformation2912.aspx" TargetMode="External"/><Relationship Id="rId23" Type="http://schemas.openxmlformats.org/officeDocument/2006/relationships/hyperlink" Target="http://www.otvorenezmluvy.sk/" TargetMode="External"/><Relationship Id="rId28" Type="http://schemas.openxmlformats.org/officeDocument/2006/relationships/hyperlink" Target="http://www.otvorenezmluvy.sk/" TargetMode="External"/><Relationship Id="rId36" Type="http://schemas.openxmlformats.org/officeDocument/2006/relationships/theme" Target="theme/theme1.xml"/><Relationship Id="rId10" Type="http://schemas.openxmlformats.org/officeDocument/2006/relationships/hyperlink" Target="https://foi.gov.il/" TargetMode="External"/><Relationship Id="rId19" Type="http://schemas.openxmlformats.org/officeDocument/2006/relationships/hyperlink" Target="http://index.justice.gov.il/Pubilcations/Articles/Pages/FreedomOfInformation2912.aspx" TargetMode="External"/><Relationship Id="rId31" Type="http://schemas.openxmlformats.org/officeDocument/2006/relationships/hyperlink" Target="http://www.otvorenezmluvy.sk/" TargetMode="External"/><Relationship Id="rId4" Type="http://schemas.openxmlformats.org/officeDocument/2006/relationships/webSettings" Target="webSettings.xml"/><Relationship Id="rId9" Type="http://schemas.openxmlformats.org/officeDocument/2006/relationships/hyperlink" Target="https://foi.gov.il/" TargetMode="External"/><Relationship Id="rId14" Type="http://schemas.openxmlformats.org/officeDocument/2006/relationships/hyperlink" Target="http://index.justice.gov.il/Pubilcations/Articles/Pages/FreedomOfInformation2912.aspx" TargetMode="External"/><Relationship Id="rId22" Type="http://schemas.openxmlformats.org/officeDocument/2006/relationships/hyperlink" Target="http://www.e-pps.eu/view_category.php?catid=87" TargetMode="External"/><Relationship Id="rId27" Type="http://schemas.openxmlformats.org/officeDocument/2006/relationships/hyperlink" Target="http://www.otvorenezmluvy.sk/" TargetMode="External"/><Relationship Id="rId30" Type="http://schemas.openxmlformats.org/officeDocument/2006/relationships/hyperlink" Target="http://www.otvorenezmluvy.sk/" TargetMode="External"/><Relationship Id="rId35" Type="http://schemas.openxmlformats.org/officeDocument/2006/relationships/fontTable" Target="fontTable.xml"/><Relationship Id="rId8" Type="http://schemas.openxmlformats.org/officeDocument/2006/relationships/hyperlink" Target="https://foi.gov.i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1EA9FA-9586-44C7-A2BE-8324ACF004AF}"/>
</file>

<file path=customXml/itemProps2.xml><?xml version="1.0" encoding="utf-8"?>
<ds:datastoreItem xmlns:ds="http://schemas.openxmlformats.org/officeDocument/2006/customXml" ds:itemID="{16598D1B-7986-42D3-969B-21D21EDD7E22}"/>
</file>

<file path=customXml/itemProps3.xml><?xml version="1.0" encoding="utf-8"?>
<ds:datastoreItem xmlns:ds="http://schemas.openxmlformats.org/officeDocument/2006/customXml" ds:itemID="{03DC9D80-6AAD-425C-9783-B3E0A920ABE5}"/>
</file>

<file path=docProps/app.xml><?xml version="1.0" encoding="utf-8"?>
<Properties xmlns="http://schemas.openxmlformats.org/officeDocument/2006/extended-properties" xmlns:vt="http://schemas.openxmlformats.org/officeDocument/2006/docPropsVTypes">
  <Template>Normal</Template>
  <TotalTime>3</TotalTime>
  <Pages>4</Pages>
  <Words>1455</Words>
  <Characters>8298</Characters>
  <Application>Microsoft Office Word</Application>
  <DocSecurity>0</DocSecurity>
  <Lines>69</Lines>
  <Paragraphs>19</Paragraphs>
  <ScaleCrop>false</ScaleCrop>
  <Company/>
  <LinksUpToDate>false</LinksUpToDate>
  <CharactersWithSpaces>9734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Holstein</dc:creator>
  <cp:lastModifiedBy>Holstein</cp:lastModifiedBy>
  <cp:revision>2</cp:revision>
  <dcterms:created xsi:type="dcterms:W3CDTF">2015-12-14T18:41:00Z</dcterms:created>
  <dcterms:modified xsi:type="dcterms:W3CDTF">2015-12-14T18:44:00Z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