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C2E29" w:rsidRPr="0000131B" w:rsidRDefault="004033D8" w:rsidP="00A443CF">
      <w:pPr>
        <w:pStyle w:val="HeadHatzaotHok"/>
        <w:jc w:val="right"/>
        <w:rPr>
          <w:b w:val="0"/>
          <w:bCs w:val="0"/>
          <w:szCs w:val="20"/>
        </w:rPr>
      </w:pPr>
      <w:r w:rsidRPr="0000131B">
        <w:rPr>
          <w:rFonts w:hint="cs"/>
          <w:b w:val="0"/>
          <w:bCs w:val="0"/>
          <w:szCs w:val="20"/>
          <w:rtl/>
        </w:rPr>
        <w:t xml:space="preserve">מספר פנימי: </w:t>
      </w:r>
      <w:bookmarkStart w:id="0" w:name="LGS_Internal_ID"/>
      <w:r>
        <w:rPr>
          <w:rFonts w:hint="cs"/>
          <w:b w:val="0"/>
          <w:bCs w:val="0"/>
          <w:szCs w:val="20"/>
          <w:rtl/>
        </w:rPr>
        <w:t>566991</w:t>
      </w:r>
      <w:bookmarkEnd w:id="0"/>
    </w:p>
    <w:p w:rsidR="00E13C27" w:rsidRPr="00DB7060" w:rsidRDefault="00E13C27" w:rsidP="00A443CF">
      <w:pPr>
        <w:pStyle w:val="HeadHatzaotHok"/>
        <w:rPr>
          <w:sz w:val="28"/>
          <w:szCs w:val="28"/>
          <w:rtl/>
        </w:rPr>
      </w:pPr>
      <w:r w:rsidRPr="00DB7060">
        <w:rPr>
          <w:rFonts w:hint="cs"/>
          <w:sz w:val="28"/>
          <w:szCs w:val="28"/>
          <w:rtl/>
        </w:rPr>
        <w:t xml:space="preserve">הכנסת </w:t>
      </w:r>
      <w:bookmarkStart w:id="1" w:name="LGS_Knesset_Num"/>
      <w:r>
        <w:rPr>
          <w:rFonts w:hint="cs"/>
          <w:sz w:val="28"/>
          <w:szCs w:val="28"/>
          <w:rtl/>
        </w:rPr>
        <w:t>העשרים</w:t>
      </w:r>
      <w:bookmarkEnd w:id="1"/>
    </w:p>
    <w:p w:rsidR="00E13C27" w:rsidRPr="00F67051" w:rsidRDefault="00E13C27" w:rsidP="00E13C27">
      <w:pPr>
        <w:rPr>
          <w:rFonts w:cs="David"/>
          <w:b/>
          <w:bCs/>
          <w:sz w:val="26"/>
          <w:szCs w:val="26"/>
          <w:rtl/>
        </w:rPr>
      </w:pPr>
    </w:p>
    <w:p w:rsidR="00E13C27" w:rsidRDefault="008F6665" w:rsidP="00930EFE">
      <w:pPr>
        <w:pStyle w:val="David"/>
        <w:spacing w:line="360" w:lineRule="auto"/>
        <w:ind w:left="3544"/>
        <w:rPr>
          <w:b/>
          <w:bCs/>
          <w:rtl/>
        </w:rPr>
      </w:pPr>
      <w:bookmarkStart w:id="2" w:name="LGS_Initiators_List"/>
      <w:r>
        <w:rPr>
          <w:b/>
          <w:bCs/>
          <w:rtl/>
        </w:rPr>
        <w:t>יוזמים:      חברי הכנסת</w:t>
      </w:r>
      <w:bookmarkEnd w:id="2"/>
      <w:r w:rsidR="00B35784" w:rsidRPr="00F67051">
        <w:rPr>
          <w:b/>
          <w:bCs/>
        </w:rPr>
        <w:tab/>
      </w:r>
      <w:bookmarkStart w:id="3" w:name="LGS_PM_Names"/>
      <w:r>
        <w:rPr>
          <w:rFonts w:hint="cs"/>
          <w:b/>
          <w:bCs/>
          <w:rtl/>
        </w:rPr>
        <w:t>טלי פלוסקוב</w:t>
      </w:r>
      <w:r>
        <w:br/>
      </w:r>
      <w:r>
        <w:rPr>
          <w:rFonts w:hint="cs"/>
          <w:b/>
          <w:bCs/>
          <w:rtl/>
        </w:rPr>
        <w:t xml:space="preserve"> </w:t>
      </w:r>
      <w:r>
        <w:tab/>
      </w:r>
      <w:r>
        <w:tab/>
      </w:r>
      <w:r>
        <w:tab/>
      </w:r>
      <w:r>
        <w:tab/>
      </w:r>
      <w:r>
        <w:rPr>
          <w:rFonts w:hint="cs"/>
          <w:b/>
          <w:bCs/>
          <w:rtl/>
        </w:rPr>
        <w:t>מירב בן ארי</w:t>
      </w:r>
      <w:r>
        <w:br/>
      </w:r>
      <w:r>
        <w:rPr>
          <w:rFonts w:hint="cs"/>
          <w:b/>
          <w:bCs/>
          <w:rtl/>
        </w:rPr>
        <w:t xml:space="preserve"> </w:t>
      </w:r>
      <w:r>
        <w:tab/>
      </w:r>
      <w:r>
        <w:tab/>
      </w:r>
      <w:r>
        <w:tab/>
      </w:r>
      <w:r>
        <w:tab/>
      </w:r>
      <w:r>
        <w:rPr>
          <w:rFonts w:hint="cs"/>
          <w:b/>
          <w:bCs/>
          <w:rtl/>
        </w:rPr>
        <w:t>אלי כהן</w:t>
      </w:r>
      <w:r>
        <w:br/>
      </w:r>
      <w:r>
        <w:rPr>
          <w:rFonts w:hint="cs"/>
          <w:b/>
          <w:bCs/>
          <w:rtl/>
        </w:rPr>
        <w:t xml:space="preserve"> </w:t>
      </w:r>
      <w:r>
        <w:tab/>
      </w:r>
      <w:r>
        <w:tab/>
      </w:r>
      <w:r>
        <w:tab/>
      </w:r>
      <w:r>
        <w:tab/>
      </w:r>
      <w:r>
        <w:rPr>
          <w:rFonts w:hint="cs"/>
          <w:b/>
          <w:bCs/>
          <w:rtl/>
        </w:rPr>
        <w:t>אלי אלאלוף</w:t>
      </w:r>
      <w:r>
        <w:br/>
      </w:r>
      <w:r>
        <w:rPr>
          <w:rFonts w:hint="cs"/>
          <w:b/>
          <w:bCs/>
          <w:rtl/>
        </w:rPr>
        <w:t xml:space="preserve"> </w:t>
      </w:r>
      <w:r>
        <w:tab/>
      </w:r>
      <w:r>
        <w:tab/>
      </w:r>
      <w:r>
        <w:tab/>
      </w:r>
      <w:r>
        <w:tab/>
      </w:r>
      <w:r>
        <w:rPr>
          <w:rFonts w:hint="cs"/>
          <w:b/>
          <w:bCs/>
          <w:rtl/>
        </w:rPr>
        <w:t>יפעת שאשא ביטון</w:t>
      </w:r>
      <w:r>
        <w:br/>
      </w:r>
      <w:r>
        <w:rPr>
          <w:rFonts w:hint="cs"/>
          <w:b/>
          <w:bCs/>
          <w:rtl/>
        </w:rPr>
        <w:t xml:space="preserve"> </w:t>
      </w:r>
      <w:r>
        <w:tab/>
      </w:r>
      <w:r>
        <w:tab/>
      </w:r>
      <w:r>
        <w:tab/>
      </w:r>
      <w:r>
        <w:tab/>
      </w:r>
      <w:r>
        <w:rPr>
          <w:rFonts w:hint="cs"/>
          <w:b/>
          <w:bCs/>
          <w:rtl/>
        </w:rPr>
        <w:t>רועי פולקמן</w:t>
      </w:r>
      <w:r>
        <w:br/>
      </w:r>
      <w:r>
        <w:rPr>
          <w:rFonts w:hint="cs"/>
          <w:b/>
          <w:bCs/>
          <w:rtl/>
        </w:rPr>
        <w:t xml:space="preserve"> </w:t>
      </w:r>
      <w:r>
        <w:tab/>
      </w:r>
      <w:r>
        <w:tab/>
      </w:r>
      <w:r>
        <w:tab/>
      </w:r>
      <w:r>
        <w:tab/>
      </w:r>
      <w:r>
        <w:rPr>
          <w:rFonts w:hint="cs"/>
          <w:b/>
          <w:bCs/>
          <w:rtl/>
        </w:rPr>
        <w:t>איתן כבל</w:t>
      </w:r>
      <w:r>
        <w:br/>
      </w:r>
      <w:r>
        <w:rPr>
          <w:rFonts w:hint="cs"/>
          <w:b/>
          <w:bCs/>
          <w:rtl/>
        </w:rPr>
        <w:t xml:space="preserve"> </w:t>
      </w:r>
      <w:r>
        <w:tab/>
      </w:r>
      <w:r>
        <w:tab/>
      </w:r>
      <w:r>
        <w:tab/>
      </w:r>
      <w:r>
        <w:tab/>
      </w:r>
      <w:r>
        <w:rPr>
          <w:rFonts w:hint="cs"/>
          <w:b/>
          <w:bCs/>
          <w:rtl/>
        </w:rPr>
        <w:t>איציק שמולי</w:t>
      </w:r>
      <w:r>
        <w:br/>
      </w:r>
      <w:r>
        <w:rPr>
          <w:rFonts w:hint="cs"/>
          <w:b/>
          <w:bCs/>
          <w:rtl/>
        </w:rPr>
        <w:t xml:space="preserve"> </w:t>
      </w:r>
      <w:r>
        <w:tab/>
      </w:r>
      <w:r>
        <w:tab/>
      </w:r>
      <w:r>
        <w:tab/>
      </w:r>
      <w:r>
        <w:tab/>
      </w:r>
      <w:r>
        <w:rPr>
          <w:rFonts w:hint="cs"/>
          <w:b/>
          <w:bCs/>
          <w:rtl/>
        </w:rPr>
        <w:t>דב חנין</w:t>
      </w:r>
      <w:r>
        <w:br/>
      </w:r>
      <w:r>
        <w:rPr>
          <w:rFonts w:hint="cs"/>
          <w:b/>
          <w:bCs/>
          <w:rtl/>
        </w:rPr>
        <w:t xml:space="preserve"> </w:t>
      </w:r>
      <w:r>
        <w:tab/>
      </w:r>
      <w:r>
        <w:tab/>
      </w:r>
      <w:r>
        <w:tab/>
      </w:r>
      <w:r>
        <w:tab/>
      </w:r>
      <w:r>
        <w:rPr>
          <w:rFonts w:hint="cs"/>
          <w:b/>
          <w:bCs/>
          <w:rtl/>
        </w:rPr>
        <w:t>מיקי לוי</w:t>
      </w:r>
      <w:r>
        <w:br/>
      </w:r>
      <w:r>
        <w:rPr>
          <w:rFonts w:hint="cs"/>
          <w:b/>
          <w:bCs/>
          <w:rtl/>
        </w:rPr>
        <w:t xml:space="preserve"> </w:t>
      </w:r>
      <w:r>
        <w:tab/>
      </w:r>
      <w:r>
        <w:tab/>
      </w:r>
      <w:r>
        <w:tab/>
      </w:r>
      <w:r>
        <w:tab/>
      </w:r>
      <w:r>
        <w:rPr>
          <w:rFonts w:hint="cs"/>
          <w:b/>
          <w:bCs/>
          <w:rtl/>
        </w:rPr>
        <w:t>קסניה סבטלובה</w:t>
      </w:r>
      <w:r>
        <w:br/>
      </w:r>
      <w:r>
        <w:rPr>
          <w:rFonts w:hint="cs"/>
          <w:b/>
          <w:bCs/>
          <w:rtl/>
        </w:rPr>
        <w:t xml:space="preserve"> </w:t>
      </w:r>
      <w:r>
        <w:tab/>
      </w:r>
      <w:r>
        <w:tab/>
      </w:r>
      <w:r>
        <w:tab/>
      </w:r>
      <w:r>
        <w:tab/>
      </w:r>
      <w:r>
        <w:rPr>
          <w:rFonts w:hint="cs"/>
          <w:b/>
          <w:bCs/>
          <w:rtl/>
        </w:rPr>
        <w:t>עבדאללה אבו מערוף</w:t>
      </w:r>
      <w:r>
        <w:br/>
      </w:r>
      <w:r>
        <w:rPr>
          <w:rFonts w:hint="cs"/>
          <w:b/>
          <w:bCs/>
          <w:rtl/>
        </w:rPr>
        <w:t xml:space="preserve"> </w:t>
      </w:r>
      <w:r>
        <w:tab/>
      </w:r>
      <w:r>
        <w:tab/>
      </w:r>
      <w:r>
        <w:tab/>
      </w:r>
      <w:r>
        <w:tab/>
      </w:r>
      <w:r>
        <w:rPr>
          <w:rFonts w:hint="cs"/>
          <w:b/>
          <w:bCs/>
          <w:rtl/>
        </w:rPr>
        <w:t>סתיו שפיר</w:t>
      </w:r>
      <w:r>
        <w:br/>
      </w:r>
      <w:r>
        <w:rPr>
          <w:rFonts w:hint="cs"/>
          <w:b/>
          <w:bCs/>
          <w:rtl/>
        </w:rPr>
        <w:t xml:space="preserve"> </w:t>
      </w:r>
      <w:r>
        <w:tab/>
      </w:r>
      <w:r>
        <w:tab/>
      </w:r>
      <w:r>
        <w:tab/>
      </w:r>
      <w:r>
        <w:tab/>
      </w:r>
      <w:r>
        <w:rPr>
          <w:rFonts w:hint="cs"/>
          <w:b/>
          <w:bCs/>
          <w:rtl/>
        </w:rPr>
        <w:t>יוסי יונה</w:t>
      </w:r>
      <w:r>
        <w:br/>
      </w:r>
      <w:r>
        <w:rPr>
          <w:rFonts w:hint="cs"/>
          <w:b/>
          <w:bCs/>
          <w:rtl/>
        </w:rPr>
        <w:t xml:space="preserve"> </w:t>
      </w:r>
      <w:r>
        <w:tab/>
      </w:r>
      <w:r>
        <w:tab/>
      </w:r>
      <w:r>
        <w:tab/>
      </w:r>
      <w:r>
        <w:tab/>
      </w:r>
      <w:r>
        <w:rPr>
          <w:rFonts w:hint="cs"/>
          <w:b/>
          <w:bCs/>
          <w:rtl/>
        </w:rPr>
        <w:t>מרב מיכאלי</w:t>
      </w:r>
      <w:r>
        <w:br/>
      </w:r>
      <w:r>
        <w:rPr>
          <w:rFonts w:hint="cs"/>
          <w:b/>
          <w:bCs/>
          <w:rtl/>
        </w:rPr>
        <w:t xml:space="preserve"> </w:t>
      </w:r>
      <w:r>
        <w:tab/>
      </w:r>
      <w:r>
        <w:tab/>
      </w:r>
      <w:r>
        <w:tab/>
      </w:r>
      <w:r>
        <w:tab/>
      </w:r>
      <w:r>
        <w:rPr>
          <w:rFonts w:hint="cs"/>
          <w:b/>
          <w:bCs/>
          <w:rtl/>
        </w:rPr>
        <w:t>איתן ברושי</w:t>
      </w:r>
      <w:r>
        <w:br/>
      </w:r>
      <w:r>
        <w:rPr>
          <w:rFonts w:hint="cs"/>
          <w:b/>
          <w:bCs/>
          <w:rtl/>
        </w:rPr>
        <w:t xml:space="preserve"> </w:t>
      </w:r>
      <w:r>
        <w:tab/>
      </w:r>
      <w:r>
        <w:tab/>
      </w:r>
      <w:r>
        <w:tab/>
      </w:r>
      <w:r>
        <w:tab/>
      </w:r>
      <w:r>
        <w:rPr>
          <w:rFonts w:hint="cs"/>
          <w:b/>
          <w:bCs/>
          <w:rtl/>
        </w:rPr>
        <w:t>תמר זנדברג</w:t>
      </w:r>
      <w:r>
        <w:br/>
      </w:r>
      <w:r>
        <w:rPr>
          <w:rFonts w:hint="cs"/>
          <w:b/>
          <w:bCs/>
          <w:rtl/>
        </w:rPr>
        <w:t xml:space="preserve"> </w:t>
      </w:r>
      <w:r>
        <w:tab/>
      </w:r>
      <w:r>
        <w:tab/>
      </w:r>
      <w:r>
        <w:tab/>
      </w:r>
      <w:r>
        <w:tab/>
      </w:r>
      <w:r>
        <w:rPr>
          <w:rFonts w:hint="cs"/>
          <w:b/>
          <w:bCs/>
          <w:rtl/>
        </w:rPr>
        <w:t>נורית קורן</w:t>
      </w:r>
      <w:r>
        <w:br/>
      </w:r>
      <w:r>
        <w:rPr>
          <w:rFonts w:hint="cs"/>
          <w:b/>
          <w:bCs/>
          <w:rtl/>
        </w:rPr>
        <w:t xml:space="preserve"> </w:t>
      </w:r>
      <w:r>
        <w:tab/>
      </w:r>
      <w:r>
        <w:tab/>
      </w:r>
      <w:r>
        <w:tab/>
      </w:r>
      <w:r>
        <w:tab/>
      </w:r>
      <w:r>
        <w:rPr>
          <w:rFonts w:hint="cs"/>
          <w:b/>
          <w:bCs/>
          <w:rtl/>
        </w:rPr>
        <w:t>יואל חסון</w:t>
      </w:r>
      <w:bookmarkEnd w:id="3"/>
    </w:p>
    <w:p w:rsidR="00E13C27" w:rsidRPr="00CF1AA2" w:rsidRDefault="007D585A" w:rsidP="0036422C">
      <w:pPr>
        <w:pStyle w:val="David"/>
        <w:spacing w:before="0" w:line="360" w:lineRule="auto"/>
        <w:ind w:left="3544"/>
        <w:rPr>
          <w:b/>
          <w:bCs/>
          <w:sz w:val="16"/>
          <w:szCs w:val="16"/>
          <w:rtl/>
        </w:rPr>
      </w:pPr>
      <w:bookmarkStart w:id="4" w:name="LGS_Join_List"/>
      <w:r>
        <w:rPr>
          <w:rtl/>
        </w:rPr>
        <w:t xml:space="preserve"> </w:t>
      </w:r>
      <w:bookmarkEnd w:id="4"/>
      <w:r w:rsidR="002200A1" w:rsidRPr="00CF1AA2">
        <w:rPr>
          <w:rFonts w:hint="cs"/>
          <w:rtl/>
        </w:rPr>
        <w:tab/>
      </w:r>
      <w:bookmarkStart w:id="5" w:name="LGS_PM_NamesJoin"/>
      <w:r>
        <w:rPr>
          <w:rFonts w:hint="cs"/>
          <w:rtl/>
        </w:rPr>
        <w:t xml:space="preserve"> </w:t>
      </w:r>
      <w:bookmarkEnd w:id="5"/>
    </w:p>
    <w:p w:rsidR="00904591" w:rsidRPr="00904591" w:rsidRDefault="00266D86" w:rsidP="0036422C">
      <w:pPr>
        <w:pStyle w:val="David"/>
        <w:spacing w:before="0" w:line="360" w:lineRule="auto"/>
        <w:ind w:left="3544"/>
        <w:rPr>
          <w:sz w:val="4"/>
          <w:szCs w:val="4"/>
          <w:rtl/>
        </w:rPr>
      </w:pPr>
      <w:r>
        <w:t>____</w:t>
      </w:r>
      <w:r w:rsidR="00E374F2">
        <w:t>__</w:t>
      </w:r>
      <w:r>
        <w:t>________________________________________</w:t>
      </w:r>
      <w:r w:rsidR="00E06736" w:rsidRPr="00E06736">
        <w:tab/>
      </w:r>
      <w:r w:rsidR="00E13C27" w:rsidRPr="00E06736">
        <w:rPr>
          <w:rFonts w:hint="cs"/>
          <w:rtl/>
        </w:rPr>
        <w:tab/>
      </w:r>
      <w:r w:rsidR="00E13C27" w:rsidRPr="00E06736">
        <w:rPr>
          <w:rFonts w:hint="cs"/>
          <w:rtl/>
        </w:rPr>
        <w:tab/>
      </w:r>
      <w:r w:rsidR="00E13C27" w:rsidRPr="00E06736">
        <w:rPr>
          <w:rFonts w:hint="cs"/>
          <w:rtl/>
        </w:rPr>
        <w:tab/>
      </w:r>
      <w:r w:rsidR="00904591">
        <w:t xml:space="preserve">           </w:t>
      </w:r>
    </w:p>
    <w:p w:rsidR="00E13C27" w:rsidRPr="00E06736" w:rsidRDefault="00904591" w:rsidP="00904591">
      <w:pPr>
        <w:pStyle w:val="David"/>
        <w:spacing w:before="0" w:line="240" w:lineRule="auto"/>
        <w:ind w:left="3544"/>
        <w:rPr>
          <w:rtl/>
        </w:rPr>
      </w:pPr>
      <w:r>
        <w:t xml:space="preserve">                                            </w:t>
      </w:r>
      <w:r w:rsidR="008F1308">
        <w:t xml:space="preserve"> </w:t>
      </w:r>
      <w:bookmarkStart w:id="6" w:name="Private_Number"/>
      <w:r>
        <w:rPr>
          <w:rFonts w:hint="cs"/>
          <w:rtl/>
        </w:rPr>
        <w:t>פ/1763/20</w:t>
      </w:r>
      <w:bookmarkEnd w:id="6"/>
    </w:p>
    <w:p w:rsidR="00E13C27" w:rsidRDefault="00E13C27" w:rsidP="00E13C27">
      <w:pPr>
        <w:spacing w:before="0" w:line="360" w:lineRule="auto"/>
        <w:ind w:left="2880" w:firstLine="720"/>
        <w:rPr>
          <w:rFonts w:cs="David"/>
          <w:sz w:val="26"/>
          <w:szCs w:val="26"/>
          <w:rtl/>
        </w:rPr>
      </w:pPr>
    </w:p>
    <w:p w:rsidR="00E13C27" w:rsidRPr="00F67051" w:rsidRDefault="00A443CF" w:rsidP="00036AD9">
      <w:pPr>
        <w:pStyle w:val="HeadHatzaotHok"/>
        <w:rPr>
          <w:rtl/>
        </w:rPr>
      </w:pPr>
      <w:bookmarkStart w:id="7" w:name="LGS_Subject"/>
      <w:r>
        <w:rPr>
          <w:rFonts w:hint="cs"/>
          <w:rtl/>
        </w:rPr>
        <w:t xml:space="preserve">הצעת חוק הגנת הצרכן (תיקון </w:t>
      </w:r>
      <w:r w:rsidR="00036AD9">
        <w:rPr>
          <w:rFonts w:hint="eastAsia"/>
          <w:rtl/>
        </w:rPr>
        <w:t>–</w:t>
      </w:r>
      <w:r w:rsidR="00036AD9">
        <w:rPr>
          <w:rFonts w:hint="cs"/>
          <w:rtl/>
        </w:rPr>
        <w:t xml:space="preserve"> </w:t>
      </w:r>
      <w:r w:rsidR="00036AD9" w:rsidRPr="00FC6925">
        <w:rPr>
          <w:rtl/>
        </w:rPr>
        <w:t>איסור מניעה מצרכן להביא למקום עסק מזון או שתייה מאותו סוג הנמכר במקום</w:t>
      </w:r>
      <w:r>
        <w:rPr>
          <w:rFonts w:hint="cs"/>
          <w:rtl/>
        </w:rPr>
        <w:t xml:space="preserve">), התשע"ה–2015 </w:t>
      </w:r>
      <w:bookmarkEnd w:id="7"/>
    </w:p>
    <w:p w:rsidR="00E13C27" w:rsidRDefault="00E13C27" w:rsidP="0021633A">
      <w:pPr>
        <w:pStyle w:val="HeadDivreiHesber"/>
        <w:spacing w:before="0" w:after="0"/>
        <w:rPr>
          <w:rtl/>
        </w:rPr>
      </w:pPr>
    </w:p>
    <w:tbl>
      <w:tblPr>
        <w:bidiVisual/>
        <w:tblW w:w="9638" w:type="dxa"/>
        <w:tblCellMar>
          <w:top w:w="57" w:type="dxa"/>
          <w:left w:w="0" w:type="dxa"/>
          <w:bottom w:w="57" w:type="dxa"/>
          <w:right w:w="0" w:type="dxa"/>
        </w:tblCellMar>
        <w:tblLook w:val="0000" w:firstRow="0" w:lastRow="0" w:firstColumn="0" w:lastColumn="0" w:noHBand="0" w:noVBand="0"/>
      </w:tblPr>
      <w:tblGrid>
        <w:gridCol w:w="1871"/>
        <w:gridCol w:w="624"/>
        <w:gridCol w:w="7143"/>
      </w:tblGrid>
      <w:tr w:rsidR="003D3B4C" w:rsidTr="00FC6925">
        <w:trPr>
          <w:cantSplit/>
        </w:trPr>
        <w:tc>
          <w:tcPr>
            <w:tcW w:w="1871" w:type="dxa"/>
            <w:tcBorders>
              <w:top w:val="nil"/>
              <w:left w:val="nil"/>
              <w:bottom w:val="nil"/>
              <w:right w:val="nil"/>
            </w:tcBorders>
          </w:tcPr>
          <w:p w:rsidR="005A3A2F" w:rsidRPr="00FC6925" w:rsidRDefault="005A3A2F" w:rsidP="00FC6925">
            <w:pPr>
              <w:pStyle w:val="TableSideHeading"/>
              <w:ind w:right="0"/>
            </w:pPr>
            <w:r w:rsidRPr="00D85D62">
              <w:rPr>
                <w:rFonts w:hint="cs"/>
                <w:rtl/>
              </w:rPr>
              <w:t xml:space="preserve">תיקון </w:t>
            </w:r>
            <w:r w:rsidRPr="003D3B4C">
              <w:rPr>
                <w:rFonts w:hint="cs"/>
                <w:rtl/>
              </w:rPr>
              <w:t>סעיף 3</w:t>
            </w:r>
          </w:p>
        </w:tc>
        <w:tc>
          <w:tcPr>
            <w:tcW w:w="624" w:type="dxa"/>
            <w:tcBorders>
              <w:top w:val="nil"/>
              <w:left w:val="nil"/>
              <w:bottom w:val="nil"/>
              <w:right w:val="nil"/>
            </w:tcBorders>
          </w:tcPr>
          <w:p w:rsidR="005A3A2F" w:rsidRPr="00FC6925" w:rsidRDefault="005A3A2F" w:rsidP="00FC6925">
            <w:pPr>
              <w:pStyle w:val="TableText"/>
              <w:ind w:right="0"/>
              <w:jc w:val="both"/>
              <w:rPr>
                <w:rtl/>
              </w:rPr>
            </w:pPr>
            <w:r w:rsidRPr="00FC6925">
              <w:rPr>
                <w:rtl/>
              </w:rPr>
              <w:t>1.</w:t>
            </w:r>
          </w:p>
        </w:tc>
        <w:tc>
          <w:tcPr>
            <w:tcW w:w="7143" w:type="dxa"/>
            <w:tcBorders>
              <w:top w:val="nil"/>
              <w:left w:val="nil"/>
              <w:bottom w:val="nil"/>
              <w:right w:val="nil"/>
            </w:tcBorders>
          </w:tcPr>
          <w:p w:rsidR="005A3A2F" w:rsidRPr="00FC6925" w:rsidRDefault="005A3A2F" w:rsidP="00FC6925">
            <w:pPr>
              <w:pStyle w:val="TableBlock"/>
              <w:rPr>
                <w:rtl/>
              </w:rPr>
            </w:pPr>
            <w:r w:rsidRPr="00FC6925">
              <w:rPr>
                <w:rtl/>
              </w:rPr>
              <w:t>ב</w:t>
            </w:r>
            <w:r w:rsidR="003D3B4C">
              <w:rPr>
                <w:rFonts w:hint="cs"/>
                <w:rtl/>
              </w:rPr>
              <w:t>חוק הגנת הצרכן, התשמ"א</w:t>
            </w:r>
            <w:r w:rsidR="003D3B4C">
              <w:rPr>
                <w:rFonts w:hint="eastAsia"/>
                <w:rtl/>
              </w:rPr>
              <w:t>–</w:t>
            </w:r>
            <w:r w:rsidR="003D3B4C">
              <w:rPr>
                <w:rFonts w:hint="cs"/>
                <w:rtl/>
              </w:rPr>
              <w:t>1981</w:t>
            </w:r>
            <w:r w:rsidR="003D3B4C">
              <w:rPr>
                <w:rStyle w:val="a5"/>
                <w:rtl/>
              </w:rPr>
              <w:footnoteReference w:id="2"/>
            </w:r>
            <w:r w:rsidR="003D3B4C">
              <w:rPr>
                <w:rFonts w:hint="cs"/>
                <w:rtl/>
              </w:rPr>
              <w:t>, ב</w:t>
            </w:r>
            <w:r w:rsidRPr="00FC6925">
              <w:rPr>
                <w:rtl/>
              </w:rPr>
              <w:t>סעיף 3(ב)(10)</w:t>
            </w:r>
            <w:r w:rsidR="001A766B">
              <w:rPr>
                <w:rFonts w:hint="cs"/>
                <w:rtl/>
              </w:rPr>
              <w:t>,</w:t>
            </w:r>
            <w:r w:rsidRPr="00FC6925">
              <w:rPr>
                <w:rtl/>
              </w:rPr>
              <w:t xml:space="preserve"> במקום "מאותו סוג שהעוסק מוכר במקום" יבוא  </w:t>
            </w:r>
            <w:r w:rsidR="003D3B4C">
              <w:rPr>
                <w:rFonts w:hint="cs"/>
                <w:rtl/>
              </w:rPr>
              <w:t>"</w:t>
            </w:r>
            <w:r w:rsidRPr="00FC6925">
              <w:rPr>
                <w:rtl/>
              </w:rPr>
              <w:t>מאותו סוג הנמכר במקום".</w:t>
            </w:r>
          </w:p>
        </w:tc>
      </w:tr>
      <w:tr w:rsidR="003D3B4C" w:rsidTr="00FC6925">
        <w:trPr>
          <w:cantSplit/>
        </w:trPr>
        <w:tc>
          <w:tcPr>
            <w:tcW w:w="1871" w:type="dxa"/>
            <w:tcBorders>
              <w:top w:val="nil"/>
              <w:left w:val="nil"/>
              <w:bottom w:val="nil"/>
              <w:right w:val="nil"/>
            </w:tcBorders>
          </w:tcPr>
          <w:p w:rsidR="005A3A2F" w:rsidRPr="00FC6925" w:rsidRDefault="005A3A2F" w:rsidP="00FC6925">
            <w:pPr>
              <w:pStyle w:val="TableSideHeading"/>
              <w:ind w:right="0"/>
              <w:rPr>
                <w:rtl/>
              </w:rPr>
            </w:pPr>
            <w:r w:rsidRPr="00FC6925">
              <w:rPr>
                <w:rtl/>
              </w:rPr>
              <w:t>תחילה</w:t>
            </w:r>
          </w:p>
        </w:tc>
        <w:tc>
          <w:tcPr>
            <w:tcW w:w="624" w:type="dxa"/>
            <w:tcBorders>
              <w:top w:val="nil"/>
              <w:left w:val="nil"/>
              <w:bottom w:val="nil"/>
              <w:right w:val="nil"/>
            </w:tcBorders>
          </w:tcPr>
          <w:p w:rsidR="005A3A2F" w:rsidRPr="00FC6925" w:rsidRDefault="005A3A2F" w:rsidP="00FC6925">
            <w:pPr>
              <w:pStyle w:val="TableText"/>
              <w:ind w:right="0"/>
              <w:jc w:val="both"/>
              <w:rPr>
                <w:rtl/>
              </w:rPr>
            </w:pPr>
            <w:r w:rsidRPr="00FC6925">
              <w:rPr>
                <w:rtl/>
              </w:rPr>
              <w:t>2.</w:t>
            </w:r>
          </w:p>
        </w:tc>
        <w:tc>
          <w:tcPr>
            <w:tcW w:w="7143" w:type="dxa"/>
            <w:tcBorders>
              <w:top w:val="nil"/>
              <w:left w:val="nil"/>
              <w:bottom w:val="nil"/>
              <w:right w:val="nil"/>
            </w:tcBorders>
          </w:tcPr>
          <w:p w:rsidR="005A3A2F" w:rsidRPr="00FC6925" w:rsidRDefault="005A3A2F" w:rsidP="00FC6925">
            <w:pPr>
              <w:pStyle w:val="TableBlock"/>
              <w:rPr>
                <w:rtl/>
              </w:rPr>
            </w:pPr>
            <w:r w:rsidRPr="00FC6925">
              <w:rPr>
                <w:rtl/>
              </w:rPr>
              <w:t>תחילתו של חוק זה שלושים יום מיום פרסומו.</w:t>
            </w:r>
          </w:p>
        </w:tc>
      </w:tr>
    </w:tbl>
    <w:p w:rsidR="002D1EE3" w:rsidRDefault="002D1EE3" w:rsidP="002D1EE3">
      <w:pPr>
        <w:pStyle w:val="HeadDivreiHesber"/>
        <w:rPr>
          <w:rtl/>
        </w:rPr>
      </w:pPr>
      <w:r w:rsidRPr="0027450A">
        <w:rPr>
          <w:rFonts w:hint="cs"/>
          <w:rtl/>
        </w:rPr>
        <w:t>דברי הסבר</w:t>
      </w:r>
    </w:p>
    <w:p w:rsidR="002F0A25" w:rsidRDefault="00D85D62" w:rsidP="002F0A25">
      <w:pPr>
        <w:pStyle w:val="Hesber"/>
        <w:rPr>
          <w:rtl/>
        </w:rPr>
      </w:pPr>
      <w:r>
        <w:rPr>
          <w:rFonts w:hint="cs"/>
          <w:rtl/>
        </w:rPr>
        <w:t>בתיקון 39 לחוק הגנת הצרכן, התשמ"א</w:t>
      </w:r>
      <w:r>
        <w:rPr>
          <w:rFonts w:hint="eastAsia"/>
          <w:rtl/>
        </w:rPr>
        <w:t>–</w:t>
      </w:r>
      <w:r>
        <w:rPr>
          <w:rFonts w:hint="cs"/>
          <w:rtl/>
        </w:rPr>
        <w:t>1981</w:t>
      </w:r>
      <w:r w:rsidR="00B2766E">
        <w:rPr>
          <w:rFonts w:hint="cs"/>
          <w:rtl/>
        </w:rPr>
        <w:t xml:space="preserve"> (להלן </w:t>
      </w:r>
      <w:r w:rsidR="00B2766E">
        <w:rPr>
          <w:rtl/>
        </w:rPr>
        <w:t>–</w:t>
      </w:r>
      <w:r w:rsidR="00B2766E">
        <w:rPr>
          <w:rFonts w:hint="cs"/>
          <w:rtl/>
        </w:rPr>
        <w:t xml:space="preserve"> החוק)</w:t>
      </w:r>
      <w:r>
        <w:rPr>
          <w:rFonts w:hint="cs"/>
          <w:rtl/>
        </w:rPr>
        <w:t xml:space="preserve">, </w:t>
      </w:r>
      <w:r w:rsidR="00B2766E">
        <w:rPr>
          <w:rFonts w:hint="cs"/>
          <w:rtl/>
        </w:rPr>
        <w:t>נקבע ש</w:t>
      </w:r>
      <w:r w:rsidR="00FC6925">
        <w:rPr>
          <w:rFonts w:hint="cs"/>
          <w:rtl/>
        </w:rPr>
        <w:t xml:space="preserve">יראו </w:t>
      </w:r>
      <w:r w:rsidR="00B2766E">
        <w:rPr>
          <w:rFonts w:hint="cs"/>
          <w:rtl/>
        </w:rPr>
        <w:t xml:space="preserve">עוסק </w:t>
      </w:r>
      <w:r w:rsidR="00FC6925">
        <w:rPr>
          <w:rFonts w:hint="cs"/>
          <w:rtl/>
        </w:rPr>
        <w:t>כ</w:t>
      </w:r>
      <w:r w:rsidR="00B2766E">
        <w:rPr>
          <w:rFonts w:hint="cs"/>
          <w:rtl/>
        </w:rPr>
        <w:t>מפעיל השפעה בלתי הוגנת</w:t>
      </w:r>
      <w:r w:rsidR="00FC6925">
        <w:rPr>
          <w:rFonts w:hint="cs"/>
          <w:rtl/>
        </w:rPr>
        <w:t xml:space="preserve"> האסורה לפי החוק,</w:t>
      </w:r>
      <w:r w:rsidR="00B2766E">
        <w:rPr>
          <w:rFonts w:hint="cs"/>
          <w:rtl/>
        </w:rPr>
        <w:t xml:space="preserve"> אם הוא מונ</w:t>
      </w:r>
      <w:r w:rsidRPr="00F36E80">
        <w:rPr>
          <w:rFonts w:hint="cs"/>
          <w:rtl/>
        </w:rPr>
        <w:t>ע מצרכן להביא למקום העסק או מקום אחר המנ</w:t>
      </w:r>
      <w:r w:rsidR="00B2766E">
        <w:rPr>
          <w:rFonts w:hint="cs"/>
          <w:rtl/>
        </w:rPr>
        <w:t>והל על ידי עוסק</w:t>
      </w:r>
      <w:r w:rsidRPr="00F36E80">
        <w:rPr>
          <w:rFonts w:hint="cs"/>
          <w:rtl/>
        </w:rPr>
        <w:t xml:space="preserve"> מזון או שתייה מאותו סוג שהעוסק מוכר במקום</w:t>
      </w:r>
      <w:r w:rsidR="00B2766E">
        <w:rPr>
          <w:rFonts w:hint="cs"/>
          <w:rtl/>
        </w:rPr>
        <w:t>.</w:t>
      </w:r>
      <w:r>
        <w:rPr>
          <w:rFonts w:hint="cs"/>
          <w:rtl/>
        </w:rPr>
        <w:t xml:space="preserve"> הצעת </w:t>
      </w:r>
      <w:r w:rsidR="005A3A2F" w:rsidRPr="00FC6925">
        <w:rPr>
          <w:rtl/>
        </w:rPr>
        <w:t>החוק נועד</w:t>
      </w:r>
      <w:r>
        <w:rPr>
          <w:rFonts w:hint="cs"/>
          <w:rtl/>
        </w:rPr>
        <w:t>ה</w:t>
      </w:r>
      <w:r w:rsidR="005A3A2F" w:rsidRPr="00FC6925">
        <w:rPr>
          <w:rtl/>
        </w:rPr>
        <w:t xml:space="preserve"> לבע</w:t>
      </w:r>
      <w:r w:rsidR="005A3A2F" w:rsidRPr="00D85D62">
        <w:rPr>
          <w:rFonts w:hint="cs"/>
          <w:rtl/>
        </w:rPr>
        <w:t>ר פרקטיקה לא הגונה</w:t>
      </w:r>
      <w:r w:rsidR="005A3A2F" w:rsidRPr="00FC6925">
        <w:rPr>
          <w:rtl/>
        </w:rPr>
        <w:t xml:space="preserve">, </w:t>
      </w:r>
      <w:r w:rsidR="002F0A25">
        <w:rPr>
          <w:rFonts w:hint="cs"/>
          <w:rtl/>
        </w:rPr>
        <w:t>ש</w:t>
      </w:r>
      <w:r w:rsidR="005A3A2F" w:rsidRPr="00FC6925">
        <w:rPr>
          <w:rtl/>
        </w:rPr>
        <w:t>לפיה</w:t>
      </w:r>
      <w:r w:rsidR="00FC6925">
        <w:rPr>
          <w:rFonts w:hint="cs"/>
          <w:rtl/>
        </w:rPr>
        <w:t>,</w:t>
      </w:r>
      <w:r w:rsidR="005A3A2F" w:rsidRPr="00FC6925">
        <w:rPr>
          <w:rtl/>
        </w:rPr>
        <w:t xml:space="preserve"> </w:t>
      </w:r>
      <w:r w:rsidR="00B2766E">
        <w:rPr>
          <w:rFonts w:hint="cs"/>
          <w:rtl/>
        </w:rPr>
        <w:t xml:space="preserve">למרות האמור בתיקון 39 לחוק, </w:t>
      </w:r>
      <w:r w:rsidR="005A3A2F" w:rsidRPr="00FC6925">
        <w:rPr>
          <w:rtl/>
        </w:rPr>
        <w:t>עוסק</w:t>
      </w:r>
      <w:r>
        <w:rPr>
          <w:rFonts w:hint="cs"/>
          <w:rtl/>
        </w:rPr>
        <w:t>ים מונעים</w:t>
      </w:r>
      <w:r w:rsidR="005A3A2F" w:rsidRPr="00FC6925">
        <w:rPr>
          <w:rtl/>
        </w:rPr>
        <w:t xml:space="preserve"> </w:t>
      </w:r>
      <w:r w:rsidR="00B2766E" w:rsidRPr="00FC6925">
        <w:rPr>
          <w:rtl/>
        </w:rPr>
        <w:t>מצרכ</w:t>
      </w:r>
      <w:r w:rsidR="00B2766E">
        <w:rPr>
          <w:rFonts w:hint="cs"/>
          <w:rtl/>
        </w:rPr>
        <w:t>נים</w:t>
      </w:r>
      <w:r w:rsidR="00B2766E" w:rsidRPr="00FC6925">
        <w:rPr>
          <w:rtl/>
        </w:rPr>
        <w:t xml:space="preserve"> </w:t>
      </w:r>
      <w:r w:rsidR="00B2766E">
        <w:rPr>
          <w:rFonts w:hint="cs"/>
          <w:rtl/>
        </w:rPr>
        <w:t>להביא</w:t>
      </w:r>
      <w:r w:rsidR="00B2766E" w:rsidRPr="00FC6925">
        <w:rPr>
          <w:rtl/>
        </w:rPr>
        <w:t xml:space="preserve"> </w:t>
      </w:r>
      <w:r w:rsidR="005A3A2F" w:rsidRPr="00FC6925">
        <w:rPr>
          <w:rtl/>
        </w:rPr>
        <w:t xml:space="preserve">למקום </w:t>
      </w:r>
      <w:r>
        <w:rPr>
          <w:rFonts w:hint="cs"/>
          <w:rtl/>
        </w:rPr>
        <w:t>ה</w:t>
      </w:r>
      <w:r w:rsidR="005A3A2F" w:rsidRPr="00FC6925">
        <w:rPr>
          <w:rtl/>
        </w:rPr>
        <w:t>עסק מוצרי מזון או שתי</w:t>
      </w:r>
      <w:r w:rsidR="00FC6925">
        <w:rPr>
          <w:rFonts w:hint="cs"/>
          <w:rtl/>
        </w:rPr>
        <w:t>י</w:t>
      </w:r>
      <w:r w:rsidR="005A3A2F" w:rsidRPr="00FC6925">
        <w:rPr>
          <w:rtl/>
        </w:rPr>
        <w:t xml:space="preserve">ה, </w:t>
      </w:r>
      <w:r w:rsidR="00B2766E">
        <w:rPr>
          <w:rFonts w:hint="cs"/>
          <w:rtl/>
        </w:rPr>
        <w:t>למרות</w:t>
      </w:r>
      <w:r w:rsidR="00B2766E" w:rsidRPr="00FC6925">
        <w:rPr>
          <w:rtl/>
        </w:rPr>
        <w:t xml:space="preserve"> </w:t>
      </w:r>
      <w:r>
        <w:rPr>
          <w:rFonts w:hint="cs"/>
          <w:rtl/>
        </w:rPr>
        <w:t>שמוצרים אלו</w:t>
      </w:r>
      <w:r w:rsidR="005A3A2F" w:rsidRPr="00FC6925">
        <w:rPr>
          <w:rtl/>
        </w:rPr>
        <w:t xml:space="preserve"> נמכרים באותו המקום</w:t>
      </w:r>
      <w:r w:rsidR="00FC6925">
        <w:rPr>
          <w:rFonts w:hint="cs"/>
          <w:rtl/>
        </w:rPr>
        <w:t>, אך לא על ידם</w:t>
      </w:r>
      <w:r w:rsidR="005A3A2F" w:rsidRPr="00FC6925">
        <w:rPr>
          <w:rtl/>
        </w:rPr>
        <w:t xml:space="preserve">. </w:t>
      </w:r>
      <w:r w:rsidR="00FC6925">
        <w:rPr>
          <w:rFonts w:hint="cs"/>
          <w:rtl/>
        </w:rPr>
        <w:t xml:space="preserve">זוהי </w:t>
      </w:r>
      <w:r w:rsidR="005A3A2F" w:rsidRPr="00FC6925">
        <w:rPr>
          <w:rtl/>
        </w:rPr>
        <w:t>פרקטיקה בלתי הוגנת</w:t>
      </w:r>
      <w:r w:rsidR="00FC6925">
        <w:rPr>
          <w:rFonts w:hint="cs"/>
          <w:rtl/>
        </w:rPr>
        <w:t>,</w:t>
      </w:r>
      <w:r w:rsidR="005A3A2F" w:rsidRPr="00FC6925">
        <w:rPr>
          <w:rtl/>
        </w:rPr>
        <w:t xml:space="preserve"> </w:t>
      </w:r>
      <w:r w:rsidR="00FC6925">
        <w:rPr>
          <w:rFonts w:hint="cs"/>
          <w:rtl/>
        </w:rPr>
        <w:t xml:space="preserve">שכן </w:t>
      </w:r>
      <w:r w:rsidR="005A3A2F" w:rsidRPr="00FC6925">
        <w:rPr>
          <w:rtl/>
        </w:rPr>
        <w:t>הלקוחות נאלצים לשלם בגין אותם מוצרים מחירים מופרזים בה</w:t>
      </w:r>
      <w:r>
        <w:rPr>
          <w:rFonts w:hint="cs"/>
          <w:rtl/>
        </w:rPr>
        <w:t>י</w:t>
      </w:r>
      <w:r w:rsidR="005A3A2F" w:rsidRPr="00FC6925">
        <w:rPr>
          <w:rtl/>
        </w:rPr>
        <w:t>עדר תחרות או יכולת להביאם מביתם.</w:t>
      </w:r>
    </w:p>
    <w:p w:rsidR="005A3A2F" w:rsidRPr="00FC6925" w:rsidRDefault="005A3A2F" w:rsidP="002F0A25">
      <w:pPr>
        <w:pStyle w:val="Hesber"/>
        <w:rPr>
          <w:rtl/>
        </w:rPr>
      </w:pPr>
      <w:r w:rsidRPr="00FC6925">
        <w:rPr>
          <w:rtl/>
        </w:rPr>
        <w:t xml:space="preserve">כוונת המחוקק היתה לאפשר לצרכן, בכל מקום </w:t>
      </w:r>
      <w:r w:rsidR="002F0A25">
        <w:rPr>
          <w:rFonts w:hint="cs"/>
          <w:rtl/>
        </w:rPr>
        <w:t>ש</w:t>
      </w:r>
      <w:r w:rsidRPr="00FC6925">
        <w:rPr>
          <w:rtl/>
        </w:rPr>
        <w:t>בו נמכר מוצר מזון או שת</w:t>
      </w:r>
      <w:r w:rsidR="002F0A25">
        <w:rPr>
          <w:rFonts w:hint="cs"/>
          <w:rtl/>
        </w:rPr>
        <w:t>י</w:t>
      </w:r>
      <w:r w:rsidRPr="00FC6925">
        <w:rPr>
          <w:rtl/>
        </w:rPr>
        <w:t xml:space="preserve">יה </w:t>
      </w:r>
      <w:r w:rsidR="00B2766E">
        <w:rPr>
          <w:rFonts w:hint="cs"/>
          <w:rtl/>
        </w:rPr>
        <w:t>על ידי</w:t>
      </w:r>
      <w:r w:rsidRPr="00FC6925">
        <w:rPr>
          <w:rtl/>
        </w:rPr>
        <w:t xml:space="preserve"> עוסק כלשהו, להביא את אותו סוג מזון או שתי</w:t>
      </w:r>
      <w:r w:rsidR="002F0A25">
        <w:rPr>
          <w:rFonts w:hint="cs"/>
          <w:rtl/>
        </w:rPr>
        <w:t>י</w:t>
      </w:r>
      <w:r w:rsidRPr="00FC6925">
        <w:rPr>
          <w:rtl/>
        </w:rPr>
        <w:t xml:space="preserve">ה מביתו. הדברים באים לידי ביטוי גם בדברי </w:t>
      </w:r>
      <w:r w:rsidR="0063398E">
        <w:rPr>
          <w:rFonts w:hint="cs"/>
          <w:rtl/>
        </w:rPr>
        <w:t>היועצת המשפטית של</w:t>
      </w:r>
      <w:r w:rsidRPr="00FC6925">
        <w:rPr>
          <w:rtl/>
        </w:rPr>
        <w:t xml:space="preserve"> </w:t>
      </w:r>
      <w:r w:rsidR="0063398E">
        <w:rPr>
          <w:rFonts w:hint="cs"/>
          <w:rtl/>
        </w:rPr>
        <w:t>ה</w:t>
      </w:r>
      <w:r w:rsidRPr="00FC6925">
        <w:rPr>
          <w:rtl/>
        </w:rPr>
        <w:t xml:space="preserve">רשות </w:t>
      </w:r>
      <w:r w:rsidR="0063398E">
        <w:rPr>
          <w:rFonts w:hint="cs"/>
          <w:rtl/>
        </w:rPr>
        <w:t>ל</w:t>
      </w:r>
      <w:r w:rsidRPr="00FC6925">
        <w:rPr>
          <w:rtl/>
        </w:rPr>
        <w:t xml:space="preserve">הגנת הצרכן והסחר ההוגן בעת דיון על הצעת החוק:  "...אם אתה </w:t>
      </w:r>
      <w:bookmarkStart w:id="8" w:name="_ETM_Q1_573659"/>
      <w:bookmarkEnd w:id="8"/>
      <w:r w:rsidRPr="00FC6925">
        <w:rPr>
          <w:rtl/>
        </w:rPr>
        <w:t xml:space="preserve">מוכר את אותו סוג של מזון ושתייה באותו מקום, באותו מקום עסק או מקום </w:t>
      </w:r>
      <w:bookmarkStart w:id="9" w:name="_ETM_Q1_582012"/>
      <w:bookmarkEnd w:id="9"/>
      <w:r w:rsidRPr="00FC6925">
        <w:rPr>
          <w:rtl/>
        </w:rPr>
        <w:t xml:space="preserve">המנוהל על-ידי עסק, זאת אומרת, זה יכול להיות מתחם אחר, שהוא </w:t>
      </w:r>
      <w:bookmarkStart w:id="10" w:name="_ETM_Q1_583543"/>
      <w:bookmarkEnd w:id="10"/>
      <w:r w:rsidRPr="00FC6925">
        <w:rPr>
          <w:rtl/>
        </w:rPr>
        <w:t xml:space="preserve">לא בהכרח המקום שבו מתנהל עסקו של העוסק, </w:t>
      </w:r>
      <w:bookmarkStart w:id="11" w:name="_ETM_Q1_590392"/>
      <w:bookmarkEnd w:id="11"/>
      <w:r w:rsidRPr="00FC6925">
        <w:rPr>
          <w:rtl/>
        </w:rPr>
        <w:t xml:space="preserve">אז אתה מתבקש לאפשר לצרכן להכניס את </w:t>
      </w:r>
      <w:bookmarkStart w:id="12" w:name="_ETM_Q1_599000"/>
      <w:bookmarkEnd w:id="12"/>
      <w:r w:rsidRPr="00FC6925">
        <w:rPr>
          <w:rtl/>
        </w:rPr>
        <w:t>אותו מוצר לאותו מקום".</w:t>
      </w:r>
    </w:p>
    <w:p w:rsidR="005A3A2F" w:rsidRPr="00FC6925" w:rsidRDefault="005A3A2F" w:rsidP="00FC6925">
      <w:pPr>
        <w:pStyle w:val="Hesber"/>
        <w:rPr>
          <w:rtl/>
        </w:rPr>
      </w:pPr>
      <w:r w:rsidRPr="00FC6925">
        <w:rPr>
          <w:rtl/>
        </w:rPr>
        <w:t xml:space="preserve">בפועל, יש עוסקים המונעים מהצרכנים להכניס מזון או משקה לתחומם בטענה כי "לא הם מוכרים מזון או שתיה באותו המתחם אלא עוסק אחר". את התימוכין לטענתם הם מוצאים בלשון החוק הקובעת איסור על מניעת הכנסה של מזון או שתיה "מאותו סוג שהעוסק מוכר במקום" – אבל לא אם עוסק אחר מוכר </w:t>
      </w:r>
      <w:r w:rsidR="0063398E">
        <w:rPr>
          <w:rFonts w:hint="cs"/>
          <w:rtl/>
        </w:rPr>
        <w:t>מזון</w:t>
      </w:r>
      <w:r w:rsidR="002F0A25">
        <w:rPr>
          <w:rFonts w:hint="cs"/>
          <w:rtl/>
        </w:rPr>
        <w:t xml:space="preserve"> או שתיה מאותו </w:t>
      </w:r>
      <w:r w:rsidR="0063398E">
        <w:rPr>
          <w:rFonts w:hint="cs"/>
          <w:rtl/>
        </w:rPr>
        <w:t xml:space="preserve">סוג </w:t>
      </w:r>
      <w:r w:rsidRPr="00FC6925">
        <w:rPr>
          <w:rtl/>
        </w:rPr>
        <w:t xml:space="preserve">במקום. </w:t>
      </w:r>
    </w:p>
    <w:p w:rsidR="005A3A2F" w:rsidRDefault="005A3A2F" w:rsidP="00FC6925">
      <w:pPr>
        <w:pStyle w:val="Hesber"/>
        <w:rPr>
          <w:rtl/>
        </w:rPr>
      </w:pPr>
      <w:r w:rsidRPr="00FC6925">
        <w:rPr>
          <w:rtl/>
        </w:rPr>
        <w:t xml:space="preserve">על מנת למנוע אפשרות </w:t>
      </w:r>
      <w:r w:rsidR="0063398E">
        <w:rPr>
          <w:rFonts w:hint="cs"/>
          <w:rtl/>
        </w:rPr>
        <w:t>ל</w:t>
      </w:r>
      <w:r w:rsidRPr="00FC6925">
        <w:rPr>
          <w:rtl/>
        </w:rPr>
        <w:t>עקיפת החוק בדרך של העברת הזכות למכירת מזון ושתי</w:t>
      </w:r>
      <w:r w:rsidR="002F0A25">
        <w:rPr>
          <w:rFonts w:hint="cs"/>
          <w:rtl/>
        </w:rPr>
        <w:t>י</w:t>
      </w:r>
      <w:r w:rsidRPr="00FC6925">
        <w:rPr>
          <w:rtl/>
        </w:rPr>
        <w:t xml:space="preserve">ה לעוסק אחר, מוצע לתקן את החוק כך שיחול בין אם העוסק הוא </w:t>
      </w:r>
      <w:r w:rsidR="0063398E">
        <w:rPr>
          <w:rFonts w:hint="cs"/>
          <w:rtl/>
        </w:rPr>
        <w:t>ש</w:t>
      </w:r>
      <w:r w:rsidRPr="00FC6925">
        <w:rPr>
          <w:rtl/>
        </w:rPr>
        <w:t xml:space="preserve">מוכר את המזון </w:t>
      </w:r>
      <w:r w:rsidR="0063398E">
        <w:rPr>
          <w:rFonts w:hint="cs"/>
          <w:rtl/>
        </w:rPr>
        <w:t xml:space="preserve">או </w:t>
      </w:r>
      <w:r w:rsidRPr="00FC6925">
        <w:rPr>
          <w:rtl/>
        </w:rPr>
        <w:t>השתי</w:t>
      </w:r>
      <w:r w:rsidR="0063398E">
        <w:rPr>
          <w:rFonts w:hint="cs"/>
          <w:rtl/>
        </w:rPr>
        <w:t>י</w:t>
      </w:r>
      <w:r w:rsidRPr="00FC6925">
        <w:rPr>
          <w:rtl/>
        </w:rPr>
        <w:t>ה ובין אם עוסק אחר</w:t>
      </w:r>
      <w:r w:rsidR="002F0A25">
        <w:rPr>
          <w:rFonts w:hint="cs"/>
          <w:rtl/>
        </w:rPr>
        <w:t xml:space="preserve"> עושה זאת</w:t>
      </w:r>
      <w:r w:rsidRPr="00FC6925">
        <w:rPr>
          <w:rtl/>
        </w:rPr>
        <w:t>.</w:t>
      </w:r>
    </w:p>
    <w:p w:rsidR="002F0A25" w:rsidRDefault="002F0A25" w:rsidP="00FC6925">
      <w:pPr>
        <w:pStyle w:val="Hesber"/>
        <w:rPr>
          <w:rtl/>
        </w:rPr>
      </w:pPr>
    </w:p>
    <w:p w:rsidR="002F0A25" w:rsidRDefault="002F0A25" w:rsidP="00FC6925">
      <w:pPr>
        <w:pStyle w:val="Hesber"/>
        <w:rPr>
          <w:rtl/>
        </w:rPr>
      </w:pPr>
    </w:p>
    <w:p w:rsidR="002F0A25" w:rsidRPr="00557D2C" w:rsidRDefault="002F0A25" w:rsidP="007D273A">
      <w:pPr>
        <w:pStyle w:val="Hesber"/>
        <w:rPr>
          <w:rtl/>
        </w:rPr>
      </w:pPr>
      <w:r w:rsidRPr="00557D2C">
        <w:rPr>
          <w:rtl/>
        </w:rPr>
        <w:t>---------------------------------</w:t>
      </w:r>
    </w:p>
    <w:p w:rsidR="002F0A25" w:rsidRPr="00557D2C" w:rsidRDefault="002F0A25" w:rsidP="007D273A">
      <w:pPr>
        <w:pStyle w:val="Hesber"/>
        <w:rPr>
          <w:rtl/>
        </w:rPr>
      </w:pPr>
      <w:r w:rsidRPr="00557D2C">
        <w:rPr>
          <w:rtl/>
        </w:rPr>
        <w:t>הוגשה ליו"ר הכנסת והסגנים</w:t>
      </w:r>
    </w:p>
    <w:p w:rsidR="002F0A25" w:rsidRPr="00557D2C" w:rsidRDefault="002F0A25" w:rsidP="007D273A">
      <w:pPr>
        <w:pStyle w:val="Hesber"/>
        <w:rPr>
          <w:rtl/>
        </w:rPr>
      </w:pPr>
      <w:r w:rsidRPr="00557D2C">
        <w:rPr>
          <w:rtl/>
        </w:rPr>
        <w:t>והונחה על שולחן הכנסת ביום</w:t>
      </w:r>
    </w:p>
    <w:p w:rsidR="002F0A25" w:rsidRPr="00FC6925" w:rsidRDefault="002F0A25" w:rsidP="002F0A25">
      <w:pPr>
        <w:pStyle w:val="Hesber"/>
        <w:rPr>
          <w:rtl/>
        </w:rPr>
      </w:pPr>
      <w:r>
        <w:rPr>
          <w:rFonts w:hint="cs"/>
          <w:rtl/>
        </w:rPr>
        <w:t>ד'</w:t>
      </w:r>
      <w:r w:rsidRPr="00557D2C">
        <w:rPr>
          <w:rFonts w:hint="cs"/>
          <w:rtl/>
        </w:rPr>
        <w:t xml:space="preserve"> </w:t>
      </w:r>
      <w:r>
        <w:rPr>
          <w:rFonts w:hint="cs"/>
          <w:rtl/>
        </w:rPr>
        <w:t xml:space="preserve">באב </w:t>
      </w:r>
      <w:r w:rsidRPr="00557D2C">
        <w:rPr>
          <w:rFonts w:hint="cs"/>
          <w:rtl/>
        </w:rPr>
        <w:t xml:space="preserve">התשע"ה </w:t>
      </w:r>
      <w:r w:rsidRPr="00557D2C">
        <w:rPr>
          <w:rtl/>
        </w:rPr>
        <w:t>–</w:t>
      </w:r>
      <w:r>
        <w:rPr>
          <w:rFonts w:hint="cs"/>
          <w:rtl/>
        </w:rPr>
        <w:t xml:space="preserve"> 20.7.15</w:t>
      </w:r>
    </w:p>
    <w:p w:rsidR="00E13C27" w:rsidRDefault="00E13C27" w:rsidP="00E13C27">
      <w:pPr>
        <w:pStyle w:val="Hesber"/>
        <w:rPr>
          <w:rtl/>
        </w:rPr>
      </w:pPr>
    </w:p>
    <w:sectPr w:rsidR="00E13C27" w:rsidSect="001207F8">
      <w:footerReference w:type="even" r:id="rId12"/>
      <w:footerReference w:type="default" r:id="rId13"/>
      <w:pgSz w:w="11907" w:h="16840" w:code="9"/>
      <w:pgMar w:top="1134" w:right="1134" w:bottom="1134" w:left="1134" w:header="680" w:footer="680" w:gutter="0"/>
      <w:cols w:space="720"/>
      <w:noEndnote/>
      <w:titlePg/>
      <w:bidi/>
      <w:rtlGutter/>
      <w:docGrid w:linePitch="23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876B6" w:rsidRDefault="008876B6">
      <w:r>
        <w:separator/>
      </w:r>
    </w:p>
  </w:endnote>
  <w:endnote w:type="continuationSeparator" w:id="0">
    <w:p w:rsidR="008876B6" w:rsidRDefault="008876B6">
      <w:r>
        <w:continuationSeparator/>
      </w:r>
    </w:p>
  </w:endnote>
  <w:endnote w:type="continuationNotice" w:id="1">
    <w:p w:rsidR="008876B6" w:rsidRDefault="008876B6">
      <w:pPr>
        <w:spacing w:before="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Hadasa Roso SL">
    <w:altName w:val="Times New Roman"/>
    <w:charset w:val="00"/>
    <w:family w:val="roman"/>
    <w:pitch w:val="variable"/>
    <w:sig w:usb0="80001827" w:usb1="5000004A" w:usb2="00000020" w:usb3="00000000" w:csb0="00000021"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avid">
    <w:panose1 w:val="00000000000000000000"/>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C3041" w:rsidRDefault="002C3041" w:rsidP="001207F8">
    <w:pPr>
      <w:pStyle w:val="a8"/>
      <w:framePr w:wrap="around" w:vAnchor="text" w:hAnchor="text" w:xAlign="center" w:y="1"/>
      <w:rPr>
        <w:rStyle w:val="aa"/>
      </w:rPr>
    </w:pPr>
    <w:r>
      <w:rPr>
        <w:rStyle w:val="aa"/>
        <w:rtl/>
      </w:rPr>
      <w:fldChar w:fldCharType="begin"/>
    </w:r>
    <w:r>
      <w:rPr>
        <w:rStyle w:val="aa"/>
      </w:rPr>
      <w:instrText xml:space="preserve">PAGE  </w:instrText>
    </w:r>
    <w:r>
      <w:rPr>
        <w:rStyle w:val="aa"/>
        <w:rtl/>
      </w:rPr>
      <w:fldChar w:fldCharType="end"/>
    </w:r>
  </w:p>
  <w:p w:rsidR="002C3041" w:rsidRDefault="002C3041">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C3041" w:rsidRDefault="002C3041" w:rsidP="001207F8">
    <w:pPr>
      <w:pStyle w:val="a8"/>
      <w:framePr w:wrap="around" w:vAnchor="text" w:hAnchor="text" w:xAlign="center" w:y="1"/>
      <w:rPr>
        <w:rStyle w:val="aa"/>
      </w:rPr>
    </w:pPr>
    <w:r>
      <w:rPr>
        <w:rStyle w:val="aa"/>
        <w:rtl/>
      </w:rPr>
      <w:fldChar w:fldCharType="begin"/>
    </w:r>
    <w:r>
      <w:rPr>
        <w:rStyle w:val="aa"/>
      </w:rPr>
      <w:instrText xml:space="preserve">PAGE  </w:instrText>
    </w:r>
    <w:r>
      <w:rPr>
        <w:rStyle w:val="aa"/>
        <w:rtl/>
      </w:rPr>
      <w:fldChar w:fldCharType="separate"/>
    </w:r>
    <w:r w:rsidR="00C775C6">
      <w:rPr>
        <w:rStyle w:val="aa"/>
        <w:noProof/>
        <w:rtl/>
      </w:rPr>
      <w:t>2</w:t>
    </w:r>
    <w:r>
      <w:rPr>
        <w:rStyle w:val="aa"/>
        <w:rtl/>
      </w:rPr>
      <w:fldChar w:fldCharType="end"/>
    </w:r>
  </w:p>
  <w:p w:rsidR="002C3041" w:rsidRDefault="002C3041">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876B6" w:rsidRDefault="008876B6">
      <w:r>
        <w:separator/>
      </w:r>
    </w:p>
  </w:footnote>
  <w:footnote w:type="continuationSeparator" w:id="0">
    <w:p w:rsidR="008876B6" w:rsidRDefault="008876B6">
      <w:r>
        <w:continuationSeparator/>
      </w:r>
    </w:p>
  </w:footnote>
  <w:footnote w:type="continuationNotice" w:id="1">
    <w:p w:rsidR="008876B6" w:rsidRDefault="008876B6"/>
  </w:footnote>
  <w:footnote w:id="2">
    <w:p w:rsidR="003D3B4C" w:rsidRDefault="003D3B4C" w:rsidP="003D3B4C">
      <w:pPr>
        <w:pStyle w:val="a4"/>
      </w:pPr>
      <w:r>
        <w:rPr>
          <w:rStyle w:val="a5"/>
        </w:rPr>
        <w:footnoteRef/>
      </w:r>
      <w:r>
        <w:rPr>
          <w:rtl/>
        </w:rPr>
        <w:t xml:space="preserve"> </w:t>
      </w:r>
      <w:r>
        <w:rPr>
          <w:rFonts w:hint="cs"/>
          <w:rtl/>
        </w:rPr>
        <w:t>ס"ח התשמ"א, עמ' 248.</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7F6AAD98"/>
    <w:lvl w:ilvl="0">
      <w:start w:val="1"/>
      <w:numFmt w:val="decimal"/>
      <w:lvlText w:val="%1."/>
      <w:lvlJc w:val="left"/>
      <w:pPr>
        <w:tabs>
          <w:tab w:val="num" w:pos="1492"/>
        </w:tabs>
        <w:ind w:left="1492" w:hanging="360"/>
      </w:pPr>
    </w:lvl>
  </w:abstractNum>
  <w:abstractNum w:abstractNumId="1">
    <w:nsid w:val="FFFFFF7D"/>
    <w:multiLevelType w:val="singleLevel"/>
    <w:tmpl w:val="7D5CAEA8"/>
    <w:lvl w:ilvl="0">
      <w:start w:val="1"/>
      <w:numFmt w:val="decimal"/>
      <w:lvlText w:val="%1."/>
      <w:lvlJc w:val="left"/>
      <w:pPr>
        <w:tabs>
          <w:tab w:val="num" w:pos="1209"/>
        </w:tabs>
        <w:ind w:left="1209" w:hanging="360"/>
      </w:pPr>
    </w:lvl>
  </w:abstractNum>
  <w:abstractNum w:abstractNumId="2">
    <w:nsid w:val="FFFFFF7E"/>
    <w:multiLevelType w:val="singleLevel"/>
    <w:tmpl w:val="67E88A74"/>
    <w:lvl w:ilvl="0">
      <w:start w:val="1"/>
      <w:numFmt w:val="decimal"/>
      <w:lvlText w:val="%1."/>
      <w:lvlJc w:val="left"/>
      <w:pPr>
        <w:tabs>
          <w:tab w:val="num" w:pos="926"/>
        </w:tabs>
        <w:ind w:left="926" w:hanging="360"/>
      </w:pPr>
    </w:lvl>
  </w:abstractNum>
  <w:abstractNum w:abstractNumId="3">
    <w:nsid w:val="FFFFFF7F"/>
    <w:multiLevelType w:val="singleLevel"/>
    <w:tmpl w:val="45DA1EB8"/>
    <w:lvl w:ilvl="0">
      <w:start w:val="1"/>
      <w:numFmt w:val="decimal"/>
      <w:lvlText w:val="%1."/>
      <w:lvlJc w:val="left"/>
      <w:pPr>
        <w:tabs>
          <w:tab w:val="num" w:pos="643"/>
        </w:tabs>
        <w:ind w:left="643" w:hanging="360"/>
      </w:pPr>
    </w:lvl>
  </w:abstractNum>
  <w:abstractNum w:abstractNumId="4">
    <w:nsid w:val="FFFFFF80"/>
    <w:multiLevelType w:val="singleLevel"/>
    <w:tmpl w:val="0A3056D8"/>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222F1D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B406C9A2"/>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5BFE925A"/>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9424606"/>
    <w:lvl w:ilvl="0">
      <w:start w:val="1"/>
      <w:numFmt w:val="decimal"/>
      <w:lvlText w:val="%1."/>
      <w:lvlJc w:val="left"/>
      <w:pPr>
        <w:tabs>
          <w:tab w:val="num" w:pos="360"/>
        </w:tabs>
        <w:ind w:left="360" w:hanging="360"/>
      </w:pPr>
    </w:lvl>
  </w:abstractNum>
  <w:abstractNum w:abstractNumId="9">
    <w:nsid w:val="FFFFFF89"/>
    <w:multiLevelType w:val="singleLevel"/>
    <w:tmpl w:val="84D088A0"/>
    <w:lvl w:ilvl="0">
      <w:start w:val="1"/>
      <w:numFmt w:val="bullet"/>
      <w:lvlText w:val=""/>
      <w:lvlJc w:val="left"/>
      <w:pPr>
        <w:tabs>
          <w:tab w:val="num" w:pos="360"/>
        </w:tabs>
        <w:ind w:left="360" w:hanging="360"/>
      </w:pPr>
      <w:rPr>
        <w:rFonts w:ascii="Symbol" w:hAnsi="Symbol" w:hint="default"/>
      </w:rPr>
    </w:lvl>
  </w:abstractNum>
  <w:abstractNum w:abstractNumId="10">
    <w:nsid w:val="1CDD78F3"/>
    <w:multiLevelType w:val="hybridMultilevel"/>
    <w:tmpl w:val="9E4C4E42"/>
    <w:lvl w:ilvl="0" w:tplc="861C87C0">
      <w:start w:val="1"/>
      <w:numFmt w:val="decimal"/>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1FB0598A"/>
    <w:multiLevelType w:val="hybridMultilevel"/>
    <w:tmpl w:val="746CCEE6"/>
    <w:lvl w:ilvl="0" w:tplc="040D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2E617FA9"/>
    <w:multiLevelType w:val="hybridMultilevel"/>
    <w:tmpl w:val="7FBAA0E8"/>
    <w:lvl w:ilvl="0" w:tplc="B7721614">
      <w:start w:val="1"/>
      <w:numFmt w:val="decimal"/>
      <w:lvlText w:val="%1."/>
      <w:lvlJc w:val="left"/>
      <w:pPr>
        <w:ind w:left="720" w:hanging="360"/>
      </w:pPr>
      <w:rPr>
        <w:rFonts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75C858E4"/>
    <w:multiLevelType w:val="hybridMultilevel"/>
    <w:tmpl w:val="882C6ED4"/>
    <w:lvl w:ilvl="0" w:tplc="4112A21E">
      <w:start w:val="1"/>
      <w:numFmt w:val="hebrew1"/>
      <w:lvlRestart w:val="0"/>
      <w:lvlText w:val="(%1)"/>
      <w:lvlJc w:val="left"/>
      <w:pPr>
        <w:tabs>
          <w:tab w:val="num" w:pos="624"/>
        </w:tabs>
        <w:ind w:left="0" w:firstLine="0"/>
      </w:pPr>
      <w:rPr>
        <w:rFonts w:hint="default"/>
      </w:rPr>
    </w:lvl>
    <w:lvl w:ilvl="1" w:tplc="49082BE6">
      <w:start w:val="1"/>
      <w:numFmt w:val="decimal"/>
      <w:lvlRestart w:val="0"/>
      <w:lvlText w:val="(%2)"/>
      <w:lvlJc w:val="left"/>
      <w:pPr>
        <w:tabs>
          <w:tab w:val="num" w:pos="1704"/>
        </w:tabs>
        <w:ind w:left="1080" w:firstLine="0"/>
      </w:pPr>
      <w:rPr>
        <w:rFonts w:hint="default"/>
      </w:rPr>
    </w:lvl>
    <w:lvl w:ilvl="2" w:tplc="48C06176">
      <w:start w:val="1"/>
      <w:numFmt w:val="decimal"/>
      <w:lvlRestart w:val="0"/>
      <w:lvlText w:val="(%3)"/>
      <w:lvlJc w:val="left"/>
      <w:pPr>
        <w:tabs>
          <w:tab w:val="num" w:pos="2604"/>
        </w:tabs>
        <w:ind w:left="1980" w:firstLine="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1"/>
  </w:num>
  <w:num w:numId="12">
    <w:abstractNumId w:val="13"/>
  </w:num>
  <w:num w:numId="13">
    <w:abstractNumId w:val="10"/>
  </w:num>
  <w:num w:numId="14">
    <w:abstractNumId w:val="14"/>
  </w:num>
  <w:num w:numId="1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bordersDoNotSurroundHeader/>
  <w:bordersDoNotSurroundFooter/>
  <w:stylePaneFormatFilter w:val="0002" w:allStyles="0" w:customStyles="1"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footnotePr>
    <w:footnote w:id="-1"/>
    <w:footnote w:id="0"/>
    <w:footnote w:id="1"/>
  </w:footnotePr>
  <w:endnotePr>
    <w:endnote w:id="-1"/>
    <w:endnote w:id="0"/>
    <w:endnote w:id="1"/>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OriginalName" w:val="tmp482240lsCopyOriginal.docx"/>
    <w:docVar w:name="StartMode" w:val="2"/>
  </w:docVars>
  <w:rsids>
    <w:rsidRoot w:val="00DB7060"/>
    <w:rsid w:val="0000131B"/>
    <w:rsid w:val="00015B27"/>
    <w:rsid w:val="00036AD9"/>
    <w:rsid w:val="00063A3E"/>
    <w:rsid w:val="00072CAC"/>
    <w:rsid w:val="0007681A"/>
    <w:rsid w:val="000A542E"/>
    <w:rsid w:val="00102B6B"/>
    <w:rsid w:val="001052D4"/>
    <w:rsid w:val="0010644B"/>
    <w:rsid w:val="001207F8"/>
    <w:rsid w:val="00121924"/>
    <w:rsid w:val="001279A8"/>
    <w:rsid w:val="0014195F"/>
    <w:rsid w:val="00152609"/>
    <w:rsid w:val="00153E1B"/>
    <w:rsid w:val="001A0623"/>
    <w:rsid w:val="001A72B0"/>
    <w:rsid w:val="001A766B"/>
    <w:rsid w:val="001C23B0"/>
    <w:rsid w:val="001D7AAF"/>
    <w:rsid w:val="00203A7F"/>
    <w:rsid w:val="0021633A"/>
    <w:rsid w:val="002200A1"/>
    <w:rsid w:val="002362BF"/>
    <w:rsid w:val="00241B97"/>
    <w:rsid w:val="002425D1"/>
    <w:rsid w:val="00246756"/>
    <w:rsid w:val="00251E58"/>
    <w:rsid w:val="00254605"/>
    <w:rsid w:val="00266D86"/>
    <w:rsid w:val="002728B4"/>
    <w:rsid w:val="0027600C"/>
    <w:rsid w:val="00292712"/>
    <w:rsid w:val="002A487D"/>
    <w:rsid w:val="002C2E29"/>
    <w:rsid w:val="002C3041"/>
    <w:rsid w:val="002D1EE3"/>
    <w:rsid w:val="002F0A25"/>
    <w:rsid w:val="002F1D80"/>
    <w:rsid w:val="003232A2"/>
    <w:rsid w:val="00325C14"/>
    <w:rsid w:val="003309C7"/>
    <w:rsid w:val="0036422C"/>
    <w:rsid w:val="003710F6"/>
    <w:rsid w:val="00386E88"/>
    <w:rsid w:val="00396585"/>
    <w:rsid w:val="003D3B4C"/>
    <w:rsid w:val="003D6E38"/>
    <w:rsid w:val="003D74A0"/>
    <w:rsid w:val="004033D8"/>
    <w:rsid w:val="004073F0"/>
    <w:rsid w:val="00412A7D"/>
    <w:rsid w:val="00416B4D"/>
    <w:rsid w:val="00417CFC"/>
    <w:rsid w:val="004A06DC"/>
    <w:rsid w:val="004B24ED"/>
    <w:rsid w:val="004B6625"/>
    <w:rsid w:val="004D2D82"/>
    <w:rsid w:val="004D3876"/>
    <w:rsid w:val="004E4552"/>
    <w:rsid w:val="004E6CDF"/>
    <w:rsid w:val="00553C9D"/>
    <w:rsid w:val="00562A66"/>
    <w:rsid w:val="005A3A2F"/>
    <w:rsid w:val="005B064E"/>
    <w:rsid w:val="005D51AE"/>
    <w:rsid w:val="0062674B"/>
    <w:rsid w:val="0063398E"/>
    <w:rsid w:val="006363B2"/>
    <w:rsid w:val="00644940"/>
    <w:rsid w:val="006818A9"/>
    <w:rsid w:val="006A2D81"/>
    <w:rsid w:val="006C1D0D"/>
    <w:rsid w:val="0070601E"/>
    <w:rsid w:val="00712C72"/>
    <w:rsid w:val="00735FE9"/>
    <w:rsid w:val="00763CAA"/>
    <w:rsid w:val="00765F66"/>
    <w:rsid w:val="0078664F"/>
    <w:rsid w:val="007C3FA6"/>
    <w:rsid w:val="007D585A"/>
    <w:rsid w:val="007D5A12"/>
    <w:rsid w:val="007E59F9"/>
    <w:rsid w:val="00810BCD"/>
    <w:rsid w:val="00812C98"/>
    <w:rsid w:val="00814D92"/>
    <w:rsid w:val="0083181D"/>
    <w:rsid w:val="00843EB2"/>
    <w:rsid w:val="00865572"/>
    <w:rsid w:val="00874BBC"/>
    <w:rsid w:val="008876B6"/>
    <w:rsid w:val="00892135"/>
    <w:rsid w:val="00895449"/>
    <w:rsid w:val="00897879"/>
    <w:rsid w:val="008A6870"/>
    <w:rsid w:val="008C2DDC"/>
    <w:rsid w:val="008C7516"/>
    <w:rsid w:val="008E6EC7"/>
    <w:rsid w:val="008F0D63"/>
    <w:rsid w:val="008F1308"/>
    <w:rsid w:val="008F2C35"/>
    <w:rsid w:val="008F6665"/>
    <w:rsid w:val="00904591"/>
    <w:rsid w:val="00905E5F"/>
    <w:rsid w:val="0091204F"/>
    <w:rsid w:val="009203DB"/>
    <w:rsid w:val="00923CD4"/>
    <w:rsid w:val="00930EFE"/>
    <w:rsid w:val="00943386"/>
    <w:rsid w:val="009456B6"/>
    <w:rsid w:val="00957589"/>
    <w:rsid w:val="00966D06"/>
    <w:rsid w:val="00982412"/>
    <w:rsid w:val="00983A8D"/>
    <w:rsid w:val="009A0DB8"/>
    <w:rsid w:val="009A7257"/>
    <w:rsid w:val="009D6E0A"/>
    <w:rsid w:val="009E1E33"/>
    <w:rsid w:val="00A14672"/>
    <w:rsid w:val="00A26BD6"/>
    <w:rsid w:val="00A443CF"/>
    <w:rsid w:val="00A6611D"/>
    <w:rsid w:val="00A82CB7"/>
    <w:rsid w:val="00A942C1"/>
    <w:rsid w:val="00AA2F03"/>
    <w:rsid w:val="00AC36F7"/>
    <w:rsid w:val="00AC63A4"/>
    <w:rsid w:val="00AD239E"/>
    <w:rsid w:val="00B10265"/>
    <w:rsid w:val="00B16A99"/>
    <w:rsid w:val="00B21211"/>
    <w:rsid w:val="00B2766E"/>
    <w:rsid w:val="00B35784"/>
    <w:rsid w:val="00B733A7"/>
    <w:rsid w:val="00B75C91"/>
    <w:rsid w:val="00B975AD"/>
    <w:rsid w:val="00BC45FB"/>
    <w:rsid w:val="00BF148D"/>
    <w:rsid w:val="00C23B1A"/>
    <w:rsid w:val="00C310EB"/>
    <w:rsid w:val="00C775C6"/>
    <w:rsid w:val="00C9176A"/>
    <w:rsid w:val="00CF1AA2"/>
    <w:rsid w:val="00D17774"/>
    <w:rsid w:val="00D63620"/>
    <w:rsid w:val="00D8410D"/>
    <w:rsid w:val="00D85D62"/>
    <w:rsid w:val="00D867D7"/>
    <w:rsid w:val="00DB7060"/>
    <w:rsid w:val="00DE3153"/>
    <w:rsid w:val="00E06736"/>
    <w:rsid w:val="00E13C27"/>
    <w:rsid w:val="00E33BBD"/>
    <w:rsid w:val="00E374F2"/>
    <w:rsid w:val="00E45103"/>
    <w:rsid w:val="00E55A60"/>
    <w:rsid w:val="00E62778"/>
    <w:rsid w:val="00E63D38"/>
    <w:rsid w:val="00E665B9"/>
    <w:rsid w:val="00EA01E6"/>
    <w:rsid w:val="00EA3DE8"/>
    <w:rsid w:val="00EA758F"/>
    <w:rsid w:val="00ED4A6F"/>
    <w:rsid w:val="00EF3A3A"/>
    <w:rsid w:val="00F628D6"/>
    <w:rsid w:val="00F67051"/>
    <w:rsid w:val="00F86A1E"/>
    <w:rsid w:val="00FA5E88"/>
    <w:rsid w:val="00FC6925"/>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f" fillcolor="white">
      <v:fill color="white" on="f"/>
    </o:shapedefaults>
    <o:shapelayout v:ext="edit">
      <o:idmap v:ext="edit" data="1"/>
    </o:shapelayout>
  </w:shapeDefaults>
  <w:doNotEmbedSmartTags/>
  <w:decimalSymbol w:val="."/>
  <w:listSeparator w:val=","/>
  <w14:docId w14:val="7F6961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MS Mincho" w:hAnsi="Times New Roman" w:cs="Times New Roman"/>
        <w:lang w:val="en-US" w:eastAsia="en-US" w:bidi="he-IL"/>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D3B4C"/>
    <w:pPr>
      <w:widowControl w:val="0"/>
      <w:autoSpaceDE w:val="0"/>
      <w:autoSpaceDN w:val="0"/>
      <w:bidi/>
      <w:adjustRightInd w:val="0"/>
      <w:spacing w:before="102" w:line="204" w:lineRule="atLeast"/>
      <w:ind w:firstLine="340"/>
      <w:jc w:val="both"/>
      <w:textAlignment w:val="center"/>
    </w:pPr>
    <w:rPr>
      <w:rFonts w:ascii="Hadasa Roso SL"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paragraphstyle">
    <w:name w:val="[No paragraph style]"/>
    <w:rsid w:val="00943386"/>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paragraph" w:customStyle="1" w:styleId="Cover1-Reshumot">
    <w:name w:val="Cover 1-Reshumot"/>
    <w:basedOn w:val="a"/>
    <w:rsid w:val="003D3B4C"/>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3D3B4C"/>
    <w:rPr>
      <w:sz w:val="36"/>
      <w:szCs w:val="52"/>
    </w:rPr>
  </w:style>
  <w:style w:type="paragraph" w:customStyle="1" w:styleId="Cover3-Haknesset">
    <w:name w:val="Cover 3-Haknesset"/>
    <w:basedOn w:val="Cover1-Reshumot"/>
    <w:rsid w:val="003D3B4C"/>
    <w:rPr>
      <w:b/>
      <w:bCs/>
      <w:spacing w:val="60"/>
    </w:rPr>
  </w:style>
  <w:style w:type="paragraph" w:customStyle="1" w:styleId="Cover4-Date">
    <w:name w:val="Cover 4-Date"/>
    <w:basedOn w:val="a"/>
    <w:rsid w:val="003D3B4C"/>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TOC">
    <w:name w:val="TOC"/>
    <w:basedOn w:val="Noparagraphstyle"/>
    <w:rsid w:val="00943386"/>
    <w:pPr>
      <w:tabs>
        <w:tab w:val="left" w:leader="dot" w:pos="8789"/>
      </w:tabs>
      <w:spacing w:before="120"/>
      <w:ind w:left="284" w:right="284"/>
    </w:pPr>
  </w:style>
  <w:style w:type="paragraph" w:customStyle="1" w:styleId="TOCpg">
    <w:name w:val="TOC pg"/>
    <w:basedOn w:val="TOC"/>
    <w:rsid w:val="00943386"/>
    <w:pPr>
      <w:spacing w:after="120"/>
      <w:ind w:right="567"/>
      <w:jc w:val="right"/>
    </w:pPr>
  </w:style>
  <w:style w:type="paragraph" w:customStyle="1" w:styleId="HeadMitparsemetBaze">
    <w:name w:val="Head MitparsemetBaze"/>
    <w:basedOn w:val="a"/>
    <w:rsid w:val="003D3B4C"/>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customStyle="1" w:styleId="HeadHatzaotHok">
    <w:name w:val="Head HatzaotHok"/>
    <w:basedOn w:val="a"/>
    <w:rsid w:val="003D3B4C"/>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HatzaotHok4Futer">
    <w:name w:val="Head HatzaotHok4Futer"/>
    <w:basedOn w:val="HeadHatzaotHok"/>
    <w:rsid w:val="003D3B4C"/>
    <w:pPr>
      <w:spacing w:before="120" w:after="120"/>
    </w:pPr>
    <w:rPr>
      <w:color w:val="FF0000"/>
      <w:w w:val="80"/>
    </w:rPr>
  </w:style>
  <w:style w:type="paragraph" w:styleId="a3">
    <w:name w:val="endnote text"/>
    <w:basedOn w:val="a"/>
    <w:semiHidden/>
    <w:rsid w:val="003D3B4C"/>
    <w:pPr>
      <w:ind w:left="227" w:hanging="227"/>
    </w:pPr>
    <w:rPr>
      <w:sz w:val="14"/>
      <w:szCs w:val="22"/>
    </w:rPr>
  </w:style>
  <w:style w:type="paragraph" w:customStyle="1" w:styleId="TableText">
    <w:name w:val="Table Text"/>
    <w:basedOn w:val="a"/>
    <w:rsid w:val="003D3B4C"/>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SideHeading">
    <w:name w:val="Table SideHeading"/>
    <w:basedOn w:val="TableText"/>
    <w:rsid w:val="003D3B4C"/>
  </w:style>
  <w:style w:type="paragraph" w:customStyle="1" w:styleId="TableBlock">
    <w:name w:val="Table Block"/>
    <w:basedOn w:val="TableText"/>
    <w:rsid w:val="003D3B4C"/>
    <w:pPr>
      <w:ind w:right="0"/>
      <w:jc w:val="both"/>
    </w:pPr>
  </w:style>
  <w:style w:type="paragraph" w:customStyle="1" w:styleId="TableHead">
    <w:name w:val="Table Head"/>
    <w:basedOn w:val="TableText"/>
    <w:rsid w:val="003D3B4C"/>
    <w:pPr>
      <w:ind w:right="0"/>
      <w:jc w:val="center"/>
    </w:pPr>
    <w:rPr>
      <w:b/>
      <w:bCs/>
    </w:rPr>
  </w:style>
  <w:style w:type="paragraph" w:customStyle="1" w:styleId="TableText2">
    <w:name w:val="Table Text2"/>
    <w:basedOn w:val="TableText"/>
    <w:rsid w:val="00943386"/>
  </w:style>
  <w:style w:type="paragraph" w:customStyle="1" w:styleId="TableInnerSideHeading">
    <w:name w:val="Table InnerSideHeading"/>
    <w:basedOn w:val="TableSideHeading"/>
    <w:rsid w:val="003D3B4C"/>
  </w:style>
  <w:style w:type="paragraph" w:customStyle="1" w:styleId="Hesber">
    <w:name w:val="Hesber"/>
    <w:basedOn w:val="a"/>
    <w:rsid w:val="003D3B4C"/>
    <w:pPr>
      <w:snapToGrid w:val="0"/>
      <w:spacing w:before="0" w:line="360" w:lineRule="auto"/>
    </w:pPr>
    <w:rPr>
      <w:rFonts w:ascii="Arial" w:eastAsia="Arial Unicode MS" w:hAnsi="Arial" w:cs="David"/>
      <w:snapToGrid w:val="0"/>
      <w:spacing w:val="0"/>
      <w:sz w:val="20"/>
      <w:szCs w:val="26"/>
    </w:rPr>
  </w:style>
  <w:style w:type="paragraph" w:styleId="a4">
    <w:name w:val="footnote text"/>
    <w:basedOn w:val="a"/>
    <w:autoRedefine/>
    <w:semiHidden/>
    <w:rsid w:val="003D3B4C"/>
    <w:pPr>
      <w:snapToGrid w:val="0"/>
      <w:spacing w:before="0" w:line="240" w:lineRule="auto"/>
      <w:ind w:left="227" w:hanging="227"/>
      <w:jc w:val="left"/>
    </w:pPr>
    <w:rPr>
      <w:rFonts w:ascii="Arial" w:eastAsia="Arial Unicode MS" w:hAnsi="Arial" w:cs="David"/>
      <w:snapToGrid w:val="0"/>
      <w:spacing w:val="0"/>
      <w:sz w:val="14"/>
      <w:szCs w:val="20"/>
    </w:rPr>
  </w:style>
  <w:style w:type="character" w:styleId="a5">
    <w:name w:val="footnote reference"/>
    <w:aliases w:val="Footnote Reference"/>
    <w:basedOn w:val="a0"/>
    <w:semiHidden/>
    <w:rsid w:val="003D3B4C"/>
    <w:rPr>
      <w:vertAlign w:val="superscript"/>
    </w:rPr>
  </w:style>
  <w:style w:type="paragraph" w:customStyle="1" w:styleId="HesberHeading">
    <w:name w:val="Hesber Heading"/>
    <w:basedOn w:val="Hesber"/>
    <w:rsid w:val="003D3B4C"/>
    <w:pPr>
      <w:tabs>
        <w:tab w:val="left" w:pos="624"/>
        <w:tab w:val="left" w:pos="1247"/>
      </w:tabs>
      <w:ind w:firstLine="0"/>
    </w:pPr>
    <w:rPr>
      <w:b/>
      <w:bCs/>
    </w:rPr>
  </w:style>
  <w:style w:type="paragraph" w:customStyle="1" w:styleId="HesberWriters">
    <w:name w:val="Hesber Writers"/>
    <w:basedOn w:val="Hesber"/>
    <w:rsid w:val="003D3B4C"/>
    <w:pPr>
      <w:spacing w:before="120" w:after="6000"/>
      <w:ind w:left="1418" w:firstLine="0"/>
      <w:jc w:val="right"/>
    </w:pPr>
    <w:rPr>
      <w:b/>
      <w:bCs/>
    </w:rPr>
  </w:style>
  <w:style w:type="paragraph" w:customStyle="1" w:styleId="Hesber1st">
    <w:name w:val="Hesber 1st"/>
    <w:basedOn w:val="Hesber"/>
    <w:rsid w:val="003D3B4C"/>
    <w:pPr>
      <w:tabs>
        <w:tab w:val="left" w:pos="680"/>
        <w:tab w:val="left" w:pos="1020"/>
      </w:tabs>
      <w:ind w:firstLine="0"/>
    </w:pPr>
  </w:style>
  <w:style w:type="character" w:styleId="a6">
    <w:name w:val="endnote reference"/>
    <w:basedOn w:val="a0"/>
    <w:semiHidden/>
    <w:rsid w:val="003D3B4C"/>
    <w:rPr>
      <w:vertAlign w:val="superscript"/>
    </w:rPr>
  </w:style>
  <w:style w:type="paragraph" w:customStyle="1" w:styleId="TableBlockOutdent">
    <w:name w:val="Table BlockOutdent"/>
    <w:basedOn w:val="TableBlock"/>
    <w:rsid w:val="003D3B4C"/>
    <w:pPr>
      <w:ind w:left="624" w:hanging="624"/>
    </w:pPr>
  </w:style>
  <w:style w:type="paragraph" w:styleId="a7">
    <w:name w:val="header"/>
    <w:basedOn w:val="a"/>
    <w:rsid w:val="003D3B4C"/>
    <w:pPr>
      <w:tabs>
        <w:tab w:val="center" w:pos="4153"/>
        <w:tab w:val="right" w:pos="8306"/>
      </w:tabs>
    </w:pPr>
  </w:style>
  <w:style w:type="paragraph" w:styleId="a8">
    <w:name w:val="footer"/>
    <w:basedOn w:val="a"/>
    <w:rsid w:val="003D3B4C"/>
    <w:pPr>
      <w:tabs>
        <w:tab w:val="center" w:pos="4153"/>
        <w:tab w:val="right" w:pos="8306"/>
      </w:tabs>
    </w:pPr>
  </w:style>
  <w:style w:type="paragraph" w:customStyle="1" w:styleId="HeadDivreiHesber">
    <w:name w:val="Head DivreiHesber"/>
    <w:basedOn w:val="a"/>
    <w:rsid w:val="003D3B4C"/>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customStyle="1" w:styleId="Ragil">
    <w:name w:val="Ragil"/>
    <w:basedOn w:val="a"/>
    <w:rsid w:val="003D3B4C"/>
    <w:pPr>
      <w:snapToGrid w:val="0"/>
      <w:spacing w:before="0" w:line="360" w:lineRule="auto"/>
      <w:jc w:val="left"/>
    </w:pPr>
    <w:rPr>
      <w:rFonts w:ascii="Arial" w:eastAsia="Arial Unicode MS" w:hAnsi="Arial" w:cs="David"/>
      <w:snapToGrid w:val="0"/>
      <w:spacing w:val="0"/>
      <w:sz w:val="20"/>
      <w:szCs w:val="26"/>
    </w:rPr>
  </w:style>
  <w:style w:type="paragraph" w:styleId="a9">
    <w:name w:val="Title"/>
    <w:basedOn w:val="a"/>
    <w:qFormat/>
    <w:rsid w:val="00943386"/>
    <w:pPr>
      <w:jc w:val="center"/>
    </w:pPr>
    <w:rPr>
      <w:rFonts w:cs="David"/>
      <w:b/>
      <w:bCs/>
      <w:sz w:val="28"/>
      <w:szCs w:val="28"/>
      <w:u w:val="single"/>
    </w:rPr>
  </w:style>
  <w:style w:type="character" w:styleId="aa">
    <w:name w:val="page number"/>
    <w:basedOn w:val="a0"/>
    <w:rsid w:val="003D3B4C"/>
  </w:style>
  <w:style w:type="paragraph" w:customStyle="1" w:styleId="David">
    <w:name w:val="רגיל + (עברית ושפות אחרות) David"/>
    <w:aliases w:val="‏13 נק',מודגש,אחרי:  6 נק'"/>
    <w:basedOn w:val="a"/>
    <w:rsid w:val="001207F8"/>
    <w:pPr>
      <w:ind w:firstLine="0"/>
      <w:jc w:val="left"/>
    </w:pPr>
    <w:rPr>
      <w:rFonts w:cs="David"/>
      <w:sz w:val="26"/>
      <w:szCs w:val="26"/>
    </w:rPr>
  </w:style>
  <w:style w:type="paragraph" w:styleId="ab">
    <w:name w:val="Balloon Text"/>
    <w:basedOn w:val="a"/>
    <w:link w:val="ac"/>
    <w:semiHidden/>
    <w:unhideWhenUsed/>
    <w:rsid w:val="00325C14"/>
    <w:pPr>
      <w:spacing w:before="0" w:line="240" w:lineRule="auto"/>
    </w:pPr>
    <w:rPr>
      <w:rFonts w:ascii="Tahoma" w:hAnsi="Tahoma" w:cs="Tahoma"/>
      <w:sz w:val="16"/>
      <w:szCs w:val="16"/>
    </w:rPr>
  </w:style>
  <w:style w:type="character" w:customStyle="1" w:styleId="ac">
    <w:name w:val="טקסט בלונים תו"/>
    <w:basedOn w:val="a0"/>
    <w:link w:val="ab"/>
    <w:semiHidden/>
    <w:rsid w:val="00325C14"/>
    <w:rPr>
      <w:rFonts w:ascii="Tahoma" w:hAnsi="Tahoma" w:cs="Tahoma"/>
      <w:color w:val="000000"/>
      <w:spacing w:val="1"/>
      <w:sz w:val="16"/>
      <w:szCs w:val="16"/>
      <w:lang w:eastAsia="ja-JP"/>
    </w:rPr>
  </w:style>
  <w:style w:type="character" w:styleId="Hyperlink">
    <w:name w:val="Hyperlink"/>
    <w:rsid w:val="005A3A2F"/>
    <w:rPr>
      <w:color w:val="0000FF"/>
      <w:u w:val="single"/>
    </w:rPr>
  </w:style>
  <w:style w:type="character" w:styleId="FollowedHyperlink">
    <w:name w:val="FollowedHyperlink"/>
    <w:basedOn w:val="a0"/>
    <w:semiHidden/>
    <w:unhideWhenUsed/>
    <w:rsid w:val="00B2766E"/>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MS Mincho" w:hAnsi="Times New Roman" w:cs="Times New Roman"/>
        <w:lang w:val="en-US" w:eastAsia="en-US" w:bidi="he-IL"/>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D3B4C"/>
    <w:pPr>
      <w:widowControl w:val="0"/>
      <w:autoSpaceDE w:val="0"/>
      <w:autoSpaceDN w:val="0"/>
      <w:bidi/>
      <w:adjustRightInd w:val="0"/>
      <w:spacing w:before="102" w:line="204" w:lineRule="atLeast"/>
      <w:ind w:firstLine="340"/>
      <w:jc w:val="both"/>
      <w:textAlignment w:val="center"/>
    </w:pPr>
    <w:rPr>
      <w:rFonts w:ascii="Hadasa Roso SL"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paragraphstyle">
    <w:name w:val="[No paragraph style]"/>
    <w:rsid w:val="00943386"/>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paragraph" w:customStyle="1" w:styleId="Cover1-Reshumot">
    <w:name w:val="Cover 1-Reshumot"/>
    <w:basedOn w:val="a"/>
    <w:rsid w:val="003D3B4C"/>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3D3B4C"/>
    <w:rPr>
      <w:sz w:val="36"/>
      <w:szCs w:val="52"/>
    </w:rPr>
  </w:style>
  <w:style w:type="paragraph" w:customStyle="1" w:styleId="Cover3-Haknesset">
    <w:name w:val="Cover 3-Haknesset"/>
    <w:basedOn w:val="Cover1-Reshumot"/>
    <w:rsid w:val="003D3B4C"/>
    <w:rPr>
      <w:b/>
      <w:bCs/>
      <w:spacing w:val="60"/>
    </w:rPr>
  </w:style>
  <w:style w:type="paragraph" w:customStyle="1" w:styleId="Cover4-Date">
    <w:name w:val="Cover 4-Date"/>
    <w:basedOn w:val="a"/>
    <w:rsid w:val="003D3B4C"/>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TOC">
    <w:name w:val="TOC"/>
    <w:basedOn w:val="Noparagraphstyle"/>
    <w:rsid w:val="00943386"/>
    <w:pPr>
      <w:tabs>
        <w:tab w:val="left" w:leader="dot" w:pos="8789"/>
      </w:tabs>
      <w:spacing w:before="120"/>
      <w:ind w:left="284" w:right="284"/>
    </w:pPr>
  </w:style>
  <w:style w:type="paragraph" w:customStyle="1" w:styleId="TOCpg">
    <w:name w:val="TOC pg"/>
    <w:basedOn w:val="TOC"/>
    <w:rsid w:val="00943386"/>
    <w:pPr>
      <w:spacing w:after="120"/>
      <w:ind w:right="567"/>
      <w:jc w:val="right"/>
    </w:pPr>
  </w:style>
  <w:style w:type="paragraph" w:customStyle="1" w:styleId="HeadMitparsemetBaze">
    <w:name w:val="Head MitparsemetBaze"/>
    <w:basedOn w:val="a"/>
    <w:rsid w:val="003D3B4C"/>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customStyle="1" w:styleId="HeadHatzaotHok">
    <w:name w:val="Head HatzaotHok"/>
    <w:basedOn w:val="a"/>
    <w:rsid w:val="003D3B4C"/>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HatzaotHok4Futer">
    <w:name w:val="Head HatzaotHok4Futer"/>
    <w:basedOn w:val="HeadHatzaotHok"/>
    <w:rsid w:val="003D3B4C"/>
    <w:pPr>
      <w:spacing w:before="120" w:after="120"/>
    </w:pPr>
    <w:rPr>
      <w:color w:val="FF0000"/>
      <w:w w:val="80"/>
    </w:rPr>
  </w:style>
  <w:style w:type="paragraph" w:styleId="a3">
    <w:name w:val="endnote text"/>
    <w:basedOn w:val="a"/>
    <w:semiHidden/>
    <w:rsid w:val="003D3B4C"/>
    <w:pPr>
      <w:ind w:left="227" w:hanging="227"/>
    </w:pPr>
    <w:rPr>
      <w:sz w:val="14"/>
      <w:szCs w:val="22"/>
    </w:rPr>
  </w:style>
  <w:style w:type="paragraph" w:customStyle="1" w:styleId="TableText">
    <w:name w:val="Table Text"/>
    <w:basedOn w:val="a"/>
    <w:rsid w:val="003D3B4C"/>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SideHeading">
    <w:name w:val="Table SideHeading"/>
    <w:basedOn w:val="TableText"/>
    <w:rsid w:val="003D3B4C"/>
  </w:style>
  <w:style w:type="paragraph" w:customStyle="1" w:styleId="TableBlock">
    <w:name w:val="Table Block"/>
    <w:basedOn w:val="TableText"/>
    <w:rsid w:val="003D3B4C"/>
    <w:pPr>
      <w:ind w:right="0"/>
      <w:jc w:val="both"/>
    </w:pPr>
  </w:style>
  <w:style w:type="paragraph" w:customStyle="1" w:styleId="TableHead">
    <w:name w:val="Table Head"/>
    <w:basedOn w:val="TableText"/>
    <w:rsid w:val="003D3B4C"/>
    <w:pPr>
      <w:ind w:right="0"/>
      <w:jc w:val="center"/>
    </w:pPr>
    <w:rPr>
      <w:b/>
      <w:bCs/>
    </w:rPr>
  </w:style>
  <w:style w:type="paragraph" w:customStyle="1" w:styleId="TableText2">
    <w:name w:val="Table Text2"/>
    <w:basedOn w:val="TableText"/>
    <w:rsid w:val="00943386"/>
  </w:style>
  <w:style w:type="paragraph" w:customStyle="1" w:styleId="TableInnerSideHeading">
    <w:name w:val="Table InnerSideHeading"/>
    <w:basedOn w:val="TableSideHeading"/>
    <w:rsid w:val="003D3B4C"/>
  </w:style>
  <w:style w:type="paragraph" w:customStyle="1" w:styleId="Hesber">
    <w:name w:val="Hesber"/>
    <w:basedOn w:val="a"/>
    <w:rsid w:val="003D3B4C"/>
    <w:pPr>
      <w:snapToGrid w:val="0"/>
      <w:spacing w:before="0" w:line="360" w:lineRule="auto"/>
    </w:pPr>
    <w:rPr>
      <w:rFonts w:ascii="Arial" w:eastAsia="Arial Unicode MS" w:hAnsi="Arial" w:cs="David"/>
      <w:snapToGrid w:val="0"/>
      <w:spacing w:val="0"/>
      <w:sz w:val="20"/>
      <w:szCs w:val="26"/>
    </w:rPr>
  </w:style>
  <w:style w:type="paragraph" w:styleId="a4">
    <w:name w:val="footnote text"/>
    <w:basedOn w:val="a"/>
    <w:autoRedefine/>
    <w:semiHidden/>
    <w:rsid w:val="003D3B4C"/>
    <w:pPr>
      <w:snapToGrid w:val="0"/>
      <w:spacing w:before="0" w:line="240" w:lineRule="auto"/>
      <w:ind w:left="227" w:hanging="227"/>
      <w:jc w:val="left"/>
    </w:pPr>
    <w:rPr>
      <w:rFonts w:ascii="Arial" w:eastAsia="Arial Unicode MS" w:hAnsi="Arial" w:cs="David"/>
      <w:snapToGrid w:val="0"/>
      <w:spacing w:val="0"/>
      <w:sz w:val="14"/>
      <w:szCs w:val="20"/>
    </w:rPr>
  </w:style>
  <w:style w:type="character" w:styleId="a5">
    <w:name w:val="footnote reference"/>
    <w:aliases w:val="Footnote Reference"/>
    <w:basedOn w:val="a0"/>
    <w:semiHidden/>
    <w:rsid w:val="003D3B4C"/>
    <w:rPr>
      <w:vertAlign w:val="superscript"/>
    </w:rPr>
  </w:style>
  <w:style w:type="paragraph" w:customStyle="1" w:styleId="HesberHeading">
    <w:name w:val="Hesber Heading"/>
    <w:basedOn w:val="Hesber"/>
    <w:rsid w:val="003D3B4C"/>
    <w:pPr>
      <w:tabs>
        <w:tab w:val="left" w:pos="624"/>
        <w:tab w:val="left" w:pos="1247"/>
      </w:tabs>
      <w:ind w:firstLine="0"/>
    </w:pPr>
    <w:rPr>
      <w:b/>
      <w:bCs/>
    </w:rPr>
  </w:style>
  <w:style w:type="paragraph" w:customStyle="1" w:styleId="HesberWriters">
    <w:name w:val="Hesber Writers"/>
    <w:basedOn w:val="Hesber"/>
    <w:rsid w:val="003D3B4C"/>
    <w:pPr>
      <w:spacing w:before="120" w:after="6000"/>
      <w:ind w:left="1418" w:firstLine="0"/>
      <w:jc w:val="right"/>
    </w:pPr>
    <w:rPr>
      <w:b/>
      <w:bCs/>
    </w:rPr>
  </w:style>
  <w:style w:type="paragraph" w:customStyle="1" w:styleId="Hesber1st">
    <w:name w:val="Hesber 1st"/>
    <w:basedOn w:val="Hesber"/>
    <w:rsid w:val="003D3B4C"/>
    <w:pPr>
      <w:tabs>
        <w:tab w:val="left" w:pos="680"/>
        <w:tab w:val="left" w:pos="1020"/>
      </w:tabs>
      <w:ind w:firstLine="0"/>
    </w:pPr>
  </w:style>
  <w:style w:type="character" w:styleId="a6">
    <w:name w:val="endnote reference"/>
    <w:basedOn w:val="a0"/>
    <w:semiHidden/>
    <w:rsid w:val="003D3B4C"/>
    <w:rPr>
      <w:vertAlign w:val="superscript"/>
    </w:rPr>
  </w:style>
  <w:style w:type="paragraph" w:customStyle="1" w:styleId="TableBlockOutdent">
    <w:name w:val="Table BlockOutdent"/>
    <w:basedOn w:val="TableBlock"/>
    <w:rsid w:val="003D3B4C"/>
    <w:pPr>
      <w:ind w:left="624" w:hanging="624"/>
    </w:pPr>
  </w:style>
  <w:style w:type="paragraph" w:styleId="a7">
    <w:name w:val="header"/>
    <w:basedOn w:val="a"/>
    <w:rsid w:val="003D3B4C"/>
    <w:pPr>
      <w:tabs>
        <w:tab w:val="center" w:pos="4153"/>
        <w:tab w:val="right" w:pos="8306"/>
      </w:tabs>
    </w:pPr>
  </w:style>
  <w:style w:type="paragraph" w:styleId="a8">
    <w:name w:val="footer"/>
    <w:basedOn w:val="a"/>
    <w:rsid w:val="003D3B4C"/>
    <w:pPr>
      <w:tabs>
        <w:tab w:val="center" w:pos="4153"/>
        <w:tab w:val="right" w:pos="8306"/>
      </w:tabs>
    </w:pPr>
  </w:style>
  <w:style w:type="paragraph" w:customStyle="1" w:styleId="HeadDivreiHesber">
    <w:name w:val="Head DivreiHesber"/>
    <w:basedOn w:val="a"/>
    <w:rsid w:val="003D3B4C"/>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customStyle="1" w:styleId="Ragil">
    <w:name w:val="Ragil"/>
    <w:basedOn w:val="a"/>
    <w:rsid w:val="003D3B4C"/>
    <w:pPr>
      <w:snapToGrid w:val="0"/>
      <w:spacing w:before="0" w:line="360" w:lineRule="auto"/>
      <w:jc w:val="left"/>
    </w:pPr>
    <w:rPr>
      <w:rFonts w:ascii="Arial" w:eastAsia="Arial Unicode MS" w:hAnsi="Arial" w:cs="David"/>
      <w:snapToGrid w:val="0"/>
      <w:spacing w:val="0"/>
      <w:sz w:val="20"/>
      <w:szCs w:val="26"/>
    </w:rPr>
  </w:style>
  <w:style w:type="paragraph" w:styleId="a9">
    <w:name w:val="Title"/>
    <w:basedOn w:val="a"/>
    <w:qFormat/>
    <w:rsid w:val="00943386"/>
    <w:pPr>
      <w:jc w:val="center"/>
    </w:pPr>
    <w:rPr>
      <w:rFonts w:cs="David"/>
      <w:b/>
      <w:bCs/>
      <w:sz w:val="28"/>
      <w:szCs w:val="28"/>
      <w:u w:val="single"/>
    </w:rPr>
  </w:style>
  <w:style w:type="character" w:styleId="aa">
    <w:name w:val="page number"/>
    <w:basedOn w:val="a0"/>
    <w:rsid w:val="003D3B4C"/>
  </w:style>
  <w:style w:type="paragraph" w:customStyle="1" w:styleId="David">
    <w:name w:val="רגיל + (עברית ושפות אחרות) David"/>
    <w:aliases w:val="‏13 נק',מודגש,אחרי:  6 נק'"/>
    <w:basedOn w:val="a"/>
    <w:rsid w:val="001207F8"/>
    <w:pPr>
      <w:ind w:firstLine="0"/>
      <w:jc w:val="left"/>
    </w:pPr>
    <w:rPr>
      <w:rFonts w:cs="David"/>
      <w:sz w:val="26"/>
      <w:szCs w:val="26"/>
    </w:rPr>
  </w:style>
  <w:style w:type="paragraph" w:styleId="ab">
    <w:name w:val="Balloon Text"/>
    <w:basedOn w:val="a"/>
    <w:link w:val="ac"/>
    <w:semiHidden/>
    <w:unhideWhenUsed/>
    <w:rsid w:val="00325C14"/>
    <w:pPr>
      <w:spacing w:before="0" w:line="240" w:lineRule="auto"/>
    </w:pPr>
    <w:rPr>
      <w:rFonts w:ascii="Tahoma" w:hAnsi="Tahoma" w:cs="Tahoma"/>
      <w:sz w:val="16"/>
      <w:szCs w:val="16"/>
    </w:rPr>
  </w:style>
  <w:style w:type="character" w:customStyle="1" w:styleId="ac">
    <w:name w:val="טקסט בלונים תו"/>
    <w:basedOn w:val="a0"/>
    <w:link w:val="ab"/>
    <w:semiHidden/>
    <w:rsid w:val="00325C14"/>
    <w:rPr>
      <w:rFonts w:ascii="Tahoma" w:hAnsi="Tahoma" w:cs="Tahoma"/>
      <w:color w:val="000000"/>
      <w:spacing w:val="1"/>
      <w:sz w:val="16"/>
      <w:szCs w:val="16"/>
      <w:lang w:eastAsia="ja-JP"/>
    </w:rPr>
  </w:style>
  <w:style w:type="character" w:styleId="Hyperlink">
    <w:name w:val="Hyperlink"/>
    <w:rsid w:val="005A3A2F"/>
    <w:rPr>
      <w:color w:val="0000FF"/>
      <w:u w:val="single"/>
    </w:rPr>
  </w:style>
  <w:style w:type="character" w:styleId="FollowedHyperlink">
    <w:name w:val="FollowedHyperlink"/>
    <w:basedOn w:val="a0"/>
    <w:semiHidden/>
    <w:unhideWhenUsed/>
    <w:rsid w:val="00B2766E"/>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805151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D26D539-011B-4002-9DC1-0AD024F7651A}"/>
</file>

<file path=customXml/itemProps2.xml><?xml version="1.0" encoding="utf-8"?>
<ds:datastoreItem xmlns:ds="http://schemas.openxmlformats.org/officeDocument/2006/customXml" ds:itemID="{88F4AFE3-9455-419C-8851-785A55F44517}"/>
</file>

<file path=customXml/itemProps3.xml><?xml version="1.0" encoding="utf-8"?>
<ds:datastoreItem xmlns:ds="http://schemas.openxmlformats.org/officeDocument/2006/customXml" ds:itemID="{53CDC32B-DD97-493E-9196-3EF77D6F9C7D}"/>
</file>

<file path=customXml/itemProps4.xml><?xml version="1.0" encoding="utf-8"?>
<ds:datastoreItem xmlns:ds="http://schemas.openxmlformats.org/officeDocument/2006/customXml" ds:itemID="{100E436E-5D4D-41FA-A4D2-D2E476529517}"/>
</file>

<file path=docProps/app.xml><?xml version="1.0" encoding="utf-8"?>
<Properties xmlns="http://schemas.openxmlformats.org/officeDocument/2006/extended-properties" xmlns:vt="http://schemas.openxmlformats.org/officeDocument/2006/docPropsVTypes">
  <Template>Normal</Template>
  <TotalTime>36</TotalTime>
  <Pages>1</Pages>
  <Words>394</Words>
  <Characters>1972</Characters>
  <Application>Microsoft Office Word</Application>
  <DocSecurity>0</DocSecurity>
  <Lines>16</Lines>
  <Paragraphs>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רשומות</vt:lpstr>
      <vt:lpstr>רשומות</vt:lpstr>
    </vt:vector>
  </TitlesOfParts>
  <Company>Knesset</Company>
  <LinksUpToDate>false</LinksUpToDate>
  <CharactersWithSpaces>2362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רשומות</dc:title>
  <dc:creator>מיקה צור</dc:creator>
  <cp:lastModifiedBy>דפנה ברנאי</cp:lastModifiedBy>
  <cp:revision>9</cp:revision>
  <cp:lastPrinted>2015-07-16T06:21:00Z</cp:lastPrinted>
  <dcterms:created xsi:type="dcterms:W3CDTF">2015-04-20T09:58:00Z</dcterms:created>
  <dcterms:modified xsi:type="dcterms:W3CDTF">2015-07-16T06:21:00Z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8badafff-95aa-4718-b074-a2d35988ffa8</vt:lpwstr>
  </property>
  <property fmtid="{D5CDD505-2E9C-101B-9397-08002B2CF9AE}" pid="4" name="SanhedrinDocumentType">
    <vt:r8>10</vt:r8>
  </property>
  <property fmtid="{D5CDD505-2E9C-101B-9397-08002B2CF9AE}" pid="5" name="SanhedrinItemID">
    <vt:r8>566991</vt:r8>
  </property>
</Properties>
</file>