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56A4" w:rsidRDefault="008D56A4" w:rsidP="008D56A4">
      <w:pPr>
        <w:pStyle w:val="HeadMitparsemetBaze"/>
      </w:pPr>
      <w:r>
        <w:rPr>
          <w:rFonts w:hint="cs"/>
          <w:rtl/>
        </w:rPr>
        <w:t>הצעת חוק לקריאה השנייה ולקריאה השלישית</w:t>
      </w:r>
    </w:p>
    <w:p w:rsidR="008D56A4" w:rsidRDefault="008D56A4" w:rsidP="008D56A4">
      <w:pPr>
        <w:spacing w:before="0" w:line="240" w:lineRule="auto"/>
        <w:jc w:val="right"/>
        <w:rPr>
          <w:rFonts w:cs="David"/>
          <w:sz w:val="20"/>
          <w:szCs w:val="20"/>
          <w:rtl/>
        </w:rPr>
      </w:pPr>
      <w:bookmarkStart w:id="0" w:name="LGSItemId"/>
      <w:r>
        <w:rPr>
          <w:rFonts w:cs="David" w:hint="cs"/>
          <w:sz w:val="20"/>
          <w:szCs w:val="20"/>
          <w:rtl/>
        </w:rPr>
        <w:t>מספר פנימי: 562899</w:t>
      </w:r>
      <w:bookmarkEnd w:id="0"/>
      <w:r>
        <w:rPr>
          <w:rFonts w:cs="David" w:hint="cs"/>
          <w:sz w:val="20"/>
          <w:szCs w:val="20"/>
          <w:rtl/>
        </w:rPr>
        <w:t>-417</w:t>
      </w:r>
    </w:p>
    <w:p w:rsidR="008D56A4" w:rsidRDefault="008D56A4" w:rsidP="008D56A4">
      <w:pPr>
        <w:spacing w:before="0" w:line="240" w:lineRule="auto"/>
        <w:jc w:val="right"/>
        <w:rPr>
          <w:rFonts w:cs="David"/>
          <w:b/>
          <w:bCs/>
          <w:sz w:val="28"/>
          <w:szCs w:val="28"/>
          <w:rtl/>
        </w:rPr>
      </w:pPr>
      <w:r>
        <w:rPr>
          <w:rFonts w:cs="David" w:hint="cs"/>
          <w:b/>
          <w:bCs/>
          <w:sz w:val="28"/>
          <w:szCs w:val="28"/>
          <w:rtl/>
        </w:rPr>
        <w:t xml:space="preserve">נספח מס' </w:t>
      </w:r>
      <w:bookmarkStart w:id="1" w:name="LGSNum"/>
      <w:r>
        <w:rPr>
          <w:rFonts w:cs="David" w:hint="cs"/>
          <w:b/>
          <w:bCs/>
          <w:sz w:val="28"/>
          <w:szCs w:val="28"/>
          <w:rtl/>
        </w:rPr>
        <w:t>כ-601</w:t>
      </w:r>
      <w:bookmarkEnd w:id="1"/>
      <w:r>
        <w:rPr>
          <w:rFonts w:cs="David" w:hint="cs"/>
          <w:b/>
          <w:bCs/>
          <w:sz w:val="28"/>
          <w:szCs w:val="28"/>
          <w:rtl/>
        </w:rPr>
        <w:t>/א'</w:t>
      </w:r>
    </w:p>
    <w:p w:rsidR="008D56A4" w:rsidRDefault="008D56A4" w:rsidP="008D56A4">
      <w:pPr>
        <w:spacing w:before="0" w:line="240" w:lineRule="auto"/>
        <w:jc w:val="right"/>
        <w:rPr>
          <w:rFonts w:cs="David"/>
          <w:b/>
          <w:bCs/>
          <w:sz w:val="28"/>
          <w:szCs w:val="28"/>
          <w:rtl/>
        </w:rPr>
      </w:pPr>
      <w:bookmarkStart w:id="2" w:name="LGSPrivateNum"/>
      <w:r>
        <w:rPr>
          <w:rFonts w:cs="David" w:hint="cs"/>
          <w:b/>
          <w:bCs/>
          <w:sz w:val="28"/>
          <w:szCs w:val="28"/>
          <w:rtl/>
        </w:rPr>
        <w:t>(פ/344/20)</w:t>
      </w:r>
      <w:bookmarkEnd w:id="2"/>
    </w:p>
    <w:p w:rsidR="008D56A4" w:rsidRDefault="008D56A4" w:rsidP="008D56A4">
      <w:pPr>
        <w:spacing w:before="0"/>
        <w:jc w:val="right"/>
        <w:rPr>
          <w:rtl/>
        </w:rPr>
      </w:pPr>
    </w:p>
    <w:p w:rsidR="008D56A4" w:rsidRDefault="008D56A4" w:rsidP="008D56A4">
      <w:pPr>
        <w:spacing w:before="0"/>
        <w:jc w:val="right"/>
      </w:pPr>
    </w:p>
    <w:p w:rsidR="008D56A4" w:rsidRDefault="008D56A4" w:rsidP="008D56A4">
      <w:pPr>
        <w:pStyle w:val="HeadHatzaotHok"/>
        <w:spacing w:before="0"/>
        <w:rPr>
          <w:rtl/>
        </w:rPr>
      </w:pPr>
      <w:bookmarkStart w:id="3" w:name="LGSName"/>
      <w:r>
        <w:rPr>
          <w:rFonts w:hint="cs"/>
          <w:rtl/>
        </w:rPr>
        <w:t>חוק הגנת הצרכן (תיקון מס' ), התשע"ה–2015</w:t>
      </w:r>
      <w:bookmarkEnd w:id="3"/>
    </w:p>
    <w:tbl>
      <w:tblPr>
        <w:bidiVisual/>
        <w:tblW w:w="9645" w:type="dxa"/>
        <w:jc w:val="center"/>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624"/>
        <w:gridCol w:w="4028"/>
      </w:tblGrid>
      <w:tr w:rsidR="008D56A4" w:rsidTr="008D56A4">
        <w:trPr>
          <w:cantSplit/>
          <w:jc w:val="center"/>
        </w:trPr>
        <w:tc>
          <w:tcPr>
            <w:tcW w:w="1869" w:type="dxa"/>
            <w:tcMar>
              <w:top w:w="91" w:type="dxa"/>
              <w:left w:w="0" w:type="dxa"/>
              <w:bottom w:w="91" w:type="dxa"/>
              <w:right w:w="0" w:type="dxa"/>
            </w:tcMar>
            <w:hideMark/>
          </w:tcPr>
          <w:p w:rsidR="008D56A4" w:rsidRDefault="008D56A4">
            <w:pPr>
              <w:pStyle w:val="TableSideHeading"/>
              <w:rPr>
                <w:sz w:val="26"/>
                <w:rtl/>
              </w:rPr>
            </w:pPr>
            <w:r>
              <w:rPr>
                <w:rFonts w:hint="cs"/>
                <w:sz w:val="26"/>
                <w:rtl/>
              </w:rPr>
              <w:t>הוספת סעיף 13ב2</w:t>
            </w:r>
          </w:p>
        </w:tc>
        <w:tc>
          <w:tcPr>
            <w:tcW w:w="624" w:type="dxa"/>
            <w:tcMar>
              <w:top w:w="91" w:type="dxa"/>
              <w:left w:w="0" w:type="dxa"/>
              <w:bottom w:w="91" w:type="dxa"/>
              <w:right w:w="0" w:type="dxa"/>
            </w:tcMar>
            <w:hideMark/>
          </w:tcPr>
          <w:p w:rsidR="008D56A4" w:rsidRDefault="008D56A4">
            <w:pPr>
              <w:pStyle w:val="TableText"/>
              <w:rPr>
                <w:sz w:val="26"/>
                <w:rtl/>
              </w:rPr>
            </w:pPr>
            <w:r>
              <w:rPr>
                <w:rFonts w:hint="cs"/>
                <w:sz w:val="26"/>
                <w:rtl/>
              </w:rPr>
              <w:t>1.</w:t>
            </w:r>
          </w:p>
        </w:tc>
        <w:tc>
          <w:tcPr>
            <w:tcW w:w="7145" w:type="dxa"/>
            <w:gridSpan w:val="6"/>
            <w:tcMar>
              <w:top w:w="91" w:type="dxa"/>
              <w:left w:w="0" w:type="dxa"/>
              <w:bottom w:w="91" w:type="dxa"/>
              <w:right w:w="0" w:type="dxa"/>
            </w:tcMar>
            <w:hideMark/>
          </w:tcPr>
          <w:p w:rsidR="008D56A4" w:rsidRDefault="008D56A4">
            <w:pPr>
              <w:pStyle w:val="TableBlock"/>
              <w:rPr>
                <w:sz w:val="26"/>
                <w:rtl/>
              </w:rPr>
            </w:pPr>
            <w:r>
              <w:rPr>
                <w:rFonts w:hint="cs"/>
                <w:sz w:val="26"/>
                <w:rtl/>
              </w:rPr>
              <w:t>בחוק הגנת הצרכן, התשמ"א–1981‏</w:t>
            </w:r>
            <w:r>
              <w:rPr>
                <w:rStyle w:val="a9"/>
                <w:sz w:val="26"/>
                <w:rtl/>
              </w:rPr>
              <w:footnoteReference w:id="1"/>
            </w:r>
            <w:r>
              <w:rPr>
                <w:rFonts w:hint="cs"/>
                <w:sz w:val="26"/>
                <w:rtl/>
              </w:rPr>
              <w:t>, אחרי סעיף 13ב1 יבוא:</w:t>
            </w:r>
          </w:p>
        </w:tc>
      </w:tr>
      <w:tr w:rsidR="008D56A4" w:rsidTr="008D56A4">
        <w:trPr>
          <w:cantSplit/>
          <w:jc w:val="center"/>
        </w:trPr>
        <w:tc>
          <w:tcPr>
            <w:tcW w:w="1869" w:type="dxa"/>
            <w:tcMar>
              <w:top w:w="91" w:type="dxa"/>
              <w:left w:w="0" w:type="dxa"/>
              <w:bottom w:w="91" w:type="dxa"/>
              <w:right w:w="0" w:type="dxa"/>
            </w:tcMar>
          </w:tcPr>
          <w:p w:rsidR="008D56A4" w:rsidRDefault="008D56A4">
            <w:pPr>
              <w:pStyle w:val="TableSideHeading"/>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1872" w:type="dxa"/>
            <w:gridSpan w:val="3"/>
            <w:tcMar>
              <w:top w:w="91" w:type="dxa"/>
              <w:left w:w="0" w:type="dxa"/>
              <w:bottom w:w="91" w:type="dxa"/>
              <w:right w:w="0" w:type="dxa"/>
            </w:tcMar>
            <w:hideMark/>
          </w:tcPr>
          <w:p w:rsidR="008D56A4" w:rsidRDefault="008D56A4">
            <w:pPr>
              <w:pStyle w:val="TableInnerSideHeading"/>
              <w:rPr>
                <w:sz w:val="26"/>
                <w:rtl/>
              </w:rPr>
            </w:pPr>
            <w:r>
              <w:rPr>
                <w:rFonts w:hint="cs"/>
                <w:sz w:val="26"/>
                <w:rtl/>
              </w:rPr>
              <w:t>"משלוח התראת תשלום לצרכן</w:t>
            </w:r>
          </w:p>
        </w:tc>
        <w:tc>
          <w:tcPr>
            <w:tcW w:w="624" w:type="dxa"/>
            <w:tcMar>
              <w:top w:w="91" w:type="dxa"/>
              <w:left w:w="0" w:type="dxa"/>
              <w:bottom w:w="91" w:type="dxa"/>
              <w:right w:w="0" w:type="dxa"/>
            </w:tcMar>
            <w:hideMark/>
          </w:tcPr>
          <w:p w:rsidR="008D56A4" w:rsidRDefault="008D56A4">
            <w:pPr>
              <w:pStyle w:val="TableText"/>
              <w:rPr>
                <w:sz w:val="26"/>
                <w:rtl/>
              </w:rPr>
            </w:pPr>
            <w:r>
              <w:rPr>
                <w:rFonts w:hint="cs"/>
                <w:w w:val="82"/>
                <w:sz w:val="26"/>
                <w:rtl/>
              </w:rPr>
              <w:t>13ב2.</w:t>
            </w:r>
          </w:p>
        </w:tc>
        <w:tc>
          <w:tcPr>
            <w:tcW w:w="4649" w:type="dxa"/>
            <w:gridSpan w:val="2"/>
            <w:tcMar>
              <w:top w:w="91" w:type="dxa"/>
              <w:left w:w="0" w:type="dxa"/>
              <w:bottom w:w="91" w:type="dxa"/>
              <w:right w:w="0" w:type="dxa"/>
            </w:tcMar>
            <w:hideMark/>
          </w:tcPr>
          <w:p w:rsidR="008D56A4" w:rsidRDefault="008D56A4" w:rsidP="008D56A4">
            <w:pPr>
              <w:pStyle w:val="TableBlock"/>
              <w:rPr>
                <w:sz w:val="26"/>
                <w:rtl/>
              </w:rPr>
            </w:pPr>
            <w:r>
              <w:rPr>
                <w:rFonts w:hint="cs"/>
                <w:sz w:val="26"/>
                <w:rtl/>
              </w:rPr>
              <w:t>(א)</w:t>
            </w:r>
            <w:r>
              <w:rPr>
                <w:rFonts w:hint="cs"/>
                <w:sz w:val="26"/>
                <w:rtl/>
              </w:rPr>
              <w:tab/>
              <w:t xml:space="preserve">עוסק הטוען כי צרכן לא שילם חיוב במועד שנקבע לכך, ישלח אליו הודעת חוב, בתוך ארבעה חודשים מהמועד האמור וטרם נקיטת  פעולה שמטרתה גביית החוב מהצרכן, שליחת התראה על פי דין, ולמעט שליחת הודעה בדבר פירוט חיובים שנתי כאמור בסעיף 13ב(ב1); </w:t>
            </w:r>
          </w:p>
        </w:tc>
      </w:tr>
      <w:tr w:rsidR="008D56A4" w:rsidTr="008D56A4">
        <w:trPr>
          <w:cantSplit/>
          <w:trHeight w:val="60"/>
          <w:jc w:val="center"/>
        </w:trPr>
        <w:tc>
          <w:tcPr>
            <w:tcW w:w="1869" w:type="dxa"/>
          </w:tcPr>
          <w:p w:rsidR="008D56A4" w:rsidRDefault="008D56A4">
            <w:pPr>
              <w:pStyle w:val="TableSideHeading"/>
              <w:rPr>
                <w:rtl/>
              </w:rPr>
            </w:pPr>
          </w:p>
        </w:tc>
        <w:tc>
          <w:tcPr>
            <w:tcW w:w="624" w:type="dxa"/>
          </w:tcPr>
          <w:p w:rsidR="008D56A4" w:rsidRDefault="008D56A4">
            <w:pPr>
              <w:pStyle w:val="TableText"/>
            </w:pPr>
          </w:p>
        </w:tc>
        <w:tc>
          <w:tcPr>
            <w:tcW w:w="624" w:type="dxa"/>
          </w:tcPr>
          <w:p w:rsidR="008D56A4" w:rsidRDefault="008D56A4">
            <w:pPr>
              <w:pStyle w:val="TableText"/>
            </w:pPr>
          </w:p>
        </w:tc>
        <w:tc>
          <w:tcPr>
            <w:tcW w:w="624" w:type="dxa"/>
          </w:tcPr>
          <w:p w:rsidR="008D56A4" w:rsidRDefault="008D56A4">
            <w:pPr>
              <w:pStyle w:val="TableText"/>
            </w:pPr>
          </w:p>
        </w:tc>
        <w:tc>
          <w:tcPr>
            <w:tcW w:w="624" w:type="dxa"/>
          </w:tcPr>
          <w:p w:rsidR="008D56A4" w:rsidRDefault="008D56A4">
            <w:pPr>
              <w:pStyle w:val="TableText"/>
            </w:pPr>
          </w:p>
        </w:tc>
        <w:tc>
          <w:tcPr>
            <w:tcW w:w="624" w:type="dxa"/>
          </w:tcPr>
          <w:p w:rsidR="008D56A4" w:rsidRDefault="008D56A4">
            <w:pPr>
              <w:pStyle w:val="TableText"/>
            </w:pPr>
          </w:p>
        </w:tc>
        <w:tc>
          <w:tcPr>
            <w:tcW w:w="4649" w:type="dxa"/>
            <w:gridSpan w:val="2"/>
            <w:hideMark/>
          </w:tcPr>
          <w:p w:rsidR="008D56A4" w:rsidRDefault="008D56A4">
            <w:pPr>
              <w:pStyle w:val="TableBlock"/>
            </w:pPr>
            <w:r>
              <w:rPr>
                <w:rFonts w:hint="cs"/>
                <w:sz w:val="26"/>
                <w:rtl/>
              </w:rPr>
              <w:t>(ב)</w:t>
            </w:r>
            <w:r>
              <w:rPr>
                <w:rFonts w:hint="cs"/>
                <w:sz w:val="26"/>
                <w:rtl/>
              </w:rPr>
              <w:tab/>
              <w:t>הודעת חוב כאמור בסעיף קטן (א), תשלח לצרכן בכתב, למען הרשום אצל העוסק או בדרך ממוחשבת שהצרכן נתן לה את הסכמתו המפורשת מראש; נטל ההוכחה כי העוסק שלח את הודעת החוב הוא על העוסק</w:t>
            </w:r>
            <w:r>
              <w:rPr>
                <w:rFonts w:hint="cs"/>
                <w:rtl/>
              </w:rPr>
              <w:t>.</w:t>
            </w:r>
          </w:p>
        </w:tc>
      </w:tr>
      <w:tr w:rsidR="008D56A4" w:rsidTr="008D56A4">
        <w:trPr>
          <w:cantSplit/>
          <w:jc w:val="center"/>
        </w:trPr>
        <w:tc>
          <w:tcPr>
            <w:tcW w:w="1869" w:type="dxa"/>
            <w:tcMar>
              <w:top w:w="91" w:type="dxa"/>
              <w:left w:w="0" w:type="dxa"/>
              <w:bottom w:w="91" w:type="dxa"/>
              <w:right w:w="0" w:type="dxa"/>
            </w:tcMar>
          </w:tcPr>
          <w:p w:rsidR="008D56A4" w:rsidRDefault="008D56A4">
            <w:pPr>
              <w:pStyle w:val="TableSideHeading"/>
              <w:rPr>
                <w:sz w:val="26"/>
              </w:rPr>
            </w:pPr>
          </w:p>
        </w:tc>
        <w:tc>
          <w:tcPr>
            <w:tcW w:w="624" w:type="dxa"/>
            <w:tcMar>
              <w:top w:w="91" w:type="dxa"/>
              <w:left w:w="0" w:type="dxa"/>
              <w:bottom w:w="91" w:type="dxa"/>
              <w:right w:w="0" w:type="dxa"/>
            </w:tcMar>
          </w:tcPr>
          <w:p w:rsidR="008D56A4" w:rsidRDefault="008D56A4">
            <w:pPr>
              <w:pStyle w:val="TableText"/>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4649" w:type="dxa"/>
            <w:gridSpan w:val="2"/>
            <w:tcMar>
              <w:top w:w="91" w:type="dxa"/>
              <w:left w:w="0" w:type="dxa"/>
              <w:bottom w:w="91" w:type="dxa"/>
              <w:right w:w="0" w:type="dxa"/>
            </w:tcMar>
            <w:hideMark/>
          </w:tcPr>
          <w:p w:rsidR="008D56A4" w:rsidRDefault="008D56A4">
            <w:pPr>
              <w:pStyle w:val="TableBlock"/>
              <w:rPr>
                <w:sz w:val="26"/>
                <w:rtl/>
              </w:rPr>
            </w:pPr>
            <w:r>
              <w:rPr>
                <w:rFonts w:hint="cs"/>
                <w:sz w:val="26"/>
                <w:rtl/>
              </w:rPr>
              <w:t>(ג)</w:t>
            </w:r>
            <w:r>
              <w:rPr>
                <w:rFonts w:hint="cs"/>
                <w:sz w:val="26"/>
                <w:rtl/>
              </w:rPr>
              <w:tab/>
              <w:t>הודעת חוב כאמור בסעיף קטן (א), תשלח לצרכן ישירות על ידי העוסק הטוען לקיומו של החוב, תהיה נפרדת מכל תכתובת אחרת המופנית לצרכן, ותכלול פרטים אלה:</w:t>
            </w:r>
          </w:p>
        </w:tc>
      </w:tr>
      <w:tr w:rsidR="008D56A4" w:rsidTr="008D56A4">
        <w:trPr>
          <w:cantSplit/>
          <w:jc w:val="center"/>
        </w:trPr>
        <w:tc>
          <w:tcPr>
            <w:tcW w:w="1869" w:type="dxa"/>
            <w:tcMar>
              <w:top w:w="91" w:type="dxa"/>
              <w:left w:w="0" w:type="dxa"/>
              <w:bottom w:w="91" w:type="dxa"/>
              <w:right w:w="0" w:type="dxa"/>
            </w:tcMar>
          </w:tcPr>
          <w:p w:rsidR="008D56A4" w:rsidRDefault="008D56A4">
            <w:pPr>
              <w:pStyle w:val="TableSideHeading"/>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4025" w:type="dxa"/>
            <w:tcMar>
              <w:top w:w="91" w:type="dxa"/>
              <w:left w:w="0" w:type="dxa"/>
              <w:bottom w:w="91" w:type="dxa"/>
              <w:right w:w="0" w:type="dxa"/>
            </w:tcMar>
            <w:hideMark/>
          </w:tcPr>
          <w:p w:rsidR="008D56A4" w:rsidRDefault="008D56A4">
            <w:pPr>
              <w:pStyle w:val="TableBlock"/>
              <w:rPr>
                <w:sz w:val="26"/>
                <w:rtl/>
              </w:rPr>
            </w:pPr>
            <w:r>
              <w:rPr>
                <w:rFonts w:hint="cs"/>
                <w:w w:val="113"/>
                <w:sz w:val="26"/>
                <w:rtl/>
              </w:rPr>
              <w:t>(1)</w:t>
            </w:r>
            <w:r>
              <w:rPr>
                <w:rFonts w:hint="cs"/>
                <w:w w:val="113"/>
                <w:sz w:val="26"/>
                <w:rtl/>
              </w:rPr>
              <w:tab/>
              <w:t>שם העוסק שעמו בוצעה העסקה, לרבות שמו המסחרי;</w:t>
            </w:r>
          </w:p>
        </w:tc>
      </w:tr>
      <w:tr w:rsidR="008D56A4" w:rsidTr="008D56A4">
        <w:trPr>
          <w:cantSplit/>
          <w:jc w:val="center"/>
        </w:trPr>
        <w:tc>
          <w:tcPr>
            <w:tcW w:w="1869" w:type="dxa"/>
            <w:tcMar>
              <w:top w:w="91" w:type="dxa"/>
              <w:left w:w="0" w:type="dxa"/>
              <w:bottom w:w="91" w:type="dxa"/>
              <w:right w:w="0" w:type="dxa"/>
            </w:tcMar>
          </w:tcPr>
          <w:p w:rsidR="008D56A4" w:rsidRDefault="008D56A4">
            <w:pPr>
              <w:pStyle w:val="TableSideHeading"/>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4025" w:type="dxa"/>
            <w:tcMar>
              <w:top w:w="91" w:type="dxa"/>
              <w:left w:w="0" w:type="dxa"/>
              <w:bottom w:w="91" w:type="dxa"/>
              <w:right w:w="0" w:type="dxa"/>
            </w:tcMar>
            <w:hideMark/>
          </w:tcPr>
          <w:p w:rsidR="008D56A4" w:rsidRDefault="008D56A4">
            <w:pPr>
              <w:pStyle w:val="TableBlock"/>
              <w:rPr>
                <w:sz w:val="26"/>
                <w:rtl/>
              </w:rPr>
            </w:pPr>
            <w:r>
              <w:rPr>
                <w:rFonts w:hint="cs"/>
                <w:sz w:val="26"/>
                <w:rtl/>
              </w:rPr>
              <w:t>(2)</w:t>
            </w:r>
            <w:r>
              <w:rPr>
                <w:rFonts w:hint="cs"/>
                <w:sz w:val="26"/>
                <w:rtl/>
              </w:rPr>
              <w:tab/>
              <w:t>פרטי העסקה;</w:t>
            </w:r>
          </w:p>
        </w:tc>
      </w:tr>
      <w:tr w:rsidR="008D56A4" w:rsidTr="008D56A4">
        <w:trPr>
          <w:cantSplit/>
          <w:jc w:val="center"/>
        </w:trPr>
        <w:tc>
          <w:tcPr>
            <w:tcW w:w="1869" w:type="dxa"/>
            <w:tcMar>
              <w:top w:w="91" w:type="dxa"/>
              <w:left w:w="0" w:type="dxa"/>
              <w:bottom w:w="91" w:type="dxa"/>
              <w:right w:w="0" w:type="dxa"/>
            </w:tcMar>
          </w:tcPr>
          <w:p w:rsidR="008D56A4" w:rsidRDefault="008D56A4">
            <w:pPr>
              <w:pStyle w:val="TableSideHeading"/>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4025" w:type="dxa"/>
            <w:tcMar>
              <w:top w:w="91" w:type="dxa"/>
              <w:left w:w="0" w:type="dxa"/>
              <w:bottom w:w="91" w:type="dxa"/>
              <w:right w:w="0" w:type="dxa"/>
            </w:tcMar>
            <w:hideMark/>
          </w:tcPr>
          <w:p w:rsidR="008D56A4" w:rsidRDefault="008D56A4">
            <w:pPr>
              <w:pStyle w:val="TableBlock"/>
              <w:rPr>
                <w:sz w:val="26"/>
                <w:rtl/>
              </w:rPr>
            </w:pPr>
            <w:r>
              <w:rPr>
                <w:rFonts w:hint="cs"/>
                <w:sz w:val="26"/>
                <w:rtl/>
              </w:rPr>
              <w:t>(3)</w:t>
            </w:r>
            <w:r>
              <w:rPr>
                <w:rFonts w:hint="cs"/>
                <w:sz w:val="26"/>
                <w:rtl/>
              </w:rPr>
              <w:tab/>
              <w:t>פירוט החוב ואופן חישובו;</w:t>
            </w:r>
          </w:p>
        </w:tc>
      </w:tr>
      <w:tr w:rsidR="008D56A4" w:rsidTr="008D56A4">
        <w:trPr>
          <w:cantSplit/>
          <w:jc w:val="center"/>
        </w:trPr>
        <w:tc>
          <w:tcPr>
            <w:tcW w:w="1869" w:type="dxa"/>
            <w:tcMar>
              <w:top w:w="91" w:type="dxa"/>
              <w:left w:w="0" w:type="dxa"/>
              <w:bottom w:w="91" w:type="dxa"/>
              <w:right w:w="0" w:type="dxa"/>
            </w:tcMar>
          </w:tcPr>
          <w:p w:rsidR="008D56A4" w:rsidRDefault="008D56A4">
            <w:pPr>
              <w:pStyle w:val="TableSideHeading"/>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4025" w:type="dxa"/>
            <w:tcMar>
              <w:top w:w="91" w:type="dxa"/>
              <w:left w:w="0" w:type="dxa"/>
              <w:bottom w:w="91" w:type="dxa"/>
              <w:right w:w="0" w:type="dxa"/>
            </w:tcMar>
            <w:hideMark/>
          </w:tcPr>
          <w:p w:rsidR="008D56A4" w:rsidRDefault="008D56A4">
            <w:pPr>
              <w:pStyle w:val="TableBlock"/>
              <w:rPr>
                <w:sz w:val="26"/>
                <w:rtl/>
              </w:rPr>
            </w:pPr>
            <w:r>
              <w:rPr>
                <w:rFonts w:hint="cs"/>
                <w:sz w:val="26"/>
                <w:rtl/>
              </w:rPr>
              <w:t>(4)</w:t>
            </w:r>
            <w:r>
              <w:rPr>
                <w:rFonts w:hint="cs"/>
                <w:sz w:val="26"/>
                <w:rtl/>
              </w:rPr>
              <w:tab/>
              <w:t>דרכי התקשרות עם העוסק לבירור החוב;</w:t>
            </w:r>
          </w:p>
        </w:tc>
      </w:tr>
      <w:tr w:rsidR="008D56A4" w:rsidTr="008D56A4">
        <w:trPr>
          <w:cantSplit/>
          <w:jc w:val="center"/>
        </w:trPr>
        <w:tc>
          <w:tcPr>
            <w:tcW w:w="1869" w:type="dxa"/>
            <w:tcMar>
              <w:top w:w="91" w:type="dxa"/>
              <w:left w:w="0" w:type="dxa"/>
              <w:bottom w:w="91" w:type="dxa"/>
              <w:right w:w="0" w:type="dxa"/>
            </w:tcMar>
          </w:tcPr>
          <w:p w:rsidR="008D56A4" w:rsidRDefault="008D56A4">
            <w:pPr>
              <w:pStyle w:val="TableSideHeading"/>
              <w:rPr>
                <w:sz w:val="26"/>
                <w:rtl/>
              </w:rPr>
            </w:pPr>
          </w:p>
        </w:tc>
        <w:tc>
          <w:tcPr>
            <w:tcW w:w="624" w:type="dxa"/>
            <w:tcMar>
              <w:top w:w="91" w:type="dxa"/>
              <w:left w:w="0" w:type="dxa"/>
              <w:bottom w:w="91" w:type="dxa"/>
              <w:right w:w="0" w:type="dxa"/>
            </w:tcMar>
          </w:tcPr>
          <w:p w:rsidR="008D56A4" w:rsidRDefault="008D56A4">
            <w:pPr>
              <w:pStyle w:val="TableText"/>
              <w:rPr>
                <w:rtl/>
              </w:rPr>
            </w:pPr>
          </w:p>
        </w:tc>
        <w:tc>
          <w:tcPr>
            <w:tcW w:w="624" w:type="dxa"/>
            <w:tcMar>
              <w:top w:w="91" w:type="dxa"/>
              <w:left w:w="0" w:type="dxa"/>
              <w:bottom w:w="91" w:type="dxa"/>
              <w:right w:w="0" w:type="dxa"/>
            </w:tcMar>
          </w:tcPr>
          <w:p w:rsidR="008D56A4" w:rsidRDefault="008D56A4">
            <w:pPr>
              <w:pStyle w:val="TableText"/>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624" w:type="dxa"/>
            <w:tcMar>
              <w:top w:w="91" w:type="dxa"/>
              <w:left w:w="0" w:type="dxa"/>
              <w:bottom w:w="91" w:type="dxa"/>
              <w:right w:w="0" w:type="dxa"/>
            </w:tcMar>
          </w:tcPr>
          <w:p w:rsidR="008D56A4" w:rsidRDefault="008D56A4">
            <w:pPr>
              <w:pStyle w:val="TableText"/>
              <w:rPr>
                <w:sz w:val="26"/>
                <w:rtl/>
              </w:rPr>
            </w:pPr>
          </w:p>
        </w:tc>
        <w:tc>
          <w:tcPr>
            <w:tcW w:w="4025" w:type="dxa"/>
            <w:tcMar>
              <w:top w:w="91" w:type="dxa"/>
              <w:left w:w="0" w:type="dxa"/>
              <w:bottom w:w="91" w:type="dxa"/>
              <w:right w:w="0" w:type="dxa"/>
            </w:tcMar>
            <w:hideMark/>
          </w:tcPr>
          <w:p w:rsidR="008D56A4" w:rsidRDefault="008D56A4">
            <w:pPr>
              <w:pStyle w:val="TableBlock"/>
              <w:rPr>
                <w:sz w:val="26"/>
                <w:rtl/>
              </w:rPr>
            </w:pPr>
            <w:r>
              <w:rPr>
                <w:rFonts w:hint="cs"/>
                <w:sz w:val="26"/>
                <w:rtl/>
              </w:rPr>
              <w:t>(5)</w:t>
            </w:r>
            <w:r>
              <w:rPr>
                <w:rFonts w:hint="cs"/>
                <w:sz w:val="26"/>
                <w:rtl/>
              </w:rPr>
              <w:tab/>
              <w:t>אסמכתא או כל ראיה אחרת לקיומה של העסקה.</w:t>
            </w:r>
          </w:p>
        </w:tc>
      </w:tr>
      <w:tr w:rsidR="008D56A4" w:rsidTr="008D56A4">
        <w:trPr>
          <w:cantSplit/>
          <w:trHeight w:val="60"/>
          <w:jc w:val="center"/>
        </w:trPr>
        <w:tc>
          <w:tcPr>
            <w:tcW w:w="1869" w:type="dxa"/>
          </w:tcPr>
          <w:p w:rsidR="008D56A4" w:rsidRDefault="008D56A4">
            <w:pPr>
              <w:pStyle w:val="TableSideHeading"/>
              <w:rPr>
                <w:rtl/>
              </w:rPr>
            </w:pPr>
          </w:p>
        </w:tc>
        <w:tc>
          <w:tcPr>
            <w:tcW w:w="624" w:type="dxa"/>
          </w:tcPr>
          <w:p w:rsidR="008D56A4" w:rsidRDefault="008D56A4">
            <w:pPr>
              <w:pStyle w:val="TableText"/>
            </w:pPr>
          </w:p>
        </w:tc>
        <w:tc>
          <w:tcPr>
            <w:tcW w:w="624" w:type="dxa"/>
          </w:tcPr>
          <w:p w:rsidR="008D56A4" w:rsidRDefault="008D56A4">
            <w:pPr>
              <w:pStyle w:val="TableText"/>
            </w:pPr>
          </w:p>
        </w:tc>
        <w:tc>
          <w:tcPr>
            <w:tcW w:w="624" w:type="dxa"/>
          </w:tcPr>
          <w:p w:rsidR="008D56A4" w:rsidRDefault="008D56A4">
            <w:pPr>
              <w:pStyle w:val="TableText"/>
            </w:pPr>
          </w:p>
        </w:tc>
        <w:tc>
          <w:tcPr>
            <w:tcW w:w="624" w:type="dxa"/>
          </w:tcPr>
          <w:p w:rsidR="008D56A4" w:rsidRDefault="008D56A4">
            <w:pPr>
              <w:pStyle w:val="TableText"/>
            </w:pPr>
          </w:p>
        </w:tc>
        <w:tc>
          <w:tcPr>
            <w:tcW w:w="624" w:type="dxa"/>
          </w:tcPr>
          <w:p w:rsidR="008D56A4" w:rsidRDefault="008D56A4">
            <w:pPr>
              <w:pStyle w:val="TableText"/>
            </w:pPr>
          </w:p>
        </w:tc>
        <w:tc>
          <w:tcPr>
            <w:tcW w:w="4649" w:type="dxa"/>
            <w:gridSpan w:val="2"/>
            <w:hideMark/>
          </w:tcPr>
          <w:p w:rsidR="008D56A4" w:rsidRDefault="008D56A4">
            <w:pPr>
              <w:pStyle w:val="TableBlock"/>
            </w:pPr>
            <w:r>
              <w:rPr>
                <w:rFonts w:hint="cs"/>
                <w:rtl/>
              </w:rPr>
              <w:t>(ד)</w:t>
            </w:r>
            <w:r>
              <w:rPr>
                <w:rFonts w:hint="cs"/>
                <w:rtl/>
              </w:rPr>
              <w:tab/>
              <w:t>עוסק שנקט בהליכי גבייה או הגיש תובענה לבית משפט או ללשכת ההוצאה לפועל נגד צרכן ותבע בנוסף לחוב גם הוצאות גבייה, רשאי בית משפט או רשם ההוצאה לפועל שלא לכלול בחוב הוצאות גבייה שתבע העוסק אם נוכח, מיוזמתו או לבקשת הצרכן, כי העוסק לא שלח לצרכן את הודעת החוב כאמור בסעיף זה.</w:t>
            </w:r>
          </w:p>
        </w:tc>
      </w:tr>
      <w:tr w:rsidR="008D56A4" w:rsidTr="008D56A4">
        <w:trPr>
          <w:cantSplit/>
          <w:trHeight w:val="60"/>
          <w:jc w:val="center"/>
        </w:trPr>
        <w:tc>
          <w:tcPr>
            <w:tcW w:w="1869" w:type="dxa"/>
            <w:hideMark/>
          </w:tcPr>
          <w:p w:rsidR="008D56A4" w:rsidRDefault="008D56A4">
            <w:pPr>
              <w:pStyle w:val="TableSideHeading"/>
            </w:pPr>
            <w:r>
              <w:rPr>
                <w:rFonts w:hint="cs"/>
                <w:rtl/>
              </w:rPr>
              <w:t>תיקון סעיף 22ג(א)</w:t>
            </w:r>
          </w:p>
        </w:tc>
        <w:tc>
          <w:tcPr>
            <w:tcW w:w="624" w:type="dxa"/>
            <w:hideMark/>
          </w:tcPr>
          <w:p w:rsidR="008D56A4" w:rsidRDefault="008D56A4">
            <w:pPr>
              <w:pStyle w:val="TableText"/>
            </w:pPr>
            <w:r>
              <w:rPr>
                <w:rFonts w:hint="cs"/>
                <w:rtl/>
              </w:rPr>
              <w:t>2.</w:t>
            </w:r>
          </w:p>
        </w:tc>
        <w:tc>
          <w:tcPr>
            <w:tcW w:w="7145" w:type="dxa"/>
            <w:gridSpan w:val="6"/>
            <w:hideMark/>
          </w:tcPr>
          <w:p w:rsidR="008D56A4" w:rsidRDefault="008D56A4">
            <w:pPr>
              <w:pStyle w:val="TableBlock"/>
            </w:pPr>
            <w:r>
              <w:rPr>
                <w:rFonts w:hint="cs"/>
                <w:rtl/>
              </w:rPr>
              <w:t>בסעיף 22ג(א) לחוק אחרי פסקה (48) יבוא –</w:t>
            </w:r>
          </w:p>
        </w:tc>
      </w:tr>
      <w:tr w:rsidR="008D56A4" w:rsidTr="008D56A4">
        <w:trPr>
          <w:cantSplit/>
          <w:trHeight w:val="60"/>
          <w:jc w:val="center"/>
        </w:trPr>
        <w:tc>
          <w:tcPr>
            <w:tcW w:w="1869" w:type="dxa"/>
          </w:tcPr>
          <w:p w:rsidR="008D56A4" w:rsidRDefault="008D56A4">
            <w:pPr>
              <w:pStyle w:val="TableSideHeading"/>
            </w:pPr>
          </w:p>
        </w:tc>
        <w:tc>
          <w:tcPr>
            <w:tcW w:w="624" w:type="dxa"/>
          </w:tcPr>
          <w:p w:rsidR="008D56A4" w:rsidRDefault="008D56A4">
            <w:pPr>
              <w:pStyle w:val="TableText"/>
            </w:pPr>
          </w:p>
        </w:tc>
        <w:tc>
          <w:tcPr>
            <w:tcW w:w="624" w:type="dxa"/>
          </w:tcPr>
          <w:p w:rsidR="008D56A4" w:rsidRDefault="008D56A4">
            <w:pPr>
              <w:pStyle w:val="TableText"/>
            </w:pPr>
          </w:p>
        </w:tc>
        <w:tc>
          <w:tcPr>
            <w:tcW w:w="6521" w:type="dxa"/>
            <w:gridSpan w:val="5"/>
            <w:hideMark/>
          </w:tcPr>
          <w:p w:rsidR="008D56A4" w:rsidRDefault="008D56A4">
            <w:pPr>
              <w:pStyle w:val="TableBlock"/>
            </w:pPr>
            <w:r>
              <w:rPr>
                <w:rFonts w:hint="cs"/>
                <w:rtl/>
              </w:rPr>
              <w:t>"(49) נקט פעולה שמטרתה גביית חוב ולא שלח הודעת חוב כאמור כאמור בסעיף 13ב(2)."</w:t>
            </w:r>
          </w:p>
        </w:tc>
      </w:tr>
      <w:tr w:rsidR="008D56A4" w:rsidTr="008D56A4">
        <w:trPr>
          <w:cantSplit/>
          <w:jc w:val="center"/>
        </w:trPr>
        <w:tc>
          <w:tcPr>
            <w:tcW w:w="1869" w:type="dxa"/>
            <w:tcMar>
              <w:top w:w="91" w:type="dxa"/>
              <w:left w:w="0" w:type="dxa"/>
              <w:bottom w:w="91" w:type="dxa"/>
              <w:right w:w="0" w:type="dxa"/>
            </w:tcMar>
            <w:hideMark/>
          </w:tcPr>
          <w:p w:rsidR="008D56A4" w:rsidRDefault="008D56A4">
            <w:pPr>
              <w:pStyle w:val="TableSideHeading"/>
              <w:rPr>
                <w:sz w:val="26"/>
              </w:rPr>
            </w:pPr>
            <w:r>
              <w:rPr>
                <w:rFonts w:hint="cs"/>
                <w:sz w:val="26"/>
                <w:rtl/>
              </w:rPr>
              <w:t>תחילה ותחולה</w:t>
            </w:r>
          </w:p>
        </w:tc>
        <w:tc>
          <w:tcPr>
            <w:tcW w:w="624" w:type="dxa"/>
            <w:tcMar>
              <w:top w:w="91" w:type="dxa"/>
              <w:left w:w="0" w:type="dxa"/>
              <w:bottom w:w="91" w:type="dxa"/>
              <w:right w:w="0" w:type="dxa"/>
            </w:tcMar>
            <w:hideMark/>
          </w:tcPr>
          <w:p w:rsidR="008D56A4" w:rsidRDefault="008D56A4">
            <w:pPr>
              <w:pStyle w:val="TableText"/>
              <w:rPr>
                <w:sz w:val="26"/>
                <w:rtl/>
              </w:rPr>
            </w:pPr>
            <w:r>
              <w:rPr>
                <w:rFonts w:hint="cs"/>
                <w:sz w:val="26"/>
                <w:rtl/>
              </w:rPr>
              <w:t>3.</w:t>
            </w:r>
          </w:p>
        </w:tc>
        <w:tc>
          <w:tcPr>
            <w:tcW w:w="7145" w:type="dxa"/>
            <w:gridSpan w:val="6"/>
            <w:tcMar>
              <w:top w:w="91" w:type="dxa"/>
              <w:left w:w="0" w:type="dxa"/>
              <w:bottom w:w="91" w:type="dxa"/>
              <w:right w:w="0" w:type="dxa"/>
            </w:tcMar>
            <w:hideMark/>
          </w:tcPr>
          <w:p w:rsidR="008D56A4" w:rsidRDefault="008D56A4">
            <w:pPr>
              <w:pStyle w:val="TableBlock"/>
              <w:rPr>
                <w:sz w:val="26"/>
                <w:rtl/>
              </w:rPr>
            </w:pPr>
            <w:r>
              <w:rPr>
                <w:rFonts w:hint="cs"/>
                <w:sz w:val="26"/>
                <w:rtl/>
              </w:rPr>
              <w:t>תחילתו של חוק זה 30 ימים מיום פרסומו, והוא יחול על חובות שנוצרו מיום פרסומו.</w:t>
            </w:r>
          </w:p>
        </w:tc>
      </w:tr>
    </w:tbl>
    <w:p w:rsidR="008D56A4" w:rsidRDefault="008D56A4" w:rsidP="00B8168D">
      <w:pPr>
        <w:pStyle w:val="Noparagraphstyle"/>
        <w:ind w:right="-28"/>
        <w:rPr>
          <w:rtl/>
        </w:rPr>
      </w:pPr>
    </w:p>
    <w:sectPr w:rsidR="008D56A4" w:rsidSect="00E653EF">
      <w:head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B3B" w:rsidRDefault="00693B3B" w:rsidP="008D56A4">
      <w:pPr>
        <w:spacing w:before="0" w:line="240" w:lineRule="auto"/>
      </w:pPr>
      <w:r>
        <w:separator/>
      </w:r>
    </w:p>
  </w:endnote>
  <w:endnote w:type="continuationSeparator" w:id="0">
    <w:p w:rsidR="00693B3B" w:rsidRDefault="00693B3B" w:rsidP="008D56A4">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B3B" w:rsidRDefault="00693B3B" w:rsidP="008D56A4">
      <w:pPr>
        <w:spacing w:before="0" w:line="240" w:lineRule="auto"/>
      </w:pPr>
      <w:r>
        <w:separator/>
      </w:r>
    </w:p>
  </w:footnote>
  <w:footnote w:type="continuationSeparator" w:id="0">
    <w:p w:rsidR="00693B3B" w:rsidRDefault="00693B3B" w:rsidP="008D56A4">
      <w:pPr>
        <w:spacing w:before="0" w:line="240" w:lineRule="auto"/>
      </w:pPr>
      <w:r>
        <w:continuationSeparator/>
      </w:r>
    </w:p>
  </w:footnote>
  <w:footnote w:id="1">
    <w:p w:rsidR="008D56A4" w:rsidRDefault="008D56A4" w:rsidP="008D56A4">
      <w:pPr>
        <w:pStyle w:val="a7"/>
        <w:rPr>
          <w:rtl/>
        </w:rPr>
      </w:pPr>
      <w:r>
        <w:rPr>
          <w:rStyle w:val="a9"/>
        </w:rPr>
        <w:footnoteRef/>
      </w:r>
      <w:r>
        <w:rPr>
          <w:rFonts w:hint="cs"/>
          <w:rtl/>
        </w:rPr>
        <w:t xml:space="preserve"> ס"ח התשמ"א, עמ' 248; התשע"ה, עמ' 66.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68D" w:rsidRPr="00B8168D" w:rsidRDefault="00B8168D" w:rsidP="00B8168D">
    <w:pPr>
      <w:pStyle w:val="a3"/>
      <w:jc w:val="right"/>
      <w:rPr>
        <w:rFonts w:cs="David"/>
        <w:b/>
        <w:bCs/>
        <w:sz w:val="28"/>
        <w:szCs w:val="28"/>
        <w:rtl/>
        <w:cs/>
      </w:rPr>
    </w:pPr>
    <w:r w:rsidRPr="00B8168D">
      <w:rPr>
        <w:rFonts w:cs="David" w:hint="cs"/>
        <w:b/>
        <w:bCs/>
        <w:sz w:val="28"/>
        <w:szCs w:val="28"/>
        <w:rtl/>
      </w:rPr>
      <w:t>נוסח לדיון בוועדה ב-22.3.16</w:t>
    </w:r>
  </w:p>
  <w:p w:rsidR="00B8168D" w:rsidRDefault="00B8168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482B"/>
    <w:rsid w:val="00201BB5"/>
    <w:rsid w:val="00484D09"/>
    <w:rsid w:val="00693B3B"/>
    <w:rsid w:val="0071482B"/>
    <w:rsid w:val="008D56A4"/>
    <w:rsid w:val="00B8168D"/>
    <w:rsid w:val="00C073C4"/>
    <w:rsid w:val="00CF5853"/>
    <w:rsid w:val="00E653EF"/>
    <w:rsid w:val="00EA45C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56A4"/>
    <w:pPr>
      <w:widowControl w:val="0"/>
      <w:autoSpaceDE w:val="0"/>
      <w:autoSpaceDN w:val="0"/>
      <w:bidi/>
      <w:adjustRightInd w:val="0"/>
      <w:spacing w:before="102" w:after="0" w:line="204" w:lineRule="atLeast"/>
      <w:ind w:firstLine="340"/>
      <w:jc w:val="both"/>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D56A4"/>
    <w:pPr>
      <w:tabs>
        <w:tab w:val="center" w:pos="4153"/>
        <w:tab w:val="right" w:pos="8306"/>
      </w:tabs>
      <w:spacing w:line="240" w:lineRule="auto"/>
    </w:pPr>
  </w:style>
  <w:style w:type="character" w:customStyle="1" w:styleId="a4">
    <w:name w:val="כותרת עליונה תו"/>
    <w:basedOn w:val="a0"/>
    <w:link w:val="a3"/>
    <w:uiPriority w:val="99"/>
    <w:rsid w:val="008D56A4"/>
  </w:style>
  <w:style w:type="paragraph" w:styleId="a5">
    <w:name w:val="footer"/>
    <w:basedOn w:val="a"/>
    <w:link w:val="a6"/>
    <w:uiPriority w:val="99"/>
    <w:unhideWhenUsed/>
    <w:rsid w:val="008D56A4"/>
    <w:pPr>
      <w:tabs>
        <w:tab w:val="center" w:pos="4153"/>
        <w:tab w:val="right" w:pos="8306"/>
      </w:tabs>
      <w:spacing w:line="240" w:lineRule="auto"/>
    </w:pPr>
  </w:style>
  <w:style w:type="character" w:customStyle="1" w:styleId="a6">
    <w:name w:val="כותרת תחתונה תו"/>
    <w:basedOn w:val="a0"/>
    <w:link w:val="a5"/>
    <w:uiPriority w:val="99"/>
    <w:rsid w:val="008D56A4"/>
  </w:style>
  <w:style w:type="paragraph" w:styleId="a7">
    <w:name w:val="footnote text"/>
    <w:basedOn w:val="a"/>
    <w:link w:val="a8"/>
    <w:autoRedefine/>
    <w:semiHidden/>
    <w:unhideWhenUsed/>
    <w:rsid w:val="008D56A4"/>
    <w:pPr>
      <w:snapToGrid w:val="0"/>
      <w:spacing w:before="0" w:line="240" w:lineRule="auto"/>
      <w:ind w:left="227" w:hanging="227"/>
      <w:jc w:val="left"/>
    </w:pPr>
    <w:rPr>
      <w:rFonts w:ascii="Arial" w:eastAsia="Arial Unicode MS" w:hAnsi="Arial" w:cs="David"/>
      <w:spacing w:val="0"/>
      <w:sz w:val="14"/>
      <w:szCs w:val="20"/>
    </w:rPr>
  </w:style>
  <w:style w:type="character" w:customStyle="1" w:styleId="a8">
    <w:name w:val="טקסט הערת שוליים תו"/>
    <w:basedOn w:val="a0"/>
    <w:link w:val="a7"/>
    <w:semiHidden/>
    <w:rsid w:val="008D56A4"/>
    <w:rPr>
      <w:rFonts w:ascii="Arial" w:eastAsia="Arial Unicode MS" w:hAnsi="Arial" w:cs="David"/>
      <w:color w:val="000000"/>
      <w:sz w:val="14"/>
      <w:szCs w:val="20"/>
      <w:lang w:eastAsia="ja-JP"/>
    </w:rPr>
  </w:style>
  <w:style w:type="paragraph" w:customStyle="1" w:styleId="HeadHatzaotHok">
    <w:name w:val="Head HatzaotHok"/>
    <w:basedOn w:val="a"/>
    <w:rsid w:val="008D56A4"/>
    <w:pPr>
      <w:keepNext/>
      <w:keepLines/>
      <w:snapToGrid w:val="0"/>
      <w:spacing w:before="240" w:line="360" w:lineRule="auto"/>
      <w:ind w:firstLine="0"/>
      <w:jc w:val="center"/>
    </w:pPr>
    <w:rPr>
      <w:rFonts w:ascii="Arial" w:eastAsia="Arial Unicode MS" w:hAnsi="Arial" w:cs="David"/>
      <w:b/>
      <w:bCs/>
      <w:spacing w:val="0"/>
      <w:sz w:val="20"/>
      <w:szCs w:val="26"/>
    </w:rPr>
  </w:style>
  <w:style w:type="paragraph" w:customStyle="1" w:styleId="HeadMitparsemetBaze">
    <w:name w:val="Head MitparsemetBaze"/>
    <w:basedOn w:val="a"/>
    <w:rsid w:val="008D56A4"/>
    <w:pPr>
      <w:keepNext/>
      <w:keepLines/>
      <w:pageBreakBefore/>
      <w:snapToGrid w:val="0"/>
      <w:spacing w:before="480" w:line="360" w:lineRule="auto"/>
      <w:ind w:firstLine="0"/>
    </w:pPr>
    <w:rPr>
      <w:rFonts w:ascii="Arial" w:eastAsia="Arial Unicode MS" w:hAnsi="Arial" w:cs="David"/>
      <w:b/>
      <w:bCs/>
      <w:spacing w:val="0"/>
      <w:sz w:val="20"/>
      <w:szCs w:val="26"/>
    </w:rPr>
  </w:style>
  <w:style w:type="paragraph" w:customStyle="1" w:styleId="TableText">
    <w:name w:val="Table Text"/>
    <w:basedOn w:val="a"/>
    <w:rsid w:val="008D56A4"/>
    <w:pPr>
      <w:keepLines/>
      <w:tabs>
        <w:tab w:val="left" w:pos="624"/>
        <w:tab w:val="left" w:pos="1247"/>
      </w:tabs>
      <w:snapToGrid w:val="0"/>
      <w:spacing w:before="0" w:line="360" w:lineRule="auto"/>
      <w:ind w:right="57" w:firstLine="0"/>
      <w:jc w:val="left"/>
    </w:pPr>
    <w:rPr>
      <w:rFonts w:ascii="Arial" w:eastAsia="Arial Unicode MS" w:hAnsi="Arial" w:cs="David"/>
      <w:spacing w:val="0"/>
      <w:sz w:val="20"/>
      <w:szCs w:val="26"/>
    </w:rPr>
  </w:style>
  <w:style w:type="paragraph" w:customStyle="1" w:styleId="TableBlock">
    <w:name w:val="Table Block"/>
    <w:basedOn w:val="TableText"/>
    <w:rsid w:val="008D56A4"/>
    <w:pPr>
      <w:ind w:right="0"/>
      <w:jc w:val="both"/>
    </w:pPr>
  </w:style>
  <w:style w:type="paragraph" w:customStyle="1" w:styleId="TableSideHeading">
    <w:name w:val="Table SideHeading"/>
    <w:basedOn w:val="TableText"/>
    <w:rsid w:val="008D56A4"/>
  </w:style>
  <w:style w:type="paragraph" w:customStyle="1" w:styleId="Noparagraphstyle">
    <w:name w:val="[No paragraph style]"/>
    <w:rsid w:val="008D56A4"/>
    <w:pPr>
      <w:widowControl w:val="0"/>
      <w:autoSpaceDE w:val="0"/>
      <w:autoSpaceDN w:val="0"/>
      <w:bidi/>
      <w:adjustRightInd w:val="0"/>
      <w:snapToGrid w:val="0"/>
      <w:spacing w:after="0" w:line="360" w:lineRule="auto"/>
    </w:pPr>
    <w:rPr>
      <w:rFonts w:ascii="Arial" w:eastAsia="Arial Unicode MS" w:hAnsi="Arial" w:cs="David"/>
      <w:color w:val="000000"/>
      <w:sz w:val="20"/>
      <w:szCs w:val="26"/>
      <w:lang w:eastAsia="ja-JP"/>
    </w:rPr>
  </w:style>
  <w:style w:type="paragraph" w:customStyle="1" w:styleId="TableInnerSideHeading">
    <w:name w:val="Table InnerSideHeading"/>
    <w:basedOn w:val="TableSideHeading"/>
    <w:rsid w:val="008D56A4"/>
  </w:style>
  <w:style w:type="character" w:styleId="a9">
    <w:name w:val="footnote reference"/>
    <w:aliases w:val="Footnote Reference"/>
    <w:semiHidden/>
    <w:unhideWhenUsed/>
    <w:rsid w:val="008D56A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56A4"/>
    <w:pPr>
      <w:widowControl w:val="0"/>
      <w:autoSpaceDE w:val="0"/>
      <w:autoSpaceDN w:val="0"/>
      <w:bidi/>
      <w:adjustRightInd w:val="0"/>
      <w:spacing w:before="102" w:after="0" w:line="204" w:lineRule="atLeast"/>
      <w:ind w:firstLine="340"/>
      <w:jc w:val="both"/>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D56A4"/>
    <w:pPr>
      <w:tabs>
        <w:tab w:val="center" w:pos="4153"/>
        <w:tab w:val="right" w:pos="8306"/>
      </w:tabs>
      <w:spacing w:line="240" w:lineRule="auto"/>
    </w:pPr>
  </w:style>
  <w:style w:type="character" w:customStyle="1" w:styleId="a4">
    <w:name w:val="כותרת עליונה תו"/>
    <w:basedOn w:val="a0"/>
    <w:link w:val="a3"/>
    <w:uiPriority w:val="99"/>
    <w:rsid w:val="008D56A4"/>
  </w:style>
  <w:style w:type="paragraph" w:styleId="a5">
    <w:name w:val="footer"/>
    <w:basedOn w:val="a"/>
    <w:link w:val="a6"/>
    <w:uiPriority w:val="99"/>
    <w:unhideWhenUsed/>
    <w:rsid w:val="008D56A4"/>
    <w:pPr>
      <w:tabs>
        <w:tab w:val="center" w:pos="4153"/>
        <w:tab w:val="right" w:pos="8306"/>
      </w:tabs>
      <w:spacing w:line="240" w:lineRule="auto"/>
    </w:pPr>
  </w:style>
  <w:style w:type="character" w:customStyle="1" w:styleId="a6">
    <w:name w:val="כותרת תחתונה תו"/>
    <w:basedOn w:val="a0"/>
    <w:link w:val="a5"/>
    <w:uiPriority w:val="99"/>
    <w:rsid w:val="008D56A4"/>
  </w:style>
  <w:style w:type="paragraph" w:styleId="a7">
    <w:name w:val="footnote text"/>
    <w:basedOn w:val="a"/>
    <w:link w:val="a8"/>
    <w:autoRedefine/>
    <w:semiHidden/>
    <w:unhideWhenUsed/>
    <w:rsid w:val="008D56A4"/>
    <w:pPr>
      <w:snapToGrid w:val="0"/>
      <w:spacing w:before="0" w:line="240" w:lineRule="auto"/>
      <w:ind w:left="227" w:hanging="227"/>
      <w:jc w:val="left"/>
    </w:pPr>
    <w:rPr>
      <w:rFonts w:ascii="Arial" w:eastAsia="Arial Unicode MS" w:hAnsi="Arial" w:cs="David"/>
      <w:spacing w:val="0"/>
      <w:sz w:val="14"/>
      <w:szCs w:val="20"/>
    </w:rPr>
  </w:style>
  <w:style w:type="character" w:customStyle="1" w:styleId="a8">
    <w:name w:val="טקסט הערת שוליים תו"/>
    <w:basedOn w:val="a0"/>
    <w:link w:val="a7"/>
    <w:semiHidden/>
    <w:rsid w:val="008D56A4"/>
    <w:rPr>
      <w:rFonts w:ascii="Arial" w:eastAsia="Arial Unicode MS" w:hAnsi="Arial" w:cs="David"/>
      <w:color w:val="000000"/>
      <w:sz w:val="14"/>
      <w:szCs w:val="20"/>
      <w:lang w:eastAsia="ja-JP"/>
    </w:rPr>
  </w:style>
  <w:style w:type="paragraph" w:customStyle="1" w:styleId="HeadHatzaotHok">
    <w:name w:val="Head HatzaotHok"/>
    <w:basedOn w:val="a"/>
    <w:rsid w:val="008D56A4"/>
    <w:pPr>
      <w:keepNext/>
      <w:keepLines/>
      <w:snapToGrid w:val="0"/>
      <w:spacing w:before="240" w:line="360" w:lineRule="auto"/>
      <w:ind w:firstLine="0"/>
      <w:jc w:val="center"/>
    </w:pPr>
    <w:rPr>
      <w:rFonts w:ascii="Arial" w:eastAsia="Arial Unicode MS" w:hAnsi="Arial" w:cs="David"/>
      <w:b/>
      <w:bCs/>
      <w:spacing w:val="0"/>
      <w:sz w:val="20"/>
      <w:szCs w:val="26"/>
    </w:rPr>
  </w:style>
  <w:style w:type="paragraph" w:customStyle="1" w:styleId="HeadMitparsemetBaze">
    <w:name w:val="Head MitparsemetBaze"/>
    <w:basedOn w:val="a"/>
    <w:rsid w:val="008D56A4"/>
    <w:pPr>
      <w:keepNext/>
      <w:keepLines/>
      <w:pageBreakBefore/>
      <w:snapToGrid w:val="0"/>
      <w:spacing w:before="480" w:line="360" w:lineRule="auto"/>
      <w:ind w:firstLine="0"/>
    </w:pPr>
    <w:rPr>
      <w:rFonts w:ascii="Arial" w:eastAsia="Arial Unicode MS" w:hAnsi="Arial" w:cs="David"/>
      <w:b/>
      <w:bCs/>
      <w:spacing w:val="0"/>
      <w:sz w:val="20"/>
      <w:szCs w:val="26"/>
    </w:rPr>
  </w:style>
  <w:style w:type="paragraph" w:customStyle="1" w:styleId="TableText">
    <w:name w:val="Table Text"/>
    <w:basedOn w:val="a"/>
    <w:rsid w:val="008D56A4"/>
    <w:pPr>
      <w:keepLines/>
      <w:tabs>
        <w:tab w:val="left" w:pos="624"/>
        <w:tab w:val="left" w:pos="1247"/>
      </w:tabs>
      <w:snapToGrid w:val="0"/>
      <w:spacing w:before="0" w:line="360" w:lineRule="auto"/>
      <w:ind w:right="57" w:firstLine="0"/>
      <w:jc w:val="left"/>
    </w:pPr>
    <w:rPr>
      <w:rFonts w:ascii="Arial" w:eastAsia="Arial Unicode MS" w:hAnsi="Arial" w:cs="David"/>
      <w:spacing w:val="0"/>
      <w:sz w:val="20"/>
      <w:szCs w:val="26"/>
    </w:rPr>
  </w:style>
  <w:style w:type="paragraph" w:customStyle="1" w:styleId="TableBlock">
    <w:name w:val="Table Block"/>
    <w:basedOn w:val="TableText"/>
    <w:rsid w:val="008D56A4"/>
    <w:pPr>
      <w:ind w:right="0"/>
      <w:jc w:val="both"/>
    </w:pPr>
  </w:style>
  <w:style w:type="paragraph" w:customStyle="1" w:styleId="TableSideHeading">
    <w:name w:val="Table SideHeading"/>
    <w:basedOn w:val="TableText"/>
    <w:rsid w:val="008D56A4"/>
  </w:style>
  <w:style w:type="paragraph" w:customStyle="1" w:styleId="Noparagraphstyle">
    <w:name w:val="[No paragraph style]"/>
    <w:rsid w:val="008D56A4"/>
    <w:pPr>
      <w:widowControl w:val="0"/>
      <w:autoSpaceDE w:val="0"/>
      <w:autoSpaceDN w:val="0"/>
      <w:bidi/>
      <w:adjustRightInd w:val="0"/>
      <w:snapToGrid w:val="0"/>
      <w:spacing w:after="0" w:line="360" w:lineRule="auto"/>
    </w:pPr>
    <w:rPr>
      <w:rFonts w:ascii="Arial" w:eastAsia="Arial Unicode MS" w:hAnsi="Arial" w:cs="David"/>
      <w:color w:val="000000"/>
      <w:sz w:val="20"/>
      <w:szCs w:val="26"/>
      <w:lang w:eastAsia="ja-JP"/>
    </w:rPr>
  </w:style>
  <w:style w:type="paragraph" w:customStyle="1" w:styleId="TableInnerSideHeading">
    <w:name w:val="Table InnerSideHeading"/>
    <w:basedOn w:val="TableSideHeading"/>
    <w:rsid w:val="008D56A4"/>
  </w:style>
  <w:style w:type="character" w:styleId="a9">
    <w:name w:val="footnote reference"/>
    <w:aliases w:val="Footnote Reference"/>
    <w:semiHidden/>
    <w:unhideWhenUsed/>
    <w:rsid w:val="008D56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1203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EFD1F5-E2F6-4D13-9A2B-686AB7D6A896}"/>
</file>

<file path=customXml/itemProps2.xml><?xml version="1.0" encoding="utf-8"?>
<ds:datastoreItem xmlns:ds="http://schemas.openxmlformats.org/officeDocument/2006/customXml" ds:itemID="{E49210A2-DFAE-424F-981E-5D9240790272}"/>
</file>

<file path=customXml/itemProps3.xml><?xml version="1.0" encoding="utf-8"?>
<ds:datastoreItem xmlns:ds="http://schemas.openxmlformats.org/officeDocument/2006/customXml" ds:itemID="{0C701136-4BA7-47D3-946C-739791D53541}"/>
</file>

<file path=docProps/app.xml><?xml version="1.0" encoding="utf-8"?>
<Properties xmlns="http://schemas.openxmlformats.org/officeDocument/2006/extended-properties" xmlns:vt="http://schemas.openxmlformats.org/officeDocument/2006/docPropsVTypes">
  <Template>Normal</Template>
  <TotalTime>18</TotalTime>
  <Pages>1</Pages>
  <Words>259</Words>
  <Characters>1295</Characters>
  <Application>Microsoft Office Word</Application>
  <DocSecurity>0</DocSecurity>
  <Lines>10</Lines>
  <Paragraphs>3</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אביגל כספי</dc:creator>
  <cp:keywords/>
  <dc:description/>
  <cp:lastModifiedBy/>
  <cp:revision>1</cp:revision>
  <cp:lastPrinted>2016-03-21T07:19:00Z</cp:lastPrinted>
  <dcterms:created xsi:type="dcterms:W3CDTF">2016-03-21T07:18:00Z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