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F4874" w14:textId="77777777" w:rsidR="00DB3BC3" w:rsidRPr="00E94184" w:rsidRDefault="00F139A1" w:rsidP="00DB3BC3">
      <w:pPr>
        <w:spacing w:before="120" w:after="120" w:line="360" w:lineRule="auto"/>
        <w:jc w:val="center"/>
        <w:rPr>
          <w:rFonts w:cs="David"/>
          <w:b/>
          <w:bCs/>
          <w:sz w:val="40"/>
          <w:szCs w:val="40"/>
          <w:rtl/>
        </w:rPr>
      </w:pPr>
      <w:bookmarkStart w:id="0" w:name="_GoBack"/>
      <w:bookmarkEnd w:id="0"/>
      <w:r w:rsidRPr="00E94184">
        <w:rPr>
          <w:rFonts w:cs="David" w:hint="cs"/>
          <w:b/>
          <w:bCs/>
          <w:sz w:val="40"/>
          <w:szCs w:val="40"/>
          <w:rtl/>
        </w:rPr>
        <w:t xml:space="preserve">המועצה להגנת הפרטיות </w:t>
      </w:r>
    </w:p>
    <w:p w14:paraId="57F6CE07" w14:textId="77777777" w:rsidR="00DB3BC3" w:rsidRDefault="00DB3BC3" w:rsidP="00DB3BC3">
      <w:pPr>
        <w:spacing w:before="120" w:after="120" w:line="360" w:lineRule="auto"/>
        <w:jc w:val="center"/>
        <w:rPr>
          <w:rFonts w:cs="David"/>
          <w:b/>
          <w:bCs/>
          <w:sz w:val="34"/>
          <w:szCs w:val="34"/>
          <w:rtl/>
        </w:rPr>
      </w:pPr>
    </w:p>
    <w:p w14:paraId="324AC3BA" w14:textId="77777777" w:rsidR="00DB3BC3" w:rsidRDefault="00DB3BC3" w:rsidP="00DB3BC3">
      <w:pPr>
        <w:spacing w:before="120" w:after="120" w:line="360" w:lineRule="auto"/>
        <w:jc w:val="center"/>
        <w:rPr>
          <w:rFonts w:cs="David"/>
          <w:b/>
          <w:bCs/>
          <w:sz w:val="34"/>
          <w:szCs w:val="34"/>
          <w:rtl/>
        </w:rPr>
      </w:pPr>
    </w:p>
    <w:p w14:paraId="48FA1904" w14:textId="77777777" w:rsidR="00E94184" w:rsidRDefault="00E94184" w:rsidP="00DB3BC3">
      <w:pPr>
        <w:spacing w:before="120" w:after="120" w:line="360" w:lineRule="auto"/>
        <w:jc w:val="center"/>
        <w:rPr>
          <w:rFonts w:cs="David"/>
          <w:b/>
          <w:bCs/>
          <w:sz w:val="68"/>
          <w:szCs w:val="68"/>
          <w:rtl/>
        </w:rPr>
      </w:pPr>
    </w:p>
    <w:p w14:paraId="1F998D49" w14:textId="77777777" w:rsidR="00DB3BC3" w:rsidRPr="00E94184" w:rsidRDefault="00F139A1" w:rsidP="00DB3BC3">
      <w:pPr>
        <w:spacing w:before="120" w:after="120" w:line="360" w:lineRule="auto"/>
        <w:jc w:val="center"/>
        <w:rPr>
          <w:rFonts w:cs="David"/>
          <w:b/>
          <w:bCs/>
          <w:sz w:val="68"/>
          <w:szCs w:val="68"/>
          <w:rtl/>
        </w:rPr>
      </w:pPr>
      <w:r w:rsidRPr="00E94184">
        <w:rPr>
          <w:rFonts w:cs="David" w:hint="cs"/>
          <w:b/>
          <w:bCs/>
          <w:sz w:val="68"/>
          <w:szCs w:val="68"/>
          <w:rtl/>
        </w:rPr>
        <w:t xml:space="preserve">נייר עמדה בנושא: </w:t>
      </w:r>
    </w:p>
    <w:p w14:paraId="46391F3C" w14:textId="60CDF32C" w:rsidR="00F139A1" w:rsidRPr="00DB3BC3" w:rsidRDefault="00F139A1" w:rsidP="00DB3BC3">
      <w:pPr>
        <w:spacing w:before="120" w:after="120" w:line="360" w:lineRule="auto"/>
        <w:jc w:val="center"/>
        <w:rPr>
          <w:rFonts w:cs="David"/>
          <w:b/>
          <w:bCs/>
          <w:sz w:val="40"/>
          <w:szCs w:val="40"/>
          <w:rtl/>
        </w:rPr>
      </w:pPr>
      <w:r w:rsidRPr="00E94184">
        <w:rPr>
          <w:rFonts w:cs="David" w:hint="cs"/>
          <w:b/>
          <w:bCs/>
          <w:sz w:val="68"/>
          <w:szCs w:val="68"/>
          <w:rtl/>
        </w:rPr>
        <w:t xml:space="preserve">הצעת חוק נתוני אשראי, התשע"ו </w:t>
      </w:r>
      <w:r w:rsidRPr="00E94184">
        <w:rPr>
          <w:rFonts w:cs="David"/>
          <w:b/>
          <w:bCs/>
          <w:sz w:val="68"/>
          <w:szCs w:val="68"/>
          <w:rtl/>
        </w:rPr>
        <w:t>–</w:t>
      </w:r>
      <w:r w:rsidRPr="00E94184">
        <w:rPr>
          <w:rFonts w:cs="David" w:hint="cs"/>
          <w:b/>
          <w:bCs/>
          <w:sz w:val="68"/>
          <w:szCs w:val="68"/>
          <w:rtl/>
        </w:rPr>
        <w:t xml:space="preserve"> 2015</w:t>
      </w:r>
    </w:p>
    <w:p w14:paraId="79438099" w14:textId="77777777" w:rsidR="00DB3BC3" w:rsidRDefault="00DB3BC3" w:rsidP="009F2E9B">
      <w:pPr>
        <w:spacing w:before="360" w:after="120" w:line="360" w:lineRule="auto"/>
        <w:ind w:left="567" w:hanging="567"/>
        <w:jc w:val="both"/>
        <w:rPr>
          <w:rFonts w:cs="David"/>
          <w:b/>
          <w:bCs/>
          <w:sz w:val="28"/>
          <w:szCs w:val="28"/>
          <w:rtl/>
        </w:rPr>
      </w:pPr>
    </w:p>
    <w:p w14:paraId="2DA9591B" w14:textId="77777777" w:rsidR="00DB3BC3" w:rsidRDefault="00DB3BC3" w:rsidP="009F2E9B">
      <w:pPr>
        <w:spacing w:before="360" w:after="120" w:line="360" w:lineRule="auto"/>
        <w:ind w:left="567" w:hanging="567"/>
        <w:jc w:val="both"/>
        <w:rPr>
          <w:rFonts w:cs="David"/>
          <w:b/>
          <w:bCs/>
          <w:sz w:val="28"/>
          <w:szCs w:val="28"/>
          <w:rtl/>
        </w:rPr>
      </w:pPr>
    </w:p>
    <w:p w14:paraId="3D9E81EC" w14:textId="77777777" w:rsidR="00E94184" w:rsidRDefault="00E94184" w:rsidP="009F2E9B">
      <w:pPr>
        <w:spacing w:before="360" w:after="120" w:line="360" w:lineRule="auto"/>
        <w:ind w:left="567" w:hanging="567"/>
        <w:jc w:val="both"/>
        <w:rPr>
          <w:rFonts w:cs="David"/>
          <w:b/>
          <w:bCs/>
          <w:sz w:val="28"/>
          <w:szCs w:val="28"/>
          <w:rtl/>
        </w:rPr>
      </w:pPr>
    </w:p>
    <w:p w14:paraId="54CC2D76" w14:textId="2FD4E948"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מוגש לוועדת הכלכלה בכנסת</w:t>
      </w:r>
    </w:p>
    <w:p w14:paraId="6656ED27" w14:textId="16062927"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23.11.2015</w:t>
      </w:r>
    </w:p>
    <w:p w14:paraId="37F8DABD" w14:textId="77777777" w:rsidR="00DB3BC3" w:rsidRDefault="00DB3BC3" w:rsidP="009F2E9B">
      <w:pPr>
        <w:spacing w:before="360" w:after="120" w:line="360" w:lineRule="auto"/>
        <w:ind w:left="567" w:hanging="567"/>
        <w:jc w:val="both"/>
        <w:rPr>
          <w:rFonts w:cs="David"/>
          <w:b/>
          <w:bCs/>
          <w:sz w:val="28"/>
          <w:szCs w:val="28"/>
          <w:rtl/>
        </w:rPr>
      </w:pPr>
    </w:p>
    <w:p w14:paraId="2303548F" w14:textId="77777777" w:rsidR="00DB3BC3" w:rsidRDefault="00DB3BC3">
      <w:pPr>
        <w:bidi w:val="0"/>
        <w:rPr>
          <w:rFonts w:cs="David"/>
          <w:b/>
          <w:bCs/>
          <w:sz w:val="28"/>
          <w:szCs w:val="28"/>
        </w:rPr>
      </w:pPr>
      <w:r>
        <w:rPr>
          <w:rFonts w:cs="David"/>
          <w:b/>
          <w:bCs/>
          <w:sz w:val="28"/>
          <w:szCs w:val="28"/>
          <w:rtl/>
        </w:rPr>
        <w:br w:type="page"/>
      </w:r>
    </w:p>
    <w:p w14:paraId="354AEC73" w14:textId="1AA59C56" w:rsidR="00ED7D33" w:rsidRDefault="0069562D" w:rsidP="0069562D">
      <w:pPr>
        <w:tabs>
          <w:tab w:val="left" w:pos="3347"/>
          <w:tab w:val="center" w:pos="4156"/>
        </w:tabs>
        <w:spacing w:before="360" w:after="120" w:line="360" w:lineRule="auto"/>
        <w:ind w:left="567" w:hanging="567"/>
        <w:rPr>
          <w:rFonts w:cs="David"/>
          <w:b/>
          <w:bCs/>
          <w:sz w:val="28"/>
          <w:szCs w:val="28"/>
          <w:rtl/>
        </w:rPr>
      </w:pPr>
      <w:r>
        <w:rPr>
          <w:rFonts w:cs="David"/>
          <w:b/>
          <w:bCs/>
          <w:sz w:val="28"/>
          <w:szCs w:val="28"/>
          <w:rtl/>
        </w:rPr>
        <w:lastRenderedPageBreak/>
        <w:tab/>
      </w:r>
      <w:r>
        <w:rPr>
          <w:rFonts w:cs="David"/>
          <w:b/>
          <w:bCs/>
          <w:sz w:val="28"/>
          <w:szCs w:val="28"/>
          <w:rtl/>
        </w:rPr>
        <w:tab/>
      </w:r>
      <w:r w:rsidR="00ED7D33">
        <w:rPr>
          <w:rFonts w:cs="David" w:hint="cs"/>
          <w:b/>
          <w:bCs/>
          <w:sz w:val="28"/>
          <w:szCs w:val="28"/>
          <w:rtl/>
        </w:rPr>
        <w:t xml:space="preserve">תמצית </w:t>
      </w:r>
    </w:p>
    <w:p w14:paraId="794189B9" w14:textId="6535C7C6" w:rsidR="00ED7D33" w:rsidRPr="00ED7D33" w:rsidRDefault="00ED7D33" w:rsidP="004C27F7">
      <w:pPr>
        <w:spacing w:before="120" w:after="120" w:line="360" w:lineRule="auto"/>
        <w:jc w:val="both"/>
        <w:rPr>
          <w:rFonts w:cs="David"/>
          <w:sz w:val="24"/>
          <w:szCs w:val="24"/>
          <w:rtl/>
        </w:rPr>
      </w:pPr>
      <w:r w:rsidRPr="004D2745">
        <w:rPr>
          <w:rFonts w:cs="David" w:hint="cs"/>
          <w:sz w:val="24"/>
          <w:szCs w:val="24"/>
          <w:rtl/>
        </w:rPr>
        <w:t xml:space="preserve">המועצה להגנת הפרטיות פועלת מכוח חוק הגנת הפרטיות, התשמ"א-1981 ("חוק הגנת הפרטיות") ולפי מינוי שר המשפטים. המועצה מייעצת לשר, למשרד המשפטים, ולציבור בכללותו בנושאי פרטיות. </w:t>
      </w:r>
      <w:r w:rsidRPr="00ED7D33">
        <w:rPr>
          <w:rFonts w:cs="David" w:hint="cs"/>
          <w:sz w:val="24"/>
          <w:szCs w:val="24"/>
          <w:rtl/>
        </w:rPr>
        <w:t>בתמצית</w:t>
      </w:r>
      <w:r w:rsidR="004C27F7">
        <w:rPr>
          <w:rFonts w:cs="David" w:hint="cs"/>
          <w:sz w:val="24"/>
          <w:szCs w:val="24"/>
          <w:rtl/>
        </w:rPr>
        <w:t>,</w:t>
      </w:r>
      <w:r w:rsidRPr="00ED7D33">
        <w:rPr>
          <w:rFonts w:cs="David" w:hint="cs"/>
          <w:sz w:val="24"/>
          <w:szCs w:val="24"/>
          <w:rtl/>
        </w:rPr>
        <w:t xml:space="preserve"> ממליצה המועצה להגנת הפרטיות לערוך את השינויים הבאים בהצעת חוק נתוני אשראי, התשע"ו </w:t>
      </w:r>
      <w:r>
        <w:rPr>
          <w:rFonts w:cs="David"/>
          <w:sz w:val="24"/>
          <w:szCs w:val="24"/>
          <w:rtl/>
        </w:rPr>
        <w:t>–</w:t>
      </w:r>
      <w:r w:rsidRPr="00ED7D33">
        <w:rPr>
          <w:rFonts w:cs="David" w:hint="cs"/>
          <w:sz w:val="24"/>
          <w:szCs w:val="24"/>
          <w:rtl/>
        </w:rPr>
        <w:t xml:space="preserve"> 2015</w:t>
      </w:r>
      <w:r>
        <w:rPr>
          <w:rFonts w:cs="David" w:hint="cs"/>
          <w:sz w:val="24"/>
          <w:szCs w:val="24"/>
          <w:rtl/>
        </w:rPr>
        <w:t xml:space="preserve"> ("חוק נתוני אשראי"):</w:t>
      </w:r>
    </w:p>
    <w:p w14:paraId="76445457" w14:textId="19B8262A"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ממונה</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חוק נתוני אשראי צריך לכלול הוראה בדבר מינוי ממונה פרטיות. תפקיד ממונה הפרטיות צריך להיות עצמאי. עליו לדווח במישרין לנגיד/ת בנק ישראל ולהגיש דוחות שנתיים לרשם מאגרי המידע ברמו"ט ולציבור </w:t>
      </w:r>
      <w:r>
        <w:rPr>
          <w:rFonts w:cs="David" w:hint="cs"/>
          <w:sz w:val="24"/>
          <w:szCs w:val="24"/>
          <w:rtl/>
        </w:rPr>
        <w:t xml:space="preserve">בכלל, </w:t>
      </w:r>
      <w:r w:rsidR="00ED7D33" w:rsidRPr="004D2745">
        <w:rPr>
          <w:rFonts w:cs="David" w:hint="cs"/>
          <w:sz w:val="24"/>
          <w:szCs w:val="24"/>
          <w:rtl/>
        </w:rPr>
        <w:t xml:space="preserve">באמצעות ועדת הכלכלה. </w:t>
      </w:r>
    </w:p>
    <w:p w14:paraId="67634076" w14:textId="598964AF"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שיתוף</w:t>
      </w:r>
      <w:r w:rsidRPr="0069562D">
        <w:rPr>
          <w:rFonts w:cs="David"/>
          <w:b/>
          <w:bCs/>
          <w:sz w:val="24"/>
          <w:szCs w:val="24"/>
          <w:rtl/>
        </w:rPr>
        <w:t xml:space="preserve"> </w:t>
      </w:r>
      <w:r w:rsidRPr="0069562D">
        <w:rPr>
          <w:rFonts w:cs="David" w:hint="cs"/>
          <w:b/>
          <w:bCs/>
          <w:sz w:val="24"/>
          <w:szCs w:val="24"/>
          <w:rtl/>
        </w:rPr>
        <w:t>הכנסת</w:t>
      </w:r>
      <w:r>
        <w:rPr>
          <w:rFonts w:cs="David" w:hint="cs"/>
          <w:sz w:val="24"/>
          <w:szCs w:val="24"/>
          <w:rtl/>
        </w:rPr>
        <w:t xml:space="preserve">. </w:t>
      </w:r>
      <w:r w:rsidR="00ED7D33" w:rsidRPr="004D2745">
        <w:rPr>
          <w:rFonts w:cs="David" w:hint="cs"/>
          <w:sz w:val="24"/>
          <w:szCs w:val="24"/>
          <w:rtl/>
        </w:rPr>
        <w:t xml:space="preserve">על ועדת הכלכלה לקחת חלק פעיל בבקרה על יישום החוק. על כלל ההוראות והתקנות מכוח החוק לקבל את אישורה </w:t>
      </w:r>
      <w:r>
        <w:rPr>
          <w:rFonts w:cs="David" w:hint="cs"/>
          <w:sz w:val="24"/>
          <w:szCs w:val="24"/>
          <w:rtl/>
        </w:rPr>
        <w:t xml:space="preserve">המוקדם </w:t>
      </w:r>
      <w:r w:rsidR="00ED7D33" w:rsidRPr="004D2745">
        <w:rPr>
          <w:rFonts w:cs="David" w:hint="cs"/>
          <w:sz w:val="24"/>
          <w:szCs w:val="24"/>
          <w:rtl/>
        </w:rPr>
        <w:t xml:space="preserve">של הוועדה, לאחר שקיימה דיון ציבורי בהן ולפי שיקול דעתה שמעה את עמדתם של אנשי מקצוע רלבנטיים בלתי תלויים. סעיף מתאים צריך להופיע בפרק ט"ו להצעת החוק (שונות), או </w:t>
      </w:r>
      <w:r>
        <w:rPr>
          <w:rFonts w:cs="David" w:hint="cs"/>
          <w:sz w:val="24"/>
          <w:szCs w:val="24"/>
          <w:rtl/>
        </w:rPr>
        <w:t>ב</w:t>
      </w:r>
      <w:r w:rsidR="00ED7D33" w:rsidRPr="004D2745">
        <w:rPr>
          <w:rFonts w:cs="David" w:hint="cs"/>
          <w:sz w:val="24"/>
          <w:szCs w:val="24"/>
          <w:rtl/>
        </w:rPr>
        <w:t>צד כל סעיף המציין סמכות לקביעת תקנות או הוראות, בראשם סעיפים: 28, 57, 60, 107 וכן סעיפים: 7(ג), 26(ג), 27(א), 29(ב), 30, 35(א), 44, 45(ב), 47(ב), 54(ב), 58(ג), 64, 90(ב)</w:t>
      </w:r>
      <w:r>
        <w:rPr>
          <w:rFonts w:cs="David" w:hint="cs"/>
          <w:sz w:val="24"/>
          <w:szCs w:val="24"/>
          <w:rtl/>
        </w:rPr>
        <w:t xml:space="preserve"> [המספור מתייחס להצעת החוק]</w:t>
      </w:r>
      <w:r w:rsidR="00FF5B1A">
        <w:rPr>
          <w:rFonts w:cs="David" w:hint="cs"/>
          <w:sz w:val="24"/>
          <w:szCs w:val="24"/>
          <w:rtl/>
        </w:rPr>
        <w:t>.</w:t>
      </w:r>
      <w:r w:rsidR="00ED7D33" w:rsidRPr="004D2745">
        <w:rPr>
          <w:rFonts w:cs="David" w:hint="cs"/>
          <w:sz w:val="24"/>
          <w:szCs w:val="24"/>
          <w:rtl/>
        </w:rPr>
        <w:t xml:space="preserve"> </w:t>
      </w:r>
    </w:p>
    <w:p w14:paraId="65ACEA46" w14:textId="0EE44B53"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דיווחים</w:t>
      </w:r>
      <w:r>
        <w:rPr>
          <w:rFonts w:cs="David" w:hint="cs"/>
          <w:b/>
          <w:bCs/>
          <w:sz w:val="24"/>
          <w:szCs w:val="24"/>
          <w:rtl/>
        </w:rPr>
        <w:t xml:space="preserve"> </w:t>
      </w:r>
      <w:r w:rsidRPr="0069562D">
        <w:rPr>
          <w:rFonts w:cs="David" w:hint="cs"/>
          <w:b/>
          <w:bCs/>
          <w:sz w:val="24"/>
          <w:szCs w:val="24"/>
          <w:rtl/>
        </w:rPr>
        <w:t>עתיים</w:t>
      </w:r>
      <w:r>
        <w:rPr>
          <w:rFonts w:cs="David" w:hint="cs"/>
          <w:sz w:val="24"/>
          <w:szCs w:val="24"/>
          <w:rtl/>
        </w:rPr>
        <w:t xml:space="preserve">. </w:t>
      </w:r>
      <w:r w:rsidR="00ED7D33" w:rsidRPr="004D2745">
        <w:rPr>
          <w:rFonts w:cs="David" w:hint="cs"/>
          <w:sz w:val="24"/>
          <w:szCs w:val="24"/>
          <w:rtl/>
        </w:rPr>
        <w:t xml:space="preserve">בדומה לחקיקה הקיימת בעניין נתוני תקשורת ונתונים ביומטריים, על הממונה כהגדרתו בהצעת החוק להגיש דיווח עתי מפורט לוועדת הכלכלה, עם העתק לרשם מאגרי המידע ברשות למשפט טכנולוגיה ומידע, על ביצוע החוק, יישומו, אירועי אבטחה ואירועים חריגים </w:t>
      </w:r>
      <w:r w:rsidR="00FF5B1A">
        <w:rPr>
          <w:rFonts w:cs="David" w:hint="cs"/>
          <w:sz w:val="24"/>
          <w:szCs w:val="24"/>
          <w:rtl/>
        </w:rPr>
        <w:t xml:space="preserve">ופרטים </w:t>
      </w:r>
      <w:r w:rsidR="00ED7D33" w:rsidRPr="004D2745">
        <w:rPr>
          <w:rFonts w:cs="David" w:hint="cs"/>
          <w:sz w:val="24"/>
          <w:szCs w:val="24"/>
          <w:rtl/>
        </w:rPr>
        <w:t>נוספים כפי שיפורט בהצעת החוק</w:t>
      </w:r>
      <w:r w:rsidR="00350F27">
        <w:rPr>
          <w:rFonts w:cs="David" w:hint="cs"/>
          <w:sz w:val="24"/>
          <w:szCs w:val="24"/>
          <w:rtl/>
        </w:rPr>
        <w:t>.</w:t>
      </w:r>
      <w:r w:rsidR="00ED7D33" w:rsidRPr="004D2745">
        <w:rPr>
          <w:rFonts w:cs="David" w:hint="cs"/>
          <w:sz w:val="24"/>
          <w:szCs w:val="24"/>
          <w:rtl/>
        </w:rPr>
        <w:t xml:space="preserve"> דוח זה </w:t>
      </w:r>
      <w:r w:rsidR="00A80A07">
        <w:rPr>
          <w:rFonts w:cs="David" w:hint="cs"/>
          <w:sz w:val="24"/>
          <w:szCs w:val="24"/>
          <w:rtl/>
        </w:rPr>
        <w:t>י</w:t>
      </w:r>
      <w:r w:rsidR="00ED7D33" w:rsidRPr="004D2745">
        <w:rPr>
          <w:rFonts w:cs="David" w:hint="cs"/>
          <w:sz w:val="24"/>
          <w:szCs w:val="24"/>
          <w:rtl/>
        </w:rPr>
        <w:t>תפרסם לעיון הציבור.</w:t>
      </w:r>
    </w:p>
    <w:p w14:paraId="35A45F7D" w14:textId="0C1AFD40"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בקרה</w:t>
      </w:r>
      <w:r w:rsidRPr="0069562D">
        <w:rPr>
          <w:rFonts w:cs="David"/>
          <w:b/>
          <w:bCs/>
          <w:sz w:val="24"/>
          <w:szCs w:val="24"/>
          <w:rtl/>
        </w:rPr>
        <w:t xml:space="preserve"> </w:t>
      </w:r>
      <w:r w:rsidRPr="0069562D">
        <w:rPr>
          <w:rFonts w:cs="David" w:hint="cs"/>
          <w:b/>
          <w:bCs/>
          <w:sz w:val="24"/>
          <w:szCs w:val="24"/>
          <w:rtl/>
        </w:rPr>
        <w:t>חיצונית</w:t>
      </w:r>
      <w:r>
        <w:rPr>
          <w:rFonts w:cs="David" w:hint="cs"/>
          <w:sz w:val="24"/>
          <w:szCs w:val="24"/>
          <w:rtl/>
        </w:rPr>
        <w:t xml:space="preserve">. </w:t>
      </w:r>
      <w:r w:rsidR="00ED7D33" w:rsidRPr="004D2745">
        <w:rPr>
          <w:rFonts w:cs="David" w:hint="cs"/>
          <w:sz w:val="24"/>
          <w:szCs w:val="24"/>
          <w:rtl/>
        </w:rPr>
        <w:t>יש למסד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(4) שיפור מוסר התשלומים.</w:t>
      </w:r>
      <w:r w:rsidR="00ED7D33">
        <w:rPr>
          <w:rFonts w:cs="David" w:hint="cs"/>
          <w:sz w:val="24"/>
          <w:szCs w:val="24"/>
          <w:rtl/>
        </w:rPr>
        <w:t xml:space="preserve"> </w:t>
      </w:r>
      <w:r w:rsidR="00ED7D33" w:rsidRPr="004D2745">
        <w:rPr>
          <w:rFonts w:cs="David" w:hint="cs"/>
          <w:sz w:val="24"/>
          <w:szCs w:val="24"/>
          <w:rtl/>
        </w:rPr>
        <w:t>בדיקת היעדים צריכה להיעשות בהתאם למתודולוגיה שתקבל את אישורה של ועדת הכלכלה. בהתאם, על הגוף הבוחן להגיש לוועדה אחת לשנה את ממצאיו</w:t>
      </w:r>
      <w:r w:rsidR="00350F27">
        <w:rPr>
          <w:rFonts w:cs="David" w:hint="cs"/>
          <w:sz w:val="24"/>
          <w:szCs w:val="24"/>
          <w:rtl/>
        </w:rPr>
        <w:t>.</w:t>
      </w:r>
      <w:r w:rsidR="00ED7D33" w:rsidRPr="004D2745">
        <w:rPr>
          <w:rFonts w:cs="David" w:hint="cs"/>
          <w:sz w:val="24"/>
          <w:szCs w:val="24"/>
          <w:rtl/>
        </w:rPr>
        <w:t xml:space="preserve"> דוח זה </w:t>
      </w:r>
      <w:r w:rsidR="00350F27">
        <w:rPr>
          <w:rFonts w:cs="David" w:hint="cs"/>
          <w:sz w:val="24"/>
          <w:szCs w:val="24"/>
          <w:rtl/>
        </w:rPr>
        <w:t>י</w:t>
      </w:r>
      <w:r w:rsidR="00ED7D33" w:rsidRPr="004D2745">
        <w:rPr>
          <w:rFonts w:cs="David" w:hint="cs"/>
          <w:sz w:val="24"/>
          <w:szCs w:val="24"/>
          <w:rtl/>
        </w:rPr>
        <w:t xml:space="preserve">תפרסם לעיון הציבור. </w:t>
      </w:r>
    </w:p>
    <w:p w14:paraId="7DF01300" w14:textId="42C7F6A2" w:rsidR="00ED7D33" w:rsidRPr="004D2745" w:rsidRDefault="004C27F7" w:rsidP="00350F2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ייעוץ</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הוועדה המייעצת לממונה </w:t>
      </w:r>
      <w:r w:rsidR="00350F27">
        <w:rPr>
          <w:rFonts w:cs="David" w:hint="cs"/>
          <w:sz w:val="24"/>
          <w:szCs w:val="24"/>
          <w:rtl/>
        </w:rPr>
        <w:t>ת</w:t>
      </w:r>
      <w:r w:rsidR="00ED7D33" w:rsidRPr="004D2745">
        <w:rPr>
          <w:rFonts w:cs="David" w:hint="cs"/>
          <w:sz w:val="24"/>
          <w:szCs w:val="24"/>
          <w:rtl/>
        </w:rPr>
        <w:t xml:space="preserve">כלול נציג שהוא מומחה להגנת הפרטיות. יש לתקן את הוראות סעיף 66 להצעת החוק בהתאם. </w:t>
      </w:r>
    </w:p>
    <w:p w14:paraId="00DEEBA2" w14:textId="3CB95D6E" w:rsidR="00ED7D33" w:rsidRPr="004D2745" w:rsidRDefault="004C27F7" w:rsidP="004D2745">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שימור</w:t>
      </w:r>
      <w:r w:rsidRPr="0069562D">
        <w:rPr>
          <w:rFonts w:cs="David"/>
          <w:b/>
          <w:bCs/>
          <w:sz w:val="24"/>
          <w:szCs w:val="24"/>
          <w:rtl/>
        </w:rPr>
        <w:t xml:space="preserve"> </w:t>
      </w:r>
      <w:r w:rsidRPr="0069562D">
        <w:rPr>
          <w:rFonts w:cs="David" w:hint="cs"/>
          <w:b/>
          <w:bCs/>
          <w:sz w:val="24"/>
          <w:szCs w:val="24"/>
          <w:rtl/>
        </w:rPr>
        <w:t>דינים</w:t>
      </w:r>
      <w:r>
        <w:rPr>
          <w:rFonts w:cs="David" w:hint="cs"/>
          <w:sz w:val="24"/>
          <w:szCs w:val="24"/>
          <w:rtl/>
        </w:rPr>
        <w:t xml:space="preserve">. </w:t>
      </w:r>
      <w:r w:rsidR="00ED7D33" w:rsidRPr="004D2745">
        <w:rPr>
          <w:rFonts w:cs="David" w:hint="cs"/>
          <w:sz w:val="24"/>
          <w:szCs w:val="24"/>
          <w:rtl/>
        </w:rPr>
        <w:t xml:space="preserve">על חוק נתוני אשראי לכלול הוראה לפיה חוק זה איננו פוגע בהוראות כל דין. יש להוסיף סעיף מתאים לפרק ט"ו להצעת החוק (שונות). </w:t>
      </w:r>
    </w:p>
    <w:p w14:paraId="16BB2575" w14:textId="02722E09" w:rsidR="001F4DB7" w:rsidRPr="004D2745" w:rsidRDefault="004C27F7" w:rsidP="004C27F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הפעלת</w:t>
      </w:r>
      <w:r w:rsidRPr="0069562D">
        <w:rPr>
          <w:rFonts w:cs="David"/>
          <w:b/>
          <w:bCs/>
          <w:sz w:val="24"/>
          <w:szCs w:val="24"/>
          <w:rtl/>
        </w:rPr>
        <w:t xml:space="preserve"> </w:t>
      </w:r>
      <w:r w:rsidRPr="0069562D">
        <w:rPr>
          <w:rFonts w:cs="David" w:hint="cs"/>
          <w:b/>
          <w:bCs/>
          <w:sz w:val="24"/>
          <w:szCs w:val="24"/>
          <w:rtl/>
        </w:rPr>
        <w:t>החוק</w:t>
      </w:r>
      <w:r>
        <w:rPr>
          <w:rFonts w:cs="David" w:hint="cs"/>
          <w:sz w:val="24"/>
          <w:szCs w:val="24"/>
          <w:rtl/>
        </w:rPr>
        <w:t xml:space="preserve">. </w:t>
      </w:r>
      <w:r w:rsidR="004D2745" w:rsidRPr="004D2745">
        <w:rPr>
          <w:rFonts w:cs="David" w:hint="cs"/>
          <w:sz w:val="24"/>
          <w:szCs w:val="24"/>
          <w:rtl/>
        </w:rPr>
        <w:t xml:space="preserve">סעיף 116 להצעת החוק (תקנות ראשונות) </w:t>
      </w:r>
      <w:r w:rsidR="00350F27">
        <w:rPr>
          <w:rFonts w:cs="David" w:hint="cs"/>
          <w:sz w:val="24"/>
          <w:szCs w:val="24"/>
          <w:rtl/>
        </w:rPr>
        <w:t>י</w:t>
      </w:r>
      <w:r w:rsidR="004D2745" w:rsidRPr="004D2745">
        <w:rPr>
          <w:rFonts w:cs="David" w:hint="cs"/>
          <w:sz w:val="24"/>
          <w:szCs w:val="24"/>
          <w:rtl/>
        </w:rPr>
        <w:t xml:space="preserve">כלול חובה להתקין </w:t>
      </w:r>
      <w:r w:rsidR="00A80A07" w:rsidRPr="00350F27">
        <w:rPr>
          <w:rFonts w:cs="David" w:hint="cs"/>
          <w:sz w:val="24"/>
          <w:szCs w:val="24"/>
          <w:u w:val="single"/>
          <w:rtl/>
        </w:rPr>
        <w:t>לפני</w:t>
      </w:r>
      <w:r w:rsidR="00A80A07">
        <w:rPr>
          <w:rFonts w:cs="David" w:hint="cs"/>
          <w:sz w:val="24"/>
          <w:szCs w:val="24"/>
          <w:rtl/>
        </w:rPr>
        <w:t xml:space="preserve"> "יום התחילה" </w:t>
      </w:r>
      <w:r w:rsidR="004D2745" w:rsidRPr="004D2745">
        <w:rPr>
          <w:rFonts w:cs="David" w:hint="cs"/>
          <w:sz w:val="24"/>
          <w:szCs w:val="24"/>
          <w:rtl/>
        </w:rPr>
        <w:t>את ההוראות למסירת נתוני אשראי מהמאגר לפי סעיף 28 להצעת החוק (הוראות לעניין מסירת נתוני אשראי מהמאגר). הוראות אלה חייבות לעבור את אישור ועדת הכלכלה.</w:t>
      </w:r>
    </w:p>
    <w:p w14:paraId="318E86D3" w14:textId="23F190BD" w:rsidR="004D2745" w:rsidRPr="004D2745" w:rsidRDefault="004C27F7" w:rsidP="00350F2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פיילוט</w:t>
      </w:r>
      <w:r>
        <w:rPr>
          <w:rFonts w:cs="David" w:hint="cs"/>
          <w:sz w:val="24"/>
          <w:szCs w:val="24"/>
          <w:rtl/>
        </w:rPr>
        <w:t xml:space="preserve">. </w:t>
      </w:r>
      <w:r w:rsidR="004D2745" w:rsidRPr="004D2745">
        <w:rPr>
          <w:rFonts w:cs="David" w:hint="cs"/>
          <w:sz w:val="24"/>
          <w:szCs w:val="24"/>
          <w:rtl/>
        </w:rPr>
        <w:t xml:space="preserve">יש להחיל תקופת מבחן לחוק. במהלך תקופת המבחן ימוסד מנגנון בקרה חיצוני שיבחן את השגת ארבעת יעדי החוק </w:t>
      </w:r>
      <w:r w:rsidR="00A80A07">
        <w:rPr>
          <w:rFonts w:cs="David" w:hint="cs"/>
          <w:sz w:val="24"/>
          <w:szCs w:val="24"/>
          <w:rtl/>
        </w:rPr>
        <w:t>(כמפורט לעיל בסעיף 4).</w:t>
      </w:r>
      <w:r w:rsidR="00A80A07" w:rsidRPr="004D2745">
        <w:rPr>
          <w:rFonts w:cs="David" w:hint="cs"/>
          <w:sz w:val="24"/>
          <w:szCs w:val="24"/>
          <w:rtl/>
        </w:rPr>
        <w:t xml:space="preserve"> </w:t>
      </w:r>
      <w:r w:rsidR="004D2745" w:rsidRPr="004D2745">
        <w:rPr>
          <w:rFonts w:cs="David" w:hint="cs"/>
          <w:sz w:val="24"/>
          <w:szCs w:val="24"/>
          <w:rtl/>
        </w:rPr>
        <w:t xml:space="preserve">לקראת תום התקופה תתכנס הכנסת כדי לדון אם להאריך את תוקפו של החוק ואם כן </w:t>
      </w:r>
      <w:r w:rsidR="004D2745" w:rsidRPr="004D2745">
        <w:rPr>
          <w:rFonts w:cs="David"/>
          <w:sz w:val="24"/>
          <w:szCs w:val="24"/>
          <w:rtl/>
        </w:rPr>
        <w:t>–</w:t>
      </w:r>
      <w:r w:rsidR="004D2745" w:rsidRPr="004D2745">
        <w:rPr>
          <w:rFonts w:cs="David" w:hint="cs"/>
          <w:sz w:val="24"/>
          <w:szCs w:val="24"/>
          <w:rtl/>
        </w:rPr>
        <w:t xml:space="preserve"> עם או ללא מגבלת זמן נוספת.</w:t>
      </w:r>
    </w:p>
    <w:p w14:paraId="36FFD294" w14:textId="49D0AAD0" w:rsidR="004D2745" w:rsidRPr="00ED7D33" w:rsidRDefault="004C27F7" w:rsidP="00350F27">
      <w:pPr>
        <w:pStyle w:val="ListParagraph"/>
        <w:numPr>
          <w:ilvl w:val="0"/>
          <w:numId w:val="2"/>
        </w:numPr>
        <w:spacing w:before="120" w:after="120" w:line="360" w:lineRule="auto"/>
        <w:jc w:val="both"/>
        <w:rPr>
          <w:rFonts w:cs="David"/>
          <w:b/>
          <w:bCs/>
          <w:sz w:val="28"/>
          <w:szCs w:val="28"/>
          <w:rtl/>
        </w:rPr>
      </w:pPr>
      <w:r>
        <w:rPr>
          <w:rFonts w:cs="David" w:hint="cs"/>
          <w:b/>
          <w:bCs/>
          <w:sz w:val="24"/>
          <w:szCs w:val="24"/>
          <w:rtl/>
        </w:rPr>
        <w:t>מידע מזוהה/לא-מזוהה</w:t>
      </w:r>
      <w:r>
        <w:rPr>
          <w:rFonts w:cs="David" w:hint="cs"/>
          <w:sz w:val="24"/>
          <w:szCs w:val="24"/>
          <w:rtl/>
        </w:rPr>
        <w:t xml:space="preserve">. </w:t>
      </w:r>
      <w:r w:rsidR="004D2745" w:rsidRPr="004D2745">
        <w:rPr>
          <w:rFonts w:cs="David" w:hint="cs"/>
          <w:sz w:val="24"/>
          <w:szCs w:val="24"/>
          <w:rtl/>
        </w:rPr>
        <w:t xml:space="preserve">סעיף 57(ג) להצעת החוק (אבטחת מידע) </w:t>
      </w:r>
      <w:r w:rsidR="00350F27">
        <w:rPr>
          <w:rFonts w:cs="David" w:hint="cs"/>
          <w:sz w:val="24"/>
          <w:szCs w:val="24"/>
          <w:rtl/>
        </w:rPr>
        <w:t>י</w:t>
      </w:r>
      <w:r w:rsidR="004D2745" w:rsidRPr="004D2745">
        <w:rPr>
          <w:rFonts w:cs="David" w:hint="cs"/>
          <w:sz w:val="24"/>
          <w:szCs w:val="24"/>
          <w:rtl/>
        </w:rPr>
        <w:t>כלול הוראה לפיה ההוראות שיקבע הנגיד יכללו הוראות להפיכת מידע מזהה למידע לא מזהה ולאבטחתו. כמו כן יש לכלול הוראה לפיה על הנגיד יהיה לקבוע את ההוראות בהתייעצות עם רשם מאגרי המידע ועל ההוראות לקבל את אישור וועדת הכלכלה.</w:t>
      </w:r>
    </w:p>
    <w:p w14:paraId="18702AD3" w14:textId="05658747" w:rsidR="00525B06"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lastRenderedPageBreak/>
        <w:t xml:space="preserve">א. </w:t>
      </w:r>
      <w:r w:rsidRPr="009F2E9B">
        <w:rPr>
          <w:rFonts w:cs="David"/>
          <w:b/>
          <w:bCs/>
          <w:sz w:val="28"/>
          <w:szCs w:val="28"/>
          <w:rtl/>
        </w:rPr>
        <w:tab/>
      </w:r>
      <w:r w:rsidR="00525B06" w:rsidRPr="009F2E9B">
        <w:rPr>
          <w:rFonts w:cs="David" w:hint="cs"/>
          <w:b/>
          <w:bCs/>
          <w:sz w:val="28"/>
          <w:szCs w:val="28"/>
          <w:rtl/>
        </w:rPr>
        <w:t>מבוא</w:t>
      </w:r>
    </w:p>
    <w:p w14:paraId="48569D29" w14:textId="07AB73D7" w:rsidR="00ED7D33" w:rsidRPr="00ED7D33" w:rsidRDefault="00ED7D33" w:rsidP="00ED7D33">
      <w:pPr>
        <w:pStyle w:val="ListParagraph"/>
        <w:numPr>
          <w:ilvl w:val="0"/>
          <w:numId w:val="2"/>
        </w:numPr>
        <w:spacing w:before="120" w:after="120" w:line="360" w:lineRule="auto"/>
        <w:jc w:val="both"/>
        <w:rPr>
          <w:rFonts w:cs="David"/>
          <w:sz w:val="24"/>
          <w:szCs w:val="24"/>
        </w:rPr>
      </w:pPr>
      <w:r w:rsidRPr="00ED7D33">
        <w:rPr>
          <w:rFonts w:cs="David" w:hint="cs"/>
          <w:sz w:val="24"/>
          <w:szCs w:val="24"/>
          <w:rtl/>
        </w:rPr>
        <w:t xml:space="preserve">המועצה להגנת הפרטיות פועלת מכוח חוק הגנת הפרטיות ולפי מינוי שר המשפטים. המועצה מייעצת לשר, למשרד המשפטים, ולציבור בכללותו בנושאי פרטיות. במשך תקופה ארוכה המועצה לא הייתה פעילה; בהרכבה הנוכחי </w:t>
      </w:r>
      <w:r w:rsidRPr="00ED7D33">
        <w:rPr>
          <w:rFonts w:cs="David"/>
          <w:sz w:val="24"/>
          <w:szCs w:val="24"/>
          <w:rtl/>
        </w:rPr>
        <w:t>–</w:t>
      </w:r>
      <w:r w:rsidRPr="00ED7D33">
        <w:rPr>
          <w:rFonts w:cs="David" w:hint="cs"/>
          <w:sz w:val="24"/>
          <w:szCs w:val="24"/>
          <w:rtl/>
        </w:rPr>
        <w:t xml:space="preserve"> מונתה במהלך שנת 2015, ורק לאחרונה מונתה לה יושבת ראש. דנה בהצעת החוק שבנדון, ומתכבדת להגיש את הערותיה.</w:t>
      </w:r>
    </w:p>
    <w:p w14:paraId="638A263C" w14:textId="77777777" w:rsidR="00525B06" w:rsidRPr="00525B06" w:rsidRDefault="00525B06"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ה</w:t>
      </w:r>
      <w:r w:rsidRPr="00525B06">
        <w:rPr>
          <w:rFonts w:cs="David" w:hint="cs"/>
          <w:sz w:val="24"/>
          <w:szCs w:val="24"/>
          <w:rtl/>
        </w:rPr>
        <w:t xml:space="preserve">זכות לפרטיות הינה זכות יסוד חוקתית במשפט הישראלי, מכוח סעיף 7 לחוק יסוד: כבוד האדם וחירותו ("חוק היסוד"). </w:t>
      </w:r>
      <w:r>
        <w:rPr>
          <w:rFonts w:cs="David" w:hint="cs"/>
          <w:sz w:val="24"/>
          <w:szCs w:val="24"/>
          <w:rtl/>
        </w:rPr>
        <w:t xml:space="preserve">נעיר כי במועצה יש עמדות שונות באשר לתכלית הצעת החוק ורציותו, אולם תחום מומחיותנו כגוף מייעץ הוא היבטי הפרטיות, ובכך נתמקד כאן. בהתאם, המועצה מניחה לצורך הדיון בהיבטי הפרטיות בלבד כי תכלית הצעת החוק ראויה. </w:t>
      </w:r>
      <w:r w:rsidRPr="00525B06">
        <w:rPr>
          <w:rFonts w:cs="David" w:hint="cs"/>
          <w:sz w:val="24"/>
          <w:szCs w:val="24"/>
          <w:rtl/>
        </w:rPr>
        <w:t xml:space="preserve">מכאן, </w:t>
      </w:r>
      <w:r>
        <w:rPr>
          <w:rFonts w:cs="David" w:hint="cs"/>
          <w:sz w:val="24"/>
          <w:szCs w:val="24"/>
          <w:rtl/>
        </w:rPr>
        <w:t xml:space="preserve">ההתמקדות היא באופן בו בנוי המנגנון המורכב המוצע בהצעת החוק, והדגש הוא </w:t>
      </w:r>
      <w:r w:rsidRPr="00525B06">
        <w:rPr>
          <w:rFonts w:cs="David" w:hint="cs"/>
          <w:sz w:val="24"/>
          <w:szCs w:val="24"/>
          <w:rtl/>
        </w:rPr>
        <w:t xml:space="preserve">שפגיעה בזכות </w:t>
      </w:r>
      <w:r>
        <w:rPr>
          <w:rFonts w:cs="David" w:hint="cs"/>
          <w:sz w:val="24"/>
          <w:szCs w:val="24"/>
          <w:rtl/>
        </w:rPr>
        <w:t xml:space="preserve">לפרטיות </w:t>
      </w:r>
      <w:r w:rsidRPr="00525B06">
        <w:rPr>
          <w:rFonts w:cs="David" w:hint="cs"/>
          <w:sz w:val="24"/>
          <w:szCs w:val="24"/>
          <w:rtl/>
        </w:rPr>
        <w:t>חייבת לעמוד בתנאיה של פיסקת ההגבלה שבסעיף 8 לחוק היסוד. המבחן הרלוונטי בהקשר זה הוא מבחן המידתיות</w:t>
      </w:r>
      <w:r>
        <w:rPr>
          <w:rFonts w:cs="David" w:hint="cs"/>
          <w:sz w:val="24"/>
          <w:szCs w:val="24"/>
          <w:rtl/>
        </w:rPr>
        <w:t xml:space="preserve"> על היבטיו השונים.</w:t>
      </w:r>
    </w:p>
    <w:p w14:paraId="45E9C495" w14:textId="5E577493" w:rsidR="00525B06" w:rsidRDefault="00525B06"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בעולם התגבשו כללים שונים בקשר להגנת מידע אישי (</w:t>
      </w:r>
      <w:r>
        <w:rPr>
          <w:rFonts w:cs="David"/>
          <w:sz w:val="24"/>
          <w:szCs w:val="24"/>
        </w:rPr>
        <w:t>data protection</w:t>
      </w:r>
      <w:r>
        <w:rPr>
          <w:rFonts w:cs="David" w:hint="cs"/>
          <w:sz w:val="24"/>
          <w:szCs w:val="24"/>
          <w:rtl/>
        </w:rPr>
        <w:t>), שמבקשים לפרוט את הזכות לפרטיות לעקרונות ישימים. עקרונות אלה מצויים במידת מה בפרק ב לחוק הגנת הפרטיות, ביחד עם הוראות מסוימות בפרק א שבו (בעיקר לענין "הסכמה מדעת"). בתמצית, עקרונות אלה כוללים הסכמה (מדעת, ומתוך רצון חופשי), אפשרות בחירה למושא המידע (</w:t>
      </w:r>
      <w:r>
        <w:rPr>
          <w:rFonts w:cs="David"/>
          <w:sz w:val="24"/>
          <w:szCs w:val="24"/>
        </w:rPr>
        <w:t>data subject</w:t>
      </w:r>
      <w:r>
        <w:rPr>
          <w:rFonts w:cs="David" w:hint="cs"/>
          <w:sz w:val="24"/>
          <w:szCs w:val="24"/>
          <w:rtl/>
        </w:rPr>
        <w:t xml:space="preserve">), מגבלות על איסוף המידע (לתכלית ראויה, איסור על איסופי מידע מסוימים), מגבלות על שימושים במידע (למשל, השימוש במידע צריך להיות צמוד למטרה שלשמה נאסף </w:t>
      </w:r>
      <w:r>
        <w:rPr>
          <w:rFonts w:cs="David"/>
          <w:sz w:val="24"/>
          <w:szCs w:val="24"/>
          <w:rtl/>
        </w:rPr>
        <w:t>–</w:t>
      </w:r>
      <w:r>
        <w:rPr>
          <w:rFonts w:cs="David" w:hint="cs"/>
          <w:sz w:val="24"/>
          <w:szCs w:val="24"/>
          <w:rtl/>
        </w:rPr>
        <w:t xml:space="preserve"> עקרון צמידות המטרה; השימוש במידע צריך להיות באופן מידתי, תוך הקפדה על איכות המידע </w:t>
      </w:r>
      <w:r>
        <w:rPr>
          <w:rFonts w:cs="David"/>
          <w:sz w:val="24"/>
          <w:szCs w:val="24"/>
          <w:rtl/>
        </w:rPr>
        <w:t>–</w:t>
      </w:r>
      <w:r>
        <w:rPr>
          <w:rFonts w:cs="David" w:hint="cs"/>
          <w:sz w:val="24"/>
          <w:szCs w:val="24"/>
          <w:rtl/>
        </w:rPr>
        <w:t xml:space="preserve"> כלומר שהוא עדכני ומדויק ככל האפשר), ובמקביל, זכויות קורלטיביות למושאי המידע, ובנוסף, זכות לעיין במידע על אודותיהם וזכות לתקן את המידע במידת הצורך. בצד אלה </w:t>
      </w:r>
      <w:r>
        <w:rPr>
          <w:rFonts w:cs="David"/>
          <w:sz w:val="24"/>
          <w:szCs w:val="24"/>
          <w:rtl/>
        </w:rPr>
        <w:t>–</w:t>
      </w:r>
      <w:r>
        <w:rPr>
          <w:rFonts w:cs="David" w:hint="cs"/>
          <w:sz w:val="24"/>
          <w:szCs w:val="24"/>
          <w:rtl/>
        </w:rPr>
        <w:t xml:space="preserve"> אכיפה, הן שלטונית (באמצעות רשם מאגרי המידע), והן פרטית (בדרך של תביעות אזרחיות), והן פלילית (בדרך של קביעת עבירות).</w:t>
      </w:r>
    </w:p>
    <w:p w14:paraId="34275A7A" w14:textId="552A75DC" w:rsidR="00525B06" w:rsidRPr="00FB67BE"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באיחוד האירופי, שמוביל את ההגנה על המידע האישי, נדונה בימים הצעה לחקיקת רגולציה כללית (שתחליף דירקטיבה משנת 1995), ובה יש מרכיבים נוספים ב"ארגז הכלים" המשפטי. בין הכלים האלה, ראוי למנות במיוחד חובה ל"הנדסת פרטיות</w:t>
      </w:r>
      <w:r w:rsidRPr="00FB67BE">
        <w:rPr>
          <w:rFonts w:cs="David" w:hint="cs"/>
          <w:sz w:val="24"/>
          <w:szCs w:val="24"/>
          <w:rtl/>
        </w:rPr>
        <w:t>" (</w:t>
      </w:r>
      <w:r w:rsidRPr="00FB67BE">
        <w:rPr>
          <w:rFonts w:cs="David"/>
          <w:sz w:val="24"/>
          <w:szCs w:val="24"/>
        </w:rPr>
        <w:t>Privacy by Design</w:t>
      </w:r>
      <w:r w:rsidRPr="00FB67BE">
        <w:rPr>
          <w:rFonts w:cs="David" w:hint="cs"/>
          <w:sz w:val="24"/>
          <w:szCs w:val="24"/>
          <w:rtl/>
        </w:rPr>
        <w:t>)</w:t>
      </w:r>
      <w:r w:rsidR="00FB67BE" w:rsidRPr="00FB67BE">
        <w:rPr>
          <w:rFonts w:cs="David" w:hint="cs"/>
          <w:sz w:val="24"/>
          <w:szCs w:val="24"/>
          <w:rtl/>
        </w:rPr>
        <w:t>,</w:t>
      </w:r>
      <w:r w:rsidR="00DA41C8" w:rsidRPr="00FB67BE">
        <w:rPr>
          <w:rFonts w:cs="David" w:hint="cs"/>
          <w:sz w:val="24"/>
          <w:szCs w:val="24"/>
          <w:rtl/>
        </w:rPr>
        <w:t xml:space="preserve"> </w:t>
      </w:r>
      <w:r w:rsidR="00987567" w:rsidRPr="00FB67BE">
        <w:rPr>
          <w:rFonts w:cs="David" w:hint="cs"/>
          <w:sz w:val="24"/>
          <w:szCs w:val="24"/>
          <w:rtl/>
        </w:rPr>
        <w:t>עליה נרחיב לה</w:t>
      </w:r>
      <w:r w:rsidR="00DA41C8" w:rsidRPr="00FB67BE">
        <w:rPr>
          <w:rFonts w:cs="David" w:hint="cs"/>
          <w:sz w:val="24"/>
          <w:szCs w:val="24"/>
          <w:rtl/>
        </w:rPr>
        <w:t>לן</w:t>
      </w:r>
      <w:r w:rsidRPr="00FB67BE">
        <w:rPr>
          <w:rFonts w:cs="David" w:hint="cs"/>
          <w:sz w:val="24"/>
          <w:szCs w:val="24"/>
          <w:rtl/>
        </w:rPr>
        <w:t>; חובה על הודעה פומבית במקרים של דליפת מידע (</w:t>
      </w:r>
      <w:r w:rsidRPr="00FB67BE">
        <w:rPr>
          <w:rFonts w:cs="David"/>
          <w:sz w:val="24"/>
          <w:szCs w:val="24"/>
        </w:rPr>
        <w:t>Data Breach Notification</w:t>
      </w:r>
      <w:r w:rsidRPr="00FB67BE">
        <w:rPr>
          <w:rFonts w:cs="David" w:hint="cs"/>
          <w:sz w:val="24"/>
          <w:szCs w:val="24"/>
          <w:rtl/>
        </w:rPr>
        <w:t>), בליווי צעדים ארגוניים, כמו הכנת תסקיר פרטיות (</w:t>
      </w:r>
      <w:r w:rsidRPr="00FB67BE">
        <w:rPr>
          <w:rFonts w:cs="David"/>
          <w:sz w:val="24"/>
          <w:szCs w:val="24"/>
        </w:rPr>
        <w:t>Privacy Impact Assessment</w:t>
      </w:r>
      <w:r w:rsidRPr="00FB67BE">
        <w:rPr>
          <w:rFonts w:cs="David" w:hint="cs"/>
          <w:sz w:val="24"/>
          <w:szCs w:val="24"/>
          <w:rtl/>
        </w:rPr>
        <w:t>)</w:t>
      </w:r>
      <w:r w:rsidR="00FB67BE" w:rsidRPr="00FB67BE">
        <w:rPr>
          <w:rFonts w:cs="David" w:hint="cs"/>
          <w:sz w:val="24"/>
          <w:szCs w:val="24"/>
          <w:rtl/>
        </w:rPr>
        <w:t xml:space="preserve"> וכן</w:t>
      </w:r>
      <w:r w:rsidR="006660CE">
        <w:rPr>
          <w:rFonts w:cs="David" w:hint="cs"/>
          <w:sz w:val="24"/>
          <w:szCs w:val="24"/>
          <w:rtl/>
        </w:rPr>
        <w:t xml:space="preserve"> </w:t>
      </w:r>
      <w:r w:rsidRPr="00FB67BE">
        <w:rPr>
          <w:rFonts w:cs="David" w:hint="cs"/>
          <w:sz w:val="24"/>
          <w:szCs w:val="24"/>
          <w:rtl/>
        </w:rPr>
        <w:t>מינוי ממונה פרטיות (</w:t>
      </w:r>
      <w:r w:rsidRPr="00FB67BE">
        <w:rPr>
          <w:rFonts w:cs="David"/>
          <w:sz w:val="24"/>
          <w:szCs w:val="24"/>
        </w:rPr>
        <w:t>Chief Privacy Officer</w:t>
      </w:r>
      <w:r w:rsidR="00987567" w:rsidRPr="00FB67BE">
        <w:rPr>
          <w:rFonts w:cs="David" w:hint="cs"/>
          <w:sz w:val="24"/>
          <w:szCs w:val="24"/>
          <w:rtl/>
        </w:rPr>
        <w:t xml:space="preserve"> כפי שהוא מכונה בארה"ב או </w:t>
      </w:r>
      <w:r w:rsidR="00987567" w:rsidRPr="00FB67BE">
        <w:rPr>
          <w:rFonts w:cs="David"/>
          <w:sz w:val="24"/>
          <w:szCs w:val="24"/>
        </w:rPr>
        <w:t>Data Protection Officer</w:t>
      </w:r>
      <w:r w:rsidR="00987567" w:rsidRPr="00FB67BE">
        <w:rPr>
          <w:rFonts w:cs="David" w:hint="cs"/>
          <w:sz w:val="24"/>
          <w:szCs w:val="24"/>
          <w:rtl/>
        </w:rPr>
        <w:t xml:space="preserve"> כפי שהוא מכונה באיחוד האירופי</w:t>
      </w:r>
      <w:r w:rsidRPr="00FB67BE">
        <w:rPr>
          <w:rFonts w:cs="David" w:hint="cs"/>
          <w:sz w:val="24"/>
          <w:szCs w:val="24"/>
          <w:rtl/>
        </w:rPr>
        <w:t>)</w:t>
      </w:r>
      <w:r w:rsidR="00987567" w:rsidRPr="00FB67BE">
        <w:rPr>
          <w:rFonts w:cs="David" w:hint="cs"/>
          <w:sz w:val="24"/>
          <w:szCs w:val="24"/>
          <w:rtl/>
        </w:rPr>
        <w:t xml:space="preserve">, </w:t>
      </w:r>
      <w:r w:rsidR="00FB67BE" w:rsidRPr="00FB67BE">
        <w:rPr>
          <w:rFonts w:cs="David" w:hint="cs"/>
          <w:sz w:val="24"/>
          <w:szCs w:val="24"/>
          <w:rtl/>
        </w:rPr>
        <w:t xml:space="preserve">מנגנון שגם אותו </w:t>
      </w:r>
      <w:r w:rsidR="00987567" w:rsidRPr="00FB67BE">
        <w:rPr>
          <w:rFonts w:cs="David" w:hint="cs"/>
          <w:sz w:val="24"/>
          <w:szCs w:val="24"/>
          <w:rtl/>
        </w:rPr>
        <w:t>אנו ממליצים</w:t>
      </w:r>
      <w:r w:rsidR="00FB67BE" w:rsidRPr="00FB67BE">
        <w:rPr>
          <w:rFonts w:cs="David" w:hint="cs"/>
          <w:sz w:val="24"/>
          <w:szCs w:val="24"/>
          <w:rtl/>
        </w:rPr>
        <w:t xml:space="preserve"> לכלול בהצעת חוק נתוני אשראי, כמפורט להלן</w:t>
      </w:r>
      <w:r w:rsidRPr="00FB67BE">
        <w:rPr>
          <w:rFonts w:cs="David" w:hint="cs"/>
          <w:sz w:val="24"/>
          <w:szCs w:val="24"/>
          <w:rtl/>
        </w:rPr>
        <w:t>.</w:t>
      </w:r>
    </w:p>
    <w:p w14:paraId="64C6C5B2" w14:textId="54D05C89" w:rsidR="00525B06"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נעיר ש</w:t>
      </w:r>
      <w:r w:rsidR="004C27F7">
        <w:rPr>
          <w:rFonts w:cs="David" w:hint="cs"/>
          <w:sz w:val="24"/>
          <w:szCs w:val="24"/>
          <w:rtl/>
        </w:rPr>
        <w:t xml:space="preserve">לבקשת ממשלת </w:t>
      </w:r>
      <w:r>
        <w:rPr>
          <w:rFonts w:cs="David" w:hint="cs"/>
          <w:sz w:val="24"/>
          <w:szCs w:val="24"/>
          <w:rtl/>
        </w:rPr>
        <w:t>ישראל</w:t>
      </w:r>
      <w:r w:rsidR="004C27F7">
        <w:rPr>
          <w:rFonts w:cs="David" w:hint="cs"/>
          <w:sz w:val="24"/>
          <w:szCs w:val="24"/>
          <w:rtl/>
        </w:rPr>
        <w:t>, ולאחר תהליך בדיקה,</w:t>
      </w:r>
      <w:r>
        <w:rPr>
          <w:rFonts w:cs="David" w:hint="cs"/>
          <w:sz w:val="24"/>
          <w:szCs w:val="24"/>
          <w:rtl/>
        </w:rPr>
        <w:t xml:space="preserve"> הוכרה </w:t>
      </w:r>
      <w:r w:rsidR="004C27F7">
        <w:rPr>
          <w:rFonts w:cs="David" w:hint="cs"/>
          <w:sz w:val="24"/>
          <w:szCs w:val="24"/>
          <w:rtl/>
        </w:rPr>
        <w:t xml:space="preserve">ישראל </w:t>
      </w:r>
      <w:r>
        <w:rPr>
          <w:rFonts w:cs="David" w:hint="cs"/>
          <w:sz w:val="24"/>
          <w:szCs w:val="24"/>
          <w:rtl/>
        </w:rPr>
        <w:t xml:space="preserve">על ידי האיחוד האירופי כבעלת "הגנה מספקת" </w:t>
      </w:r>
      <w:r w:rsidR="004C27F7">
        <w:rPr>
          <w:rFonts w:cs="David" w:hint="cs"/>
          <w:sz w:val="24"/>
          <w:szCs w:val="24"/>
          <w:rtl/>
        </w:rPr>
        <w:t>(</w:t>
      </w:r>
      <w:r w:rsidR="004C27F7">
        <w:rPr>
          <w:rFonts w:cs="David"/>
          <w:sz w:val="24"/>
          <w:szCs w:val="24"/>
        </w:rPr>
        <w:t>adequate</w:t>
      </w:r>
      <w:r w:rsidR="004C27F7">
        <w:rPr>
          <w:rFonts w:cs="David" w:hint="cs"/>
          <w:sz w:val="24"/>
          <w:szCs w:val="24"/>
          <w:rtl/>
        </w:rPr>
        <w:t xml:space="preserve">) </w:t>
      </w:r>
      <w:r>
        <w:rPr>
          <w:rFonts w:cs="David" w:hint="cs"/>
          <w:sz w:val="24"/>
          <w:szCs w:val="24"/>
          <w:rtl/>
        </w:rPr>
        <w:t xml:space="preserve">של הפרטיות, הכרה שמאפשרת העברת מידע מהאיחוד לישראל ביתר קלות, אלא שהכרה זו אינה חסינה לעולם: ההכרה נשענה בשעתה בין היתר על הבטחת ממשלת ישראל לפעול לחקיקת המלצות דוח ועדת שופמן, שהוגשו בינואר 2007, </w:t>
      </w:r>
      <w:r>
        <w:rPr>
          <w:rFonts w:cs="David" w:hint="cs"/>
          <w:sz w:val="24"/>
          <w:szCs w:val="24"/>
          <w:rtl/>
        </w:rPr>
        <w:lastRenderedPageBreak/>
        <w:t xml:space="preserve">וטרם נחקקו; ההכרה כעת תלויה בסימן שאלה, נוכח פסק דין של בית הדין האירופי בקשר ל </w:t>
      </w:r>
      <w:r>
        <w:rPr>
          <w:rFonts w:cs="David"/>
          <w:sz w:val="24"/>
          <w:szCs w:val="24"/>
        </w:rPr>
        <w:t>safe harbor</w:t>
      </w:r>
      <w:r>
        <w:rPr>
          <w:rFonts w:cs="David" w:hint="cs"/>
          <w:sz w:val="24"/>
          <w:szCs w:val="24"/>
          <w:rtl/>
        </w:rPr>
        <w:t xml:space="preserve">, שעוסק בהעברת מידע מהאיחוד האירופי לארה"ב. </w:t>
      </w:r>
    </w:p>
    <w:p w14:paraId="389B3387" w14:textId="587AC91D" w:rsidR="00525B06" w:rsidRPr="006660CE" w:rsidRDefault="00525B06" w:rsidP="006660CE">
      <w:pPr>
        <w:pStyle w:val="ListParagraph"/>
        <w:numPr>
          <w:ilvl w:val="0"/>
          <w:numId w:val="2"/>
        </w:numPr>
        <w:spacing w:before="120" w:after="120" w:line="360" w:lineRule="auto"/>
        <w:contextualSpacing w:val="0"/>
        <w:jc w:val="both"/>
        <w:rPr>
          <w:rFonts w:cs="David"/>
          <w:sz w:val="24"/>
          <w:szCs w:val="24"/>
        </w:rPr>
      </w:pPr>
      <w:r w:rsidRPr="006660CE">
        <w:rPr>
          <w:rFonts w:cs="David" w:hint="cs"/>
          <w:sz w:val="24"/>
          <w:szCs w:val="24"/>
          <w:rtl/>
        </w:rPr>
        <w:t>נוכח זה, אנו סבורים שיש לבחון את הצעת החוק לאור סל הכלים הקיים, המתחייב מחוק הגנת הפרטיות, אבל תוך מבט ואימוץ כללים שיח</w:t>
      </w:r>
      <w:r w:rsidR="004C27F7">
        <w:rPr>
          <w:rFonts w:cs="David" w:hint="cs"/>
          <w:sz w:val="24"/>
          <w:szCs w:val="24"/>
          <w:rtl/>
        </w:rPr>
        <w:t>ו</w:t>
      </w:r>
      <w:r w:rsidRPr="006660CE">
        <w:rPr>
          <w:rFonts w:cs="David" w:hint="cs"/>
          <w:sz w:val="24"/>
          <w:szCs w:val="24"/>
          <w:rtl/>
        </w:rPr>
        <w:t xml:space="preserve">קקו בקרוב באיחוד האירופי. </w:t>
      </w:r>
    </w:p>
    <w:p w14:paraId="7111F144" w14:textId="63FE358F" w:rsidR="00B67B22" w:rsidRPr="009F2E9B" w:rsidRDefault="000E540D" w:rsidP="009F2E9B">
      <w:pPr>
        <w:spacing w:before="360" w:after="120" w:line="360" w:lineRule="auto"/>
        <w:ind w:left="567" w:hanging="567"/>
        <w:jc w:val="both"/>
        <w:rPr>
          <w:rFonts w:cs="David"/>
          <w:b/>
          <w:bCs/>
          <w:sz w:val="28"/>
          <w:szCs w:val="28"/>
          <w:rtl/>
        </w:rPr>
      </w:pPr>
      <w:r w:rsidRPr="009F2E9B">
        <w:rPr>
          <w:rFonts w:cs="David" w:hint="cs"/>
          <w:b/>
          <w:bCs/>
          <w:sz w:val="28"/>
          <w:szCs w:val="28"/>
          <w:rtl/>
        </w:rPr>
        <w:t>ב.</w:t>
      </w:r>
      <w:r w:rsidRPr="009F2E9B">
        <w:rPr>
          <w:rFonts w:cs="David" w:hint="cs"/>
          <w:b/>
          <w:bCs/>
          <w:sz w:val="28"/>
          <w:szCs w:val="28"/>
          <w:rtl/>
        </w:rPr>
        <w:tab/>
      </w:r>
      <w:r w:rsidR="00FB67BE" w:rsidRPr="009F2E9B">
        <w:rPr>
          <w:rFonts w:cs="David" w:hint="cs"/>
          <w:b/>
          <w:bCs/>
          <w:sz w:val="28"/>
          <w:szCs w:val="28"/>
          <w:rtl/>
        </w:rPr>
        <w:t xml:space="preserve">תכלית החוק </w:t>
      </w:r>
      <w:r w:rsidRPr="009F2E9B">
        <w:rPr>
          <w:rFonts w:cs="David" w:hint="cs"/>
          <w:b/>
          <w:bCs/>
          <w:sz w:val="28"/>
          <w:szCs w:val="28"/>
          <w:rtl/>
        </w:rPr>
        <w:t>ואמות המידה החוקתיות שהחוק צריך לעמוד בהן</w:t>
      </w:r>
    </w:p>
    <w:p w14:paraId="5861A4F4" w14:textId="77777777"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בהתאם למפורט בדברי ההסבר להצעת החוק, תכלית החוק היא </w:t>
      </w:r>
      <w:r w:rsidR="001E7946" w:rsidRPr="003B6DA2">
        <w:rPr>
          <w:rFonts w:cs="David" w:hint="cs"/>
          <w:sz w:val="24"/>
          <w:szCs w:val="24"/>
          <w:rtl/>
        </w:rPr>
        <w:t xml:space="preserve">לשפר את תנאי האשראי בשוק וביתר פירוט - </w:t>
      </w:r>
      <w:r w:rsidRPr="003B6DA2">
        <w:rPr>
          <w:rFonts w:cs="David" w:hint="cs"/>
          <w:sz w:val="24"/>
          <w:szCs w:val="24"/>
          <w:rtl/>
        </w:rPr>
        <w:t xml:space="preserve">להגדיל את היצע האשראי במשק, לצמצם את מינוף היתר של משקי הבית, להקטין את שיעורי חדלות הפירעון במשק ולשפר את מוסר התשלומים של יחידים במשק. </w:t>
      </w:r>
    </w:p>
    <w:p w14:paraId="35020A2B" w14:textId="369EF20A" w:rsidR="001474EE" w:rsidRPr="003B6DA2" w:rsidRDefault="001E7946" w:rsidP="004C27F7">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הצעת החוק מושתתת, כך לפי דברי ההסבר, על מחקרים המצביעים על מתאם בין הוספת מידע חיובי למערכת נתוני אשראי לבין גידול בהצע האשראי ליחידים ולצמצום חדלות הפירעון שלהם וכן ששיתוף בנתוני אשראי מגדיל משמעותית את היצע האשראי ואת יעילות מתן האשראי. </w:t>
      </w:r>
      <w:r w:rsidR="004C27F7">
        <w:rPr>
          <w:rFonts w:cs="David" w:hint="cs"/>
          <w:sz w:val="24"/>
          <w:szCs w:val="24"/>
          <w:rtl/>
        </w:rPr>
        <w:t>ב</w:t>
      </w:r>
      <w:r w:rsidRPr="003B6DA2">
        <w:rPr>
          <w:rFonts w:cs="David" w:hint="cs"/>
          <w:sz w:val="24"/>
          <w:szCs w:val="24"/>
          <w:rtl/>
        </w:rPr>
        <w:t>צד המחקרים האמפיריים, ספרות כלכלית תיאורטית התומכת בממצאים אלה.</w:t>
      </w:r>
      <w:r w:rsidR="00DE320A">
        <w:rPr>
          <w:rFonts w:cs="David" w:hint="cs"/>
          <w:sz w:val="24"/>
          <w:szCs w:val="24"/>
          <w:rtl/>
        </w:rPr>
        <w:t xml:space="preserve"> </w:t>
      </w:r>
    </w:p>
    <w:p w14:paraId="2A4CF22F" w14:textId="77777777" w:rsidR="001E7946" w:rsidRPr="003B6DA2" w:rsidRDefault="001E7946"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המועצה להגנת הפרטיות איננה חולקת על כך ששיפור תנאי האשראי ליחידים בשוק הוא בגדר תכלית ראויה. </w:t>
      </w:r>
    </w:p>
    <w:p w14:paraId="063771C7" w14:textId="6F7995E2" w:rsidR="000E540D" w:rsidRDefault="004D1F4A" w:rsidP="009F2E9B">
      <w:pPr>
        <w:pStyle w:val="ListParagraph"/>
        <w:numPr>
          <w:ilvl w:val="0"/>
          <w:numId w:val="2"/>
        </w:numPr>
        <w:spacing w:before="120" w:after="120" w:line="360" w:lineRule="auto"/>
        <w:contextualSpacing w:val="0"/>
        <w:jc w:val="both"/>
        <w:rPr>
          <w:rFonts w:cs="David"/>
          <w:sz w:val="24"/>
          <w:szCs w:val="24"/>
        </w:rPr>
      </w:pPr>
      <w:r w:rsidRPr="003B6DA2">
        <w:rPr>
          <w:rFonts w:cs="David" w:hint="cs"/>
          <w:sz w:val="24"/>
          <w:szCs w:val="24"/>
          <w:rtl/>
        </w:rPr>
        <w:t xml:space="preserve">אין חולק </w:t>
      </w:r>
      <w:r w:rsidR="001E7946" w:rsidRPr="003B6DA2">
        <w:rPr>
          <w:rFonts w:cs="David" w:hint="cs"/>
          <w:sz w:val="24"/>
          <w:szCs w:val="24"/>
          <w:rtl/>
        </w:rPr>
        <w:t xml:space="preserve">גם </w:t>
      </w:r>
      <w:r w:rsidRPr="003B6DA2">
        <w:rPr>
          <w:rFonts w:cs="David" w:hint="cs"/>
          <w:sz w:val="24"/>
          <w:szCs w:val="24"/>
          <w:rtl/>
        </w:rPr>
        <w:t xml:space="preserve">כי </w:t>
      </w:r>
      <w:r w:rsidR="00525B06">
        <w:rPr>
          <w:rFonts w:cs="David" w:hint="cs"/>
          <w:sz w:val="24"/>
          <w:szCs w:val="24"/>
          <w:rtl/>
        </w:rPr>
        <w:t>השגת תכלית זו</w:t>
      </w:r>
      <w:r w:rsidRPr="003B6DA2">
        <w:rPr>
          <w:rFonts w:cs="David" w:hint="cs"/>
          <w:sz w:val="24"/>
          <w:szCs w:val="24"/>
          <w:rtl/>
        </w:rPr>
        <w:t xml:space="preserve"> מחייב</w:t>
      </w:r>
      <w:r w:rsidR="00525B06">
        <w:rPr>
          <w:rFonts w:cs="David" w:hint="cs"/>
          <w:sz w:val="24"/>
          <w:szCs w:val="24"/>
          <w:rtl/>
        </w:rPr>
        <w:t>ת</w:t>
      </w:r>
      <w:r w:rsidRPr="003B6DA2">
        <w:rPr>
          <w:rFonts w:cs="David" w:hint="cs"/>
          <w:sz w:val="24"/>
          <w:szCs w:val="24"/>
          <w:rtl/>
        </w:rPr>
        <w:t xml:space="preserve"> פגיעה </w:t>
      </w:r>
      <w:r w:rsidR="00525B06">
        <w:rPr>
          <w:rFonts w:cs="David" w:hint="cs"/>
          <w:sz w:val="24"/>
          <w:szCs w:val="24"/>
          <w:rtl/>
        </w:rPr>
        <w:t xml:space="preserve">מסוימת </w:t>
      </w:r>
      <w:r w:rsidRPr="003B6DA2">
        <w:rPr>
          <w:rFonts w:cs="David" w:hint="cs"/>
          <w:sz w:val="24"/>
          <w:szCs w:val="24"/>
          <w:rtl/>
        </w:rPr>
        <w:t xml:space="preserve">בפרטיות, בדרך של חשיפת פרטים פיננסיים, לעתים רגישים, של אדם, ו"הדבקת" תג מספרי על אדם, המייצג את מיקומו ביחס לכלל האוכלוסיה והנובע מההיסטוריה המתועדת של החזר </w:t>
      </w:r>
      <w:r w:rsidR="00F139A1">
        <w:rPr>
          <w:rFonts w:cs="David" w:hint="cs"/>
          <w:sz w:val="24"/>
          <w:szCs w:val="24"/>
          <w:rtl/>
        </w:rPr>
        <w:t>ה</w:t>
      </w:r>
      <w:r w:rsidRPr="003B6DA2">
        <w:rPr>
          <w:rFonts w:cs="David" w:hint="cs"/>
          <w:sz w:val="24"/>
          <w:szCs w:val="24"/>
          <w:rtl/>
        </w:rPr>
        <w:t>תשלומים</w:t>
      </w:r>
      <w:r w:rsidR="00F139A1">
        <w:rPr>
          <w:rFonts w:cs="David" w:hint="cs"/>
          <w:sz w:val="24"/>
          <w:szCs w:val="24"/>
          <w:rtl/>
        </w:rPr>
        <w:t xml:space="preserve"> על ידו</w:t>
      </w:r>
      <w:r w:rsidRPr="003B6DA2">
        <w:rPr>
          <w:rFonts w:cs="David" w:hint="cs"/>
          <w:sz w:val="24"/>
          <w:szCs w:val="24"/>
          <w:rtl/>
        </w:rPr>
        <w:t xml:space="preserve">. </w:t>
      </w:r>
    </w:p>
    <w:p w14:paraId="64F3B164" w14:textId="3852BE6B" w:rsidR="004D1F4A"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פגיעה זו, איפוא, שוללת מהאדם את יכולתו של האדם לשלוט בגישה למידע </w:t>
      </w:r>
      <w:r w:rsidR="00F139A1">
        <w:rPr>
          <w:rFonts w:cs="David" w:hint="cs"/>
          <w:sz w:val="24"/>
          <w:szCs w:val="24"/>
          <w:rtl/>
        </w:rPr>
        <w:t xml:space="preserve">פיננסי </w:t>
      </w:r>
      <w:r w:rsidRPr="003B6DA2">
        <w:rPr>
          <w:rFonts w:cs="David" w:hint="cs"/>
          <w:sz w:val="24"/>
          <w:szCs w:val="24"/>
          <w:rtl/>
        </w:rPr>
        <w:t>אודותיו, פוגמת באוטונומיה שלו כאינדיבידואל בחברה ואף עלולה לגרום לתיוג מפלה ופוגעני של</w:t>
      </w:r>
      <w:r w:rsidR="000E540D">
        <w:rPr>
          <w:rFonts w:cs="David" w:hint="cs"/>
          <w:sz w:val="24"/>
          <w:szCs w:val="24"/>
          <w:rtl/>
        </w:rPr>
        <w:t>ו</w:t>
      </w:r>
      <w:r w:rsidRPr="003B6DA2">
        <w:rPr>
          <w:rFonts w:cs="David" w:hint="cs"/>
          <w:sz w:val="24"/>
          <w:szCs w:val="24"/>
          <w:rtl/>
        </w:rPr>
        <w:t>, על סמך דירוג האשראי של</w:t>
      </w:r>
      <w:r w:rsidR="000E540D">
        <w:rPr>
          <w:rFonts w:cs="David" w:hint="cs"/>
          <w:sz w:val="24"/>
          <w:szCs w:val="24"/>
          <w:rtl/>
        </w:rPr>
        <w:t>ו</w:t>
      </w:r>
      <w:r w:rsidRPr="003B6DA2">
        <w:rPr>
          <w:rFonts w:cs="David" w:hint="cs"/>
          <w:sz w:val="24"/>
          <w:szCs w:val="24"/>
          <w:rtl/>
        </w:rPr>
        <w:t xml:space="preserve">. </w:t>
      </w:r>
      <w:r w:rsidR="004369D5">
        <w:rPr>
          <w:rFonts w:cs="David" w:hint="cs"/>
          <w:sz w:val="24"/>
          <w:szCs w:val="24"/>
          <w:rtl/>
        </w:rPr>
        <w:t>משוםכך, הצעת החוק פוגעת בפרטיות, ועליה לעמוד במבחנים החוקתיים הקבועים בחוק היסוד, כפי שפורשו בפסיקת בית המשפט העליון.</w:t>
      </w:r>
    </w:p>
    <w:p w14:paraId="73E92BA2" w14:textId="77777777" w:rsidR="00B67B22"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מובן גם שמערכת דירוג אשראי איננה חסינה מטעויות ותקלות ולפיכך היא צפויה לפגוע הן באלה שדירוג האשראי שלהם איננו </w:t>
      </w:r>
      <w:r w:rsidR="00F139A1">
        <w:rPr>
          <w:rFonts w:cs="David" w:hint="cs"/>
          <w:sz w:val="24"/>
          <w:szCs w:val="24"/>
          <w:rtl/>
        </w:rPr>
        <w:t xml:space="preserve">נכון </w:t>
      </w:r>
      <w:r w:rsidRPr="003B6DA2">
        <w:rPr>
          <w:rFonts w:cs="David" w:hint="cs"/>
          <w:sz w:val="24"/>
          <w:szCs w:val="24"/>
          <w:rtl/>
        </w:rPr>
        <w:t>והן במסתמכים על הדירוג</w:t>
      </w:r>
      <w:r w:rsidR="00F139A1">
        <w:rPr>
          <w:rFonts w:cs="David" w:hint="cs"/>
          <w:sz w:val="24"/>
          <w:szCs w:val="24"/>
          <w:rtl/>
        </w:rPr>
        <w:t xml:space="preserve"> הבלתי נכון</w:t>
      </w:r>
      <w:r w:rsidRPr="003B6DA2">
        <w:rPr>
          <w:rFonts w:cs="David" w:hint="cs"/>
          <w:sz w:val="24"/>
          <w:szCs w:val="24"/>
          <w:rtl/>
        </w:rPr>
        <w:t xml:space="preserve">. </w:t>
      </w:r>
    </w:p>
    <w:p w14:paraId="533BCBAE" w14:textId="0DEF21D1"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אין צורך להכביר במלים בדבר מעמדה החוקתי של הזכות לפרטיות ועל כך שבהתאם ל</w:t>
      </w:r>
      <w:r w:rsidR="00B67B22" w:rsidRPr="003B6DA2">
        <w:rPr>
          <w:rFonts w:cs="David" w:hint="cs"/>
          <w:sz w:val="24"/>
          <w:szCs w:val="24"/>
          <w:rtl/>
        </w:rPr>
        <w:t>סעיף 7 ל</w:t>
      </w:r>
      <w:r w:rsidRPr="003B6DA2">
        <w:rPr>
          <w:rFonts w:cs="David" w:hint="cs"/>
          <w:sz w:val="24"/>
          <w:szCs w:val="24"/>
          <w:rtl/>
        </w:rPr>
        <w:t xml:space="preserve">חוק יסוד: כבוד האדם וחירותו, פגיעה בזכות </w:t>
      </w:r>
      <w:r w:rsidR="001E7946" w:rsidRPr="003B6DA2">
        <w:rPr>
          <w:rFonts w:cs="David" w:hint="cs"/>
          <w:sz w:val="24"/>
          <w:szCs w:val="24"/>
          <w:rtl/>
        </w:rPr>
        <w:t xml:space="preserve">לפרטיות </w:t>
      </w:r>
      <w:r w:rsidR="004369D5">
        <w:rPr>
          <w:rFonts w:cs="David" w:hint="cs"/>
          <w:sz w:val="24"/>
          <w:szCs w:val="24"/>
          <w:rtl/>
        </w:rPr>
        <w:t xml:space="preserve">מותרת רק אם היא נעשית </w:t>
      </w:r>
      <w:r w:rsidRPr="003B6DA2">
        <w:rPr>
          <w:rFonts w:cs="David" w:hint="cs"/>
          <w:sz w:val="24"/>
          <w:szCs w:val="24"/>
          <w:rtl/>
        </w:rPr>
        <w:t>ב</w:t>
      </w:r>
      <w:r w:rsidR="004369D5">
        <w:rPr>
          <w:rFonts w:cs="David" w:hint="cs"/>
          <w:sz w:val="24"/>
          <w:szCs w:val="24"/>
          <w:rtl/>
        </w:rPr>
        <w:t xml:space="preserve">דרך של </w:t>
      </w:r>
      <w:r w:rsidRPr="003B6DA2">
        <w:rPr>
          <w:rFonts w:cs="David" w:hint="cs"/>
          <w:sz w:val="24"/>
          <w:szCs w:val="24"/>
          <w:rtl/>
        </w:rPr>
        <w:t>חוק, לתכלית ראויה</w:t>
      </w:r>
      <w:r w:rsidR="004369D5">
        <w:rPr>
          <w:rFonts w:cs="David" w:hint="cs"/>
          <w:sz w:val="24"/>
          <w:szCs w:val="24"/>
          <w:rtl/>
        </w:rPr>
        <w:t>,</w:t>
      </w:r>
      <w:r w:rsidRPr="003B6DA2">
        <w:rPr>
          <w:rFonts w:cs="David" w:hint="cs"/>
          <w:sz w:val="24"/>
          <w:szCs w:val="24"/>
          <w:rtl/>
        </w:rPr>
        <w:t xml:space="preserve"> וב</w:t>
      </w:r>
      <w:r w:rsidR="004369D5">
        <w:rPr>
          <w:rFonts w:cs="David" w:hint="cs"/>
          <w:sz w:val="24"/>
          <w:szCs w:val="24"/>
          <w:rtl/>
        </w:rPr>
        <w:t>אופן מידתי</w:t>
      </w:r>
      <w:r w:rsidRPr="003B6DA2">
        <w:rPr>
          <w:rFonts w:cs="David" w:hint="cs"/>
          <w:sz w:val="24"/>
          <w:szCs w:val="24"/>
          <w:rtl/>
        </w:rPr>
        <w:t xml:space="preserve">. </w:t>
      </w:r>
    </w:p>
    <w:p w14:paraId="46DCC3A0" w14:textId="177B2107" w:rsidR="00650710" w:rsidRPr="00650710" w:rsidRDefault="000D500A" w:rsidP="00650710">
      <w:pPr>
        <w:pStyle w:val="ListParagraph"/>
        <w:numPr>
          <w:ilvl w:val="0"/>
          <w:numId w:val="2"/>
        </w:numPr>
        <w:spacing w:before="120" w:after="120" w:line="360" w:lineRule="auto"/>
        <w:contextualSpacing w:val="0"/>
        <w:jc w:val="both"/>
        <w:rPr>
          <w:rFonts w:cs="David"/>
          <w:sz w:val="24"/>
          <w:szCs w:val="24"/>
          <w:rtl/>
        </w:rPr>
      </w:pPr>
      <w:r w:rsidRPr="00650710">
        <w:rPr>
          <w:rFonts w:cs="David" w:hint="cs"/>
          <w:sz w:val="24"/>
          <w:szCs w:val="24"/>
          <w:rtl/>
        </w:rPr>
        <w:t xml:space="preserve">לפיכך יש ליצוק לתוך החוק מנגנונים שיבחנו אם </w:t>
      </w:r>
      <w:r w:rsidR="00B67B22" w:rsidRPr="00650710">
        <w:rPr>
          <w:rFonts w:cs="David" w:hint="cs"/>
          <w:sz w:val="24"/>
          <w:szCs w:val="24"/>
          <w:rtl/>
        </w:rPr>
        <w:t xml:space="preserve">החוק מיושם כיאות, אם </w:t>
      </w:r>
      <w:r w:rsidRPr="00650710">
        <w:rPr>
          <w:rFonts w:cs="David" w:hint="cs"/>
          <w:sz w:val="24"/>
          <w:szCs w:val="24"/>
          <w:rtl/>
        </w:rPr>
        <w:t>התכלית לשמה חוקק החוק אכן מושגת</w:t>
      </w:r>
      <w:r w:rsidR="00F139A1" w:rsidRPr="00650710">
        <w:rPr>
          <w:rFonts w:cs="David" w:hint="cs"/>
          <w:sz w:val="24"/>
          <w:szCs w:val="24"/>
          <w:rtl/>
        </w:rPr>
        <w:t>,</w:t>
      </w:r>
      <w:r w:rsidRPr="00650710">
        <w:rPr>
          <w:rFonts w:cs="David" w:hint="cs"/>
          <w:sz w:val="24"/>
          <w:szCs w:val="24"/>
          <w:rtl/>
        </w:rPr>
        <w:t xml:space="preserve"> אם הפגיעה בפרטיות אכן מוצדקת</w:t>
      </w:r>
      <w:r w:rsidR="00F139A1" w:rsidRPr="00650710">
        <w:rPr>
          <w:rFonts w:cs="David" w:hint="cs"/>
          <w:sz w:val="24"/>
          <w:szCs w:val="24"/>
          <w:rtl/>
        </w:rPr>
        <w:t xml:space="preserve"> ואם אין כלים או מנגנונים אחרים שיכולים להשיג את תכליות החוק, תוך פגיעה פחותה יותר</w:t>
      </w:r>
      <w:r w:rsidRPr="00650710">
        <w:rPr>
          <w:rFonts w:cs="David" w:hint="cs"/>
          <w:sz w:val="24"/>
          <w:szCs w:val="24"/>
          <w:rtl/>
        </w:rPr>
        <w:t xml:space="preserve">. </w:t>
      </w:r>
      <w:r w:rsidR="00650710">
        <w:rPr>
          <w:rFonts w:cs="David" w:hint="cs"/>
          <w:sz w:val="24"/>
          <w:szCs w:val="24"/>
          <w:rtl/>
        </w:rPr>
        <w:t xml:space="preserve">כך לדוגמה, המועצה תמהה אם נבחנו לעומק </w:t>
      </w:r>
      <w:r w:rsidR="00650710" w:rsidRPr="00650710">
        <w:rPr>
          <w:rFonts w:cs="David" w:hint="cs"/>
          <w:sz w:val="24"/>
          <w:szCs w:val="24"/>
          <w:rtl/>
        </w:rPr>
        <w:t xml:space="preserve">חלופות לעידוד צרכנים לתת את הסכמתם מראש לאיסוף נתוני </w:t>
      </w:r>
      <w:r w:rsidR="00650710" w:rsidRPr="00650710">
        <w:rPr>
          <w:rFonts w:cs="David" w:hint="cs"/>
          <w:sz w:val="24"/>
          <w:szCs w:val="24"/>
          <w:rtl/>
        </w:rPr>
        <w:lastRenderedPageBreak/>
        <w:t>אשראי (כגון: הסברה וחינוך) תוך בחינה מעמיקה של הסיבות אשר גרמו לכך שלא נעשה שימוש נרחב באפשרות זו על פי סעיף 18 לחוק הקיים.</w:t>
      </w:r>
      <w:r w:rsidR="00A67641">
        <w:rPr>
          <w:rFonts w:cs="David" w:hint="cs"/>
          <w:sz w:val="24"/>
          <w:szCs w:val="24"/>
          <w:rtl/>
        </w:rPr>
        <w:t xml:space="preserve"> </w:t>
      </w:r>
    </w:p>
    <w:p w14:paraId="3257CA39" w14:textId="696B7A01" w:rsidR="00B67B22" w:rsidRPr="009F2E9B" w:rsidRDefault="000E540D" w:rsidP="00C872BC">
      <w:pPr>
        <w:spacing w:before="360" w:after="120" w:line="360" w:lineRule="auto"/>
        <w:ind w:left="567" w:hanging="567"/>
        <w:jc w:val="both"/>
        <w:rPr>
          <w:rFonts w:cs="David"/>
          <w:b/>
          <w:bCs/>
          <w:sz w:val="28"/>
          <w:szCs w:val="28"/>
          <w:rtl/>
        </w:rPr>
      </w:pPr>
      <w:r w:rsidRPr="009F2E9B">
        <w:rPr>
          <w:rFonts w:cs="David" w:hint="cs"/>
          <w:b/>
          <w:bCs/>
          <w:sz w:val="28"/>
          <w:szCs w:val="28"/>
          <w:rtl/>
        </w:rPr>
        <w:t>ג.</w:t>
      </w:r>
      <w:r w:rsidRPr="009F2E9B">
        <w:rPr>
          <w:rFonts w:cs="David" w:hint="cs"/>
          <w:b/>
          <w:bCs/>
          <w:sz w:val="28"/>
          <w:szCs w:val="28"/>
          <w:rtl/>
        </w:rPr>
        <w:tab/>
        <w:t xml:space="preserve">ממונה פרטיות </w:t>
      </w:r>
    </w:p>
    <w:p w14:paraId="2DA62234"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המועצה סבורה שיש למנות גורם פנימי בכיר בבנק ישראל, שימלא את התפקיד של ממונה פרטיות ראשי (</w:t>
      </w:r>
      <w:r>
        <w:rPr>
          <w:rFonts w:cs="David"/>
          <w:sz w:val="24"/>
          <w:szCs w:val="24"/>
        </w:rPr>
        <w:t>Chief Privacy Officer</w:t>
      </w:r>
      <w:r>
        <w:rPr>
          <w:rFonts w:cs="David" w:hint="cs"/>
          <w:sz w:val="24"/>
          <w:szCs w:val="24"/>
          <w:rtl/>
        </w:rPr>
        <w:t xml:space="preserve">). תפקיד זה הוא שילוב של גורם טכנולוגי </w:t>
      </w:r>
      <w:r>
        <w:rPr>
          <w:rFonts w:cs="David"/>
          <w:sz w:val="24"/>
          <w:szCs w:val="24"/>
          <w:rtl/>
        </w:rPr>
        <w:t>–</w:t>
      </w:r>
      <w:r>
        <w:rPr>
          <w:rFonts w:cs="David" w:hint="cs"/>
          <w:sz w:val="24"/>
          <w:szCs w:val="24"/>
          <w:rtl/>
        </w:rPr>
        <w:t xml:space="preserve"> שמכיר את המערכת והיא נגישה לו; של גורם משפטי </w:t>
      </w:r>
      <w:r>
        <w:rPr>
          <w:rFonts w:cs="David"/>
          <w:sz w:val="24"/>
          <w:szCs w:val="24"/>
          <w:rtl/>
        </w:rPr>
        <w:t>–</w:t>
      </w:r>
      <w:r>
        <w:rPr>
          <w:rFonts w:cs="David" w:hint="cs"/>
          <w:sz w:val="24"/>
          <w:szCs w:val="24"/>
          <w:rtl/>
        </w:rPr>
        <w:t xml:space="preserve"> שמבין ומכיר את דיני הגנת הפרטיות; וגורם ארגוני </w:t>
      </w:r>
      <w:r>
        <w:rPr>
          <w:rFonts w:cs="David"/>
          <w:sz w:val="24"/>
          <w:szCs w:val="24"/>
          <w:rtl/>
        </w:rPr>
        <w:t>–</w:t>
      </w:r>
      <w:r>
        <w:rPr>
          <w:rFonts w:cs="David" w:hint="cs"/>
          <w:sz w:val="24"/>
          <w:szCs w:val="24"/>
          <w:rtl/>
        </w:rPr>
        <w:t xml:space="preserve"> שיכול להורות על שינויים במערכת, להשגת יעדי הפרטיות. </w:t>
      </w:r>
    </w:p>
    <w:p w14:paraId="1470C63A"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תפקיד הממונה על הפרטיות רחב מאשר ממונה על אבטחת מידע: פרטיות אינה מתמצית בהגנה מפני פרצנים (האקרים) עוינים. הגנת הפרטיות נועדה למשל להבטיח גם אי-דליפה מבפנים, מניעה של זליגת שימושים מעבר להסמכת החוק, וידוא של תהליכי בקרה מוקדמים (תסקיר פרטיות), והנדסת פרטיות מתאימים. </w:t>
      </w:r>
    </w:p>
    <w:p w14:paraId="46BAF121" w14:textId="5A1289DA" w:rsidR="00565DDC" w:rsidRPr="0009531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C872BC">
        <w:rPr>
          <w:rFonts w:cs="David" w:hint="cs"/>
          <w:b/>
          <w:bCs/>
          <w:sz w:val="24"/>
          <w:szCs w:val="24"/>
          <w:rtl/>
        </w:rPr>
        <w:t xml:space="preserve">חוק נתוני אשראי </w:t>
      </w:r>
      <w:r w:rsidR="00E0098A">
        <w:rPr>
          <w:rFonts w:cs="David" w:hint="cs"/>
          <w:b/>
          <w:bCs/>
          <w:sz w:val="24"/>
          <w:szCs w:val="24"/>
          <w:rtl/>
        </w:rPr>
        <w:t>י</w:t>
      </w:r>
      <w:r w:rsidR="00C872BC">
        <w:rPr>
          <w:rFonts w:cs="David" w:hint="cs"/>
          <w:b/>
          <w:bCs/>
          <w:sz w:val="24"/>
          <w:szCs w:val="24"/>
          <w:rtl/>
        </w:rPr>
        <w:t xml:space="preserve">כלול הוראה בדבר מינוי ממונה פרטיות. </w:t>
      </w:r>
      <w:r w:rsidR="004369D5" w:rsidRPr="00095315">
        <w:rPr>
          <w:rFonts w:cs="David" w:hint="cs"/>
          <w:b/>
          <w:bCs/>
          <w:sz w:val="24"/>
          <w:szCs w:val="24"/>
          <w:rtl/>
        </w:rPr>
        <w:t xml:space="preserve">תפקיד ממונה הפרטיות צריך להיות עצמאי. </w:t>
      </w:r>
      <w:r w:rsidR="00565DDC" w:rsidRPr="00095315">
        <w:rPr>
          <w:rFonts w:cs="David" w:hint="cs"/>
          <w:b/>
          <w:bCs/>
          <w:sz w:val="24"/>
          <w:szCs w:val="24"/>
          <w:rtl/>
        </w:rPr>
        <w:t xml:space="preserve">עליו לדווח במישרין לנגיד/ת בנק ישראל ולהגיש דוחות שנתיים לרשם מאגרי המידע ברמו"ט ולציבור באמצעות ועדת הכלכלה. </w:t>
      </w:r>
    </w:p>
    <w:p w14:paraId="38EE87DA" w14:textId="4365CB36" w:rsidR="000E540D"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t>ד.</w:t>
      </w:r>
      <w:r w:rsidRPr="009F2E9B">
        <w:rPr>
          <w:rFonts w:cs="David" w:hint="cs"/>
          <w:b/>
          <w:bCs/>
          <w:sz w:val="28"/>
          <w:szCs w:val="28"/>
          <w:rtl/>
        </w:rPr>
        <w:tab/>
        <w:t>הצורך בבקרה חיצונית קבועה ורציפה על יישום החוק</w:t>
      </w:r>
    </w:p>
    <w:p w14:paraId="2CAEF072" w14:textId="0A9455A6" w:rsidR="007A387B"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חקיקה מודרנית המסדירה שימוש במידע על אדם ופגיעה בפרטיותו, לצורך שירות תכלית ראויה של מימוש זכויות אחרות, או הגנה על אינטרסים ציבוריים ולאומיים, יוצקת לתוך החוקים מערכות בקרה. </w:t>
      </w:r>
    </w:p>
    <w:p w14:paraId="4E4B1044" w14:textId="77777777" w:rsidR="000F43C0"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מערכות הבקרה נועדו</w:t>
      </w:r>
      <w:r w:rsidR="005F1996" w:rsidRPr="003B6DA2">
        <w:rPr>
          <w:rFonts w:cs="David" w:hint="cs"/>
          <w:sz w:val="24"/>
          <w:szCs w:val="24"/>
          <w:rtl/>
        </w:rPr>
        <w:t xml:space="preserve"> לבחון </w:t>
      </w:r>
      <w:r w:rsidR="000F43C0" w:rsidRPr="003B6DA2">
        <w:rPr>
          <w:rFonts w:cs="David"/>
          <w:sz w:val="24"/>
          <w:szCs w:val="24"/>
          <w:rtl/>
        </w:rPr>
        <w:t>–</w:t>
      </w:r>
      <w:r w:rsidR="00DE320A">
        <w:rPr>
          <w:rFonts w:cs="David" w:hint="cs"/>
          <w:sz w:val="24"/>
          <w:szCs w:val="24"/>
          <w:rtl/>
        </w:rPr>
        <w:t xml:space="preserve"> </w:t>
      </w:r>
    </w:p>
    <w:p w14:paraId="30BBEC27" w14:textId="77777777" w:rsidR="000F43C0" w:rsidRPr="003B03A4" w:rsidRDefault="005F1996"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תכליות החוק מושגות (ותוך כך אם הפגיעה בפרטיות אכן מוצדקת)</w:t>
      </w:r>
      <w:r w:rsidR="000F43C0" w:rsidRPr="003B03A4">
        <w:rPr>
          <w:rFonts w:cs="David" w:hint="cs"/>
          <w:sz w:val="24"/>
          <w:szCs w:val="24"/>
          <w:rtl/>
        </w:rPr>
        <w:t>;</w:t>
      </w:r>
    </w:p>
    <w:p w14:paraId="345F59C7"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רשויות המדינה הרלבנטיות ממלאות את תפקידן בהגנה על המידע מפני שימוש בלתי מורשה, או שימוש לרעה במידע; וכן,</w:t>
      </w:r>
    </w:p>
    <w:p w14:paraId="4903F751" w14:textId="77777777" w:rsidR="007A387B" w:rsidRPr="003B03A4" w:rsidRDefault="000F43C0"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אם רשויות המדינה בעלות הגישה למידע משתמשות בו אך ורק לתכליות שלשמן נועד החוק. </w:t>
      </w:r>
    </w:p>
    <w:p w14:paraId="3A4664FA" w14:textId="77777777" w:rsidR="00EB2BE5" w:rsidRPr="00EB2BE5" w:rsidRDefault="00EB2BE5" w:rsidP="009F2E9B">
      <w:pPr>
        <w:pStyle w:val="ListParagraph"/>
        <w:numPr>
          <w:ilvl w:val="0"/>
          <w:numId w:val="2"/>
        </w:numPr>
        <w:spacing w:before="120" w:after="120" w:line="360" w:lineRule="auto"/>
        <w:contextualSpacing w:val="0"/>
        <w:jc w:val="both"/>
        <w:rPr>
          <w:rFonts w:cs="David"/>
          <w:sz w:val="24"/>
          <w:szCs w:val="24"/>
        </w:rPr>
      </w:pPr>
      <w:r w:rsidRPr="00EB2BE5">
        <w:rPr>
          <w:rFonts w:cs="David" w:hint="cs"/>
          <w:sz w:val="24"/>
          <w:szCs w:val="24"/>
          <w:rtl/>
        </w:rPr>
        <w:t>הבקרה צריכה להיות גם ציבורית, ומכך מתחייבת שקיפות של הגורמים השונים שיבקרו את המערכת והמנגנון מבפנים ומבחוץ. ניתן להציב סייגים לשקיפות מטעמים של אבטחת המערכת עצמה.</w:t>
      </w:r>
    </w:p>
    <w:p w14:paraId="3833B7F7" w14:textId="442607D7" w:rsidR="000F43C0" w:rsidRPr="003B6DA2" w:rsidRDefault="00EB2BE5"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 xml:space="preserve">החקיקה המודרנית הישראלית, הממסדת פגיעה בזכות החוקתית לפרטיות, מיישמת גם מנגנוני בקרה לפיקוח על יישום החוק. </w:t>
      </w:r>
      <w:r w:rsidR="000F43C0" w:rsidRPr="003B6DA2">
        <w:rPr>
          <w:rFonts w:cs="David" w:hint="cs"/>
          <w:sz w:val="24"/>
          <w:szCs w:val="24"/>
          <w:rtl/>
        </w:rPr>
        <w:t xml:space="preserve">כך לדוגמה חוק סדר הדין הפלילי (סמכויות אכיפה </w:t>
      </w:r>
      <w:r w:rsidR="000F43C0" w:rsidRPr="003B6DA2">
        <w:rPr>
          <w:rFonts w:cs="David"/>
          <w:sz w:val="24"/>
          <w:szCs w:val="24"/>
          <w:rtl/>
        </w:rPr>
        <w:t>–</w:t>
      </w:r>
      <w:r w:rsidR="000F43C0" w:rsidRPr="003B6DA2">
        <w:rPr>
          <w:rFonts w:cs="David" w:hint="cs"/>
          <w:sz w:val="24"/>
          <w:szCs w:val="24"/>
          <w:rtl/>
        </w:rPr>
        <w:t xml:space="preserve"> נתוני תקשורת), התשס"ח </w:t>
      </w:r>
      <w:r w:rsidR="000F43C0" w:rsidRPr="003B6DA2">
        <w:rPr>
          <w:rFonts w:cs="David"/>
          <w:sz w:val="24"/>
          <w:szCs w:val="24"/>
          <w:rtl/>
        </w:rPr>
        <w:t>–</w:t>
      </w:r>
      <w:r w:rsidR="000F43C0" w:rsidRPr="003B6DA2">
        <w:rPr>
          <w:rFonts w:cs="David" w:hint="cs"/>
          <w:sz w:val="24"/>
          <w:szCs w:val="24"/>
          <w:rtl/>
        </w:rPr>
        <w:t xml:space="preserve"> 2007 </w:t>
      </w:r>
      <w:r w:rsidR="00AB0B81" w:rsidRPr="003B6DA2">
        <w:rPr>
          <w:rFonts w:cs="David" w:hint="cs"/>
          <w:sz w:val="24"/>
          <w:szCs w:val="24"/>
          <w:rtl/>
        </w:rPr>
        <w:t>מחייב פיקוח של ועדת החוקה על יישום החוק כדלקמן:</w:t>
      </w:r>
      <w:r w:rsidR="00DE320A">
        <w:rPr>
          <w:rFonts w:cs="David" w:hint="cs"/>
          <w:sz w:val="24"/>
          <w:szCs w:val="24"/>
          <w:rtl/>
        </w:rPr>
        <w:t xml:space="preserve"> </w:t>
      </w:r>
    </w:p>
    <w:p w14:paraId="33255AE5" w14:textId="143F573A" w:rsidR="000F43C0" w:rsidRPr="003B03A4" w:rsidRDefault="000F43C0" w:rsidP="004C27F7">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השר לביטחון פנים והשר הממונה על "רשות חוקרת אחרת" כמשמעותה בחוק, חייבים ל</w:t>
      </w:r>
      <w:r w:rsidR="00AB0B81" w:rsidRPr="003B03A4">
        <w:rPr>
          <w:rFonts w:cs="David" w:hint="cs"/>
          <w:sz w:val="24"/>
          <w:szCs w:val="24"/>
          <w:rtl/>
        </w:rPr>
        <w:t xml:space="preserve">הגיש </w:t>
      </w:r>
      <w:r w:rsidRPr="003B03A4">
        <w:rPr>
          <w:rFonts w:cs="David" w:hint="cs"/>
          <w:sz w:val="24"/>
          <w:szCs w:val="24"/>
          <w:rtl/>
        </w:rPr>
        <w:t>לו</w:t>
      </w:r>
      <w:r w:rsidR="004369D5">
        <w:rPr>
          <w:rFonts w:cs="David" w:hint="cs"/>
          <w:sz w:val="24"/>
          <w:szCs w:val="24"/>
          <w:rtl/>
        </w:rPr>
        <w:t>ו</w:t>
      </w:r>
      <w:r w:rsidRPr="003B03A4">
        <w:rPr>
          <w:rFonts w:cs="David" w:hint="cs"/>
          <w:sz w:val="24"/>
          <w:szCs w:val="24"/>
          <w:rtl/>
        </w:rPr>
        <w:t xml:space="preserve">עדת חוקה, אחת לשנה, </w:t>
      </w:r>
      <w:r w:rsidR="00AB0B81" w:rsidRPr="003B03A4">
        <w:rPr>
          <w:rFonts w:cs="David" w:hint="cs"/>
          <w:sz w:val="24"/>
          <w:szCs w:val="24"/>
          <w:rtl/>
        </w:rPr>
        <w:t xml:space="preserve">דיווח מפורט </w:t>
      </w:r>
      <w:r w:rsidRPr="003B03A4">
        <w:rPr>
          <w:rFonts w:cs="David" w:hint="cs"/>
          <w:sz w:val="24"/>
          <w:szCs w:val="24"/>
          <w:rtl/>
        </w:rPr>
        <w:t>על יישומו של חוק זה</w:t>
      </w:r>
      <w:r w:rsidR="00AB0B81" w:rsidRPr="003B03A4">
        <w:rPr>
          <w:rFonts w:cs="David" w:hint="cs"/>
          <w:sz w:val="24"/>
          <w:szCs w:val="24"/>
          <w:rtl/>
        </w:rPr>
        <w:t xml:space="preserve">. הדיווח </w:t>
      </w:r>
      <w:r w:rsidR="004C27F7">
        <w:rPr>
          <w:rFonts w:cs="David" w:hint="cs"/>
          <w:sz w:val="24"/>
          <w:szCs w:val="24"/>
          <w:rtl/>
        </w:rPr>
        <w:t xml:space="preserve">ניתן </w:t>
      </w:r>
      <w:r w:rsidR="00AB0B81" w:rsidRPr="003B03A4">
        <w:rPr>
          <w:rFonts w:cs="David" w:hint="cs"/>
          <w:sz w:val="24"/>
          <w:szCs w:val="24"/>
          <w:rtl/>
        </w:rPr>
        <w:t xml:space="preserve">במהלך ארבע השנים הראשונות מיום תחילתו של החוק </w:t>
      </w:r>
      <w:r w:rsidRPr="003B03A4">
        <w:rPr>
          <w:rFonts w:cs="David" w:hint="cs"/>
          <w:sz w:val="24"/>
          <w:szCs w:val="24"/>
          <w:rtl/>
        </w:rPr>
        <w:t>(ס' 14 לחוק זה)</w:t>
      </w:r>
      <w:r w:rsidR="004C27F7">
        <w:rPr>
          <w:rFonts w:cs="David" w:hint="cs"/>
          <w:sz w:val="24"/>
          <w:szCs w:val="24"/>
          <w:rtl/>
        </w:rPr>
        <w:t xml:space="preserve"> (נעיר כי אנו סבורים שיש צורך בדיווח קבוע, ולא רק זמני)</w:t>
      </w:r>
      <w:r w:rsidRPr="003B03A4">
        <w:rPr>
          <w:rFonts w:cs="David" w:hint="cs"/>
          <w:sz w:val="24"/>
          <w:szCs w:val="24"/>
          <w:rtl/>
        </w:rPr>
        <w:t>;</w:t>
      </w:r>
    </w:p>
    <w:p w14:paraId="3B1CC6B4" w14:textId="77777777" w:rsidR="00AB0B81" w:rsidRPr="003B03A4" w:rsidRDefault="00AB0B81"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ועדת החוקה חייבת לאשר את ההוראות לגבי אופן החזקתו ושמירתו של מידע במאגר נתוני זיהוי (תקשורת) </w:t>
      </w:r>
      <w:r w:rsidRPr="003B03A4">
        <w:rPr>
          <w:rFonts w:cs="David"/>
          <w:sz w:val="24"/>
          <w:szCs w:val="24"/>
          <w:rtl/>
        </w:rPr>
        <w:t>אופן הבקרה על</w:t>
      </w:r>
      <w:r w:rsidR="0015598F" w:rsidRPr="003B03A4">
        <w:rPr>
          <w:rFonts w:cs="David"/>
          <w:sz w:val="24"/>
          <w:szCs w:val="24"/>
          <w:rtl/>
        </w:rPr>
        <w:t xml:space="preserve"> פעולות המבוצעות ב</w:t>
      </w:r>
      <w:r w:rsidR="0015598F" w:rsidRPr="003B03A4">
        <w:rPr>
          <w:rFonts w:cs="David" w:hint="cs"/>
          <w:sz w:val="24"/>
          <w:szCs w:val="24"/>
          <w:rtl/>
        </w:rPr>
        <w:t>ו</w:t>
      </w:r>
      <w:r w:rsidRPr="003B03A4">
        <w:rPr>
          <w:rFonts w:cs="David"/>
          <w:sz w:val="24"/>
          <w:szCs w:val="24"/>
          <w:rtl/>
        </w:rPr>
        <w:t>, מורשי גישה למידע הכלול בו והשימוש שייעשה בכל סוג של המידע המועבר אליו וממנו</w:t>
      </w:r>
      <w:r w:rsidRPr="003B03A4">
        <w:rPr>
          <w:rFonts w:cs="David" w:hint="cs"/>
          <w:sz w:val="24"/>
          <w:szCs w:val="24"/>
          <w:rtl/>
        </w:rPr>
        <w:t xml:space="preserve"> (סעיף 7(ד) לחוק זה)</w:t>
      </w:r>
      <w:r w:rsidR="003B6DA2">
        <w:rPr>
          <w:rFonts w:cs="David" w:hint="cs"/>
          <w:sz w:val="24"/>
          <w:szCs w:val="24"/>
          <w:rtl/>
        </w:rPr>
        <w:t>;</w:t>
      </w:r>
      <w:r w:rsidRPr="003B03A4">
        <w:rPr>
          <w:rFonts w:cs="David" w:hint="cs"/>
          <w:sz w:val="24"/>
          <w:szCs w:val="24"/>
          <w:rtl/>
        </w:rPr>
        <w:t xml:space="preserve"> </w:t>
      </w:r>
    </w:p>
    <w:p w14:paraId="59FFB41E"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החוקה חייבת לאשר את ההוראות לגבי אופן החזקתו ושמירתו של מידע המתקבל ממאגר נתוני זיהוי (תקשורת) על ידי "רשות חוקרת אחרת" כמשמע</w:t>
      </w:r>
      <w:r w:rsidR="003B6DA2">
        <w:rPr>
          <w:rFonts w:cs="David" w:hint="cs"/>
          <w:sz w:val="24"/>
          <w:szCs w:val="24"/>
          <w:rtl/>
        </w:rPr>
        <w:t>ותה בחוק זה (סעיף 8(ג) לחוק זה);</w:t>
      </w:r>
      <w:r w:rsidRPr="003B03A4">
        <w:rPr>
          <w:rFonts w:cs="David" w:hint="cs"/>
          <w:sz w:val="24"/>
          <w:szCs w:val="24"/>
          <w:rtl/>
        </w:rPr>
        <w:t xml:space="preserve"> </w:t>
      </w:r>
    </w:p>
    <w:p w14:paraId="41ADBCBD" w14:textId="77777777" w:rsidR="000F43C0" w:rsidRPr="003B03A4" w:rsidRDefault="00AB0B81"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בנוסף, </w:t>
      </w:r>
      <w:r w:rsidR="000F43C0" w:rsidRPr="003B03A4">
        <w:rPr>
          <w:rFonts w:cs="David" w:hint="cs"/>
          <w:sz w:val="24"/>
          <w:szCs w:val="24"/>
          <w:rtl/>
        </w:rPr>
        <w:t xml:space="preserve">מחייב </w:t>
      </w:r>
      <w:r w:rsidRPr="003B03A4">
        <w:rPr>
          <w:rFonts w:cs="David" w:hint="cs"/>
          <w:sz w:val="24"/>
          <w:szCs w:val="24"/>
          <w:rtl/>
        </w:rPr>
        <w:t xml:space="preserve">החוק </w:t>
      </w:r>
      <w:r w:rsidR="000F43C0" w:rsidRPr="003B03A4">
        <w:rPr>
          <w:rFonts w:cs="David" w:hint="cs"/>
          <w:sz w:val="24"/>
          <w:szCs w:val="24"/>
          <w:rtl/>
        </w:rPr>
        <w:t xml:space="preserve">לתעד את כלל הפעולות המבוצעות במאגרי נתוני זיהוי (תקשורת), באופן שיאפשר </w:t>
      </w:r>
      <w:r w:rsidRPr="003B03A4">
        <w:rPr>
          <w:rFonts w:cs="David" w:hint="cs"/>
          <w:sz w:val="24"/>
          <w:szCs w:val="24"/>
          <w:rtl/>
        </w:rPr>
        <w:t xml:space="preserve">פיקוח ובקרה (ס' 7(ב) לחוק זה ) וכן </w:t>
      </w:r>
      <w:r w:rsidR="000F43C0" w:rsidRPr="003B03A4">
        <w:rPr>
          <w:rFonts w:cs="David" w:hint="cs"/>
          <w:sz w:val="24"/>
          <w:szCs w:val="24"/>
          <w:rtl/>
        </w:rPr>
        <w:t>מחייב "רשות חוקרת אחרת" כמשמעותה בחוק לתעד קבלת מידע ממאגר נתוני הזיהוי (תקשורת) באופן שיאפשר פיקוח ובקרה (ס' 8(א) לחוק זה)</w:t>
      </w:r>
      <w:r w:rsidR="003B6DA2">
        <w:rPr>
          <w:rFonts w:cs="David" w:hint="cs"/>
          <w:sz w:val="24"/>
          <w:szCs w:val="24"/>
          <w:rtl/>
        </w:rPr>
        <w:t>;</w:t>
      </w:r>
      <w:r w:rsidR="00DE320A">
        <w:rPr>
          <w:rFonts w:cs="David" w:hint="cs"/>
          <w:sz w:val="24"/>
          <w:szCs w:val="24"/>
          <w:rtl/>
        </w:rPr>
        <w:t xml:space="preserve"> </w:t>
      </w:r>
    </w:p>
    <w:p w14:paraId="412E7055" w14:textId="77777777" w:rsidR="000F43C0" w:rsidRPr="003B6DA2" w:rsidRDefault="0015598F"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כך גם, בהתאם לחוק הכללת אמצעי זיהוי ביומטריים ונתוני זיהוי ביומטריים במסמכי זיהוי ובמאגר מידע, התש"ע </w:t>
      </w:r>
      <w:r w:rsidRPr="003B6DA2">
        <w:rPr>
          <w:rFonts w:cs="David"/>
          <w:sz w:val="24"/>
          <w:szCs w:val="24"/>
          <w:rtl/>
        </w:rPr>
        <w:t>–</w:t>
      </w:r>
      <w:r w:rsidRPr="003B6DA2">
        <w:rPr>
          <w:rFonts w:cs="David" w:hint="cs"/>
          <w:sz w:val="24"/>
          <w:szCs w:val="24"/>
          <w:rtl/>
        </w:rPr>
        <w:t xml:space="preserve"> 2009, נקבעה מערכת בקרה רחבה על יישום החוק, בין היתר על ידי </w:t>
      </w:r>
      <w:r w:rsidRPr="003B6DA2">
        <w:rPr>
          <w:rFonts w:cs="David"/>
          <w:sz w:val="24"/>
          <w:szCs w:val="24"/>
          <w:rtl/>
        </w:rPr>
        <w:t>–</w:t>
      </w:r>
      <w:r w:rsidRPr="003B6DA2">
        <w:rPr>
          <w:rFonts w:cs="David" w:hint="cs"/>
          <w:sz w:val="24"/>
          <w:szCs w:val="24"/>
          <w:rtl/>
        </w:rPr>
        <w:t xml:space="preserve"> </w:t>
      </w:r>
    </w:p>
    <w:p w14:paraId="2D984645"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ליישומים ביומטריים צריכה לאשר את התקנות שיקבע השר לענין הסודיות, שמירת המידע, אבטחת המידע והגנת הפרטיות במרכז ההנפקה (סעיף 4(ג) לחוק זה);</w:t>
      </w:r>
    </w:p>
    <w:p w14:paraId="45CC934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העברת מידע באופן פרטני לצרכים מסוימים מחייב התייעצות עם ועדת הכנסת המשותפת (סעיף 5(ב) לחוק זה);</w:t>
      </w:r>
    </w:p>
    <w:p w14:paraId="543B6FFF"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השר מחויב למסור דין וחשבון לוועדת הכנסת המשותפת, אחת לשנה, לעניין העברות מידע פרטניות (סעיף 5(ג) לחוק זה);</w:t>
      </w:r>
    </w:p>
    <w:p w14:paraId="07447BF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בעניין תפקידים, סמכויות וביצוע נטילה של דגימות (סעיף 6(ב) לחוק זה);</w:t>
      </w:r>
    </w:p>
    <w:p w14:paraId="695506B3"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בדבר אמצעים ממוכנים לנטילת דגימות (סעיף 6(ד) לחוק זה);</w:t>
      </w:r>
    </w:p>
    <w:p w14:paraId="7DEEFBE8" w14:textId="77777777" w:rsidR="0015598F"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השרים ליישומים ביומטריים וועדת הכנסת המשותפת צריכה לאשר תקנות להסמכת עובדי משרד החוץ (סעיף 8 לחוק זה);</w:t>
      </w:r>
    </w:p>
    <w:p w14:paraId="5442EF49" w14:textId="77777777" w:rsidR="00E56067"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לעניין ניהול המאגר הביומטרי, שמירת המידע בו והעברת המידע ממנו (סעיף 10(ד) לחוק זה);</w:t>
      </w:r>
    </w:p>
    <w:p w14:paraId="26E2B50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השר לבטחון פנים ושר הביטחון ימסרו מדי שנה, דין וחשבון מפורט לוועדת הכנסת המשותפת, לממונה על יישומים ביומטריים ולרשם מאגרי המידע (סעיף 20 לחוק זה); </w:t>
      </w:r>
    </w:p>
    <w:p w14:paraId="6247FB3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רשויות הביטחון מחויבות לדווח לועדת הכנסת המשותפת על אירועים חריגים במהלך שימושן במאגר הביומטרי </w:t>
      </w:r>
      <w:r w:rsidR="000C27F8" w:rsidRPr="003B03A4">
        <w:rPr>
          <w:rFonts w:cs="David" w:hint="cs"/>
          <w:sz w:val="24"/>
          <w:szCs w:val="24"/>
          <w:rtl/>
        </w:rPr>
        <w:t xml:space="preserve">ופרטים נוספים </w:t>
      </w:r>
      <w:r w:rsidRPr="003B03A4">
        <w:rPr>
          <w:rFonts w:cs="David" w:hint="cs"/>
          <w:sz w:val="24"/>
          <w:szCs w:val="24"/>
          <w:rtl/>
        </w:rPr>
        <w:t>(סעיף 33 (ד)(1) לחוק זה);</w:t>
      </w:r>
    </w:p>
    <w:p w14:paraId="7E7DBB8E"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בכל הנוגע לביצוע של החוק (סעיף 35(א) וסעיף 40 לחוק זה);</w:t>
      </w:r>
    </w:p>
    <w:p w14:paraId="38912E79"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תבחן ותאשר את אבטחת המאגר הביומטרי (סעיף 40(ב)(4) לחוק זה);</w:t>
      </w:r>
    </w:p>
    <w:p w14:paraId="34B0A369" w14:textId="77777777" w:rsidR="00E56067" w:rsidRPr="003B03A4" w:rsidRDefault="00415627" w:rsidP="009F2E9B">
      <w:pPr>
        <w:pStyle w:val="ListParagraph"/>
        <w:numPr>
          <w:ilvl w:val="1"/>
          <w:numId w:val="2"/>
        </w:numPr>
        <w:spacing w:before="120" w:after="120" w:line="360" w:lineRule="auto"/>
        <w:contextualSpacing w:val="0"/>
        <w:jc w:val="both"/>
        <w:rPr>
          <w:rFonts w:cs="David"/>
          <w:sz w:val="24"/>
          <w:szCs w:val="24"/>
          <w:rtl/>
        </w:rPr>
      </w:pPr>
      <w:r>
        <w:rPr>
          <w:rFonts w:cs="David" w:hint="cs"/>
          <w:sz w:val="24"/>
          <w:szCs w:val="24"/>
          <w:rtl/>
        </w:rPr>
        <w:t xml:space="preserve">פעולות נוספות רבות </w:t>
      </w:r>
      <w:r w:rsidR="00E56067" w:rsidRPr="003B03A4">
        <w:rPr>
          <w:rFonts w:cs="David" w:hint="cs"/>
          <w:sz w:val="24"/>
          <w:szCs w:val="24"/>
          <w:rtl/>
        </w:rPr>
        <w:t xml:space="preserve">דורשות אישור </w:t>
      </w:r>
      <w:r w:rsidR="0040213F" w:rsidRPr="003B03A4">
        <w:rPr>
          <w:rFonts w:cs="David" w:hint="cs"/>
          <w:sz w:val="24"/>
          <w:szCs w:val="24"/>
          <w:rtl/>
        </w:rPr>
        <w:t xml:space="preserve">של ועדת הכנסת המשותפת. ראו לעניין זה את סעיפים 15, 23, 24(ג), 27(ג), 27(ד), 33(ב), </w:t>
      </w:r>
      <w:r w:rsidR="000C27F8" w:rsidRPr="003B03A4">
        <w:rPr>
          <w:rFonts w:cs="David" w:hint="cs"/>
          <w:sz w:val="24"/>
          <w:szCs w:val="24"/>
          <w:rtl/>
        </w:rPr>
        <w:t xml:space="preserve">34(א), 34(ב), </w:t>
      </w:r>
      <w:r>
        <w:rPr>
          <w:rFonts w:cs="David" w:hint="cs"/>
          <w:sz w:val="24"/>
          <w:szCs w:val="24"/>
          <w:rtl/>
        </w:rPr>
        <w:t xml:space="preserve">35(ב), 35(ה), 35(ו) לחוק זה. </w:t>
      </w:r>
    </w:p>
    <w:p w14:paraId="7779C99C" w14:textId="77777777" w:rsidR="004369D5"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בנוסף, החקיקה מלווה בקביעת עבירות משמעת, מקום שמדובר בעובדי מדינה, בליווי עבירות פליליות, לפי הענין. ראו למשל את חוק מרשם האוכלוסין (תיקון מס' 11), התשס"ז-2007.</w:t>
      </w:r>
    </w:p>
    <w:p w14:paraId="1638570B" w14:textId="77777777" w:rsidR="006A1FAD" w:rsidRPr="003B03A4" w:rsidRDefault="006A1FA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 xml:space="preserve">אף החוק הקיים (חוק שירות נתוני אשראי, התשס"ב </w:t>
      </w:r>
      <w:r w:rsidRPr="003B03A4">
        <w:rPr>
          <w:rFonts w:cs="David"/>
          <w:sz w:val="24"/>
          <w:szCs w:val="24"/>
          <w:rtl/>
        </w:rPr>
        <w:t>–</w:t>
      </w:r>
      <w:r w:rsidRPr="003B03A4">
        <w:rPr>
          <w:rFonts w:cs="David" w:hint="cs"/>
          <w:sz w:val="24"/>
          <w:szCs w:val="24"/>
          <w:rtl/>
        </w:rPr>
        <w:t xml:space="preserve"> 2002) כולל בתוכו מנגנוני בקרה מסוימים (ראו סעיפים 1 (הגדרת "מקור מוסמך"), 4, 16(א)(8), 17(א), 17(ג), 18(ג), 19(1), 19(2), 24(א), 24(ב), 25, 26, 30, 52(ב), 60 לחוק זה).</w:t>
      </w:r>
    </w:p>
    <w:p w14:paraId="0A6FEDBB" w14:textId="5282B98B" w:rsidR="00E62842" w:rsidRPr="003B6DA2" w:rsidRDefault="00E6284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בחינה של הצעת חוק נתוני אשראי מגלה ש</w:t>
      </w:r>
      <w:r w:rsidR="006A1FAD" w:rsidRPr="003B6DA2">
        <w:rPr>
          <w:rFonts w:cs="David" w:hint="cs"/>
          <w:sz w:val="24"/>
          <w:szCs w:val="24"/>
          <w:rtl/>
        </w:rPr>
        <w:t xml:space="preserve">נושא הבקרה נשכח. </w:t>
      </w:r>
      <w:r w:rsidR="00636FBF" w:rsidRPr="003B6DA2">
        <w:rPr>
          <w:rFonts w:cs="David" w:hint="cs"/>
          <w:sz w:val="24"/>
          <w:szCs w:val="24"/>
          <w:rtl/>
        </w:rPr>
        <w:t xml:space="preserve">בניגוד </w:t>
      </w:r>
      <w:r w:rsidR="006A1FAD" w:rsidRPr="003B6DA2">
        <w:rPr>
          <w:rFonts w:cs="David" w:hint="cs"/>
          <w:sz w:val="24"/>
          <w:szCs w:val="24"/>
          <w:rtl/>
        </w:rPr>
        <w:t xml:space="preserve">לדוגמאות הנ"ל, </w:t>
      </w:r>
      <w:r w:rsidR="006A1FAD" w:rsidRPr="00EB2BE5">
        <w:rPr>
          <w:rFonts w:cs="David" w:hint="cs"/>
          <w:sz w:val="24"/>
          <w:szCs w:val="24"/>
          <w:u w:val="single"/>
          <w:rtl/>
        </w:rPr>
        <w:t>הצעת החוק נעדרת בקרות חיצוניות וציבוריות</w:t>
      </w:r>
      <w:r w:rsidR="006A1FAD" w:rsidRPr="003B6DA2">
        <w:rPr>
          <w:rFonts w:cs="David" w:hint="cs"/>
          <w:sz w:val="24"/>
          <w:szCs w:val="24"/>
          <w:rtl/>
        </w:rPr>
        <w:t xml:space="preserve">, בין על ידי ועדת הכלכלה, בין על ידי רשם מאגרי המידע ובין על ידי גוף אחר כלשהו. </w:t>
      </w:r>
      <w:r w:rsidRPr="003B6DA2">
        <w:rPr>
          <w:rFonts w:cs="David" w:hint="cs"/>
          <w:sz w:val="24"/>
          <w:szCs w:val="24"/>
          <w:rtl/>
        </w:rPr>
        <w:t xml:space="preserve">בכלל זה </w:t>
      </w:r>
      <w:r w:rsidRPr="003B6DA2">
        <w:rPr>
          <w:rFonts w:cs="David"/>
          <w:sz w:val="24"/>
          <w:szCs w:val="24"/>
          <w:rtl/>
        </w:rPr>
        <w:t>–</w:t>
      </w:r>
      <w:r w:rsidRPr="003B6DA2">
        <w:rPr>
          <w:rFonts w:cs="David" w:hint="cs"/>
          <w:sz w:val="24"/>
          <w:szCs w:val="24"/>
          <w:rtl/>
        </w:rPr>
        <w:t xml:space="preserve"> </w:t>
      </w:r>
    </w:p>
    <w:p w14:paraId="02FFE346" w14:textId="4005EF66"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סעיף 107 להצעת החוק </w:t>
      </w:r>
      <w:r w:rsidR="006260CF">
        <w:rPr>
          <w:rFonts w:cs="David" w:hint="cs"/>
          <w:sz w:val="24"/>
          <w:szCs w:val="24"/>
          <w:rtl/>
        </w:rPr>
        <w:t xml:space="preserve">(ביצוע ותקנות) </w:t>
      </w:r>
      <w:r w:rsidRPr="003B03A4">
        <w:rPr>
          <w:rFonts w:cs="David" w:hint="cs"/>
          <w:sz w:val="24"/>
          <w:szCs w:val="24"/>
          <w:rtl/>
        </w:rPr>
        <w:t>מסמיך את השר להתקין תקנות לביצוע של החוק</w:t>
      </w:r>
      <w:r w:rsidR="00415627">
        <w:rPr>
          <w:rFonts w:cs="David" w:hint="cs"/>
          <w:sz w:val="24"/>
          <w:szCs w:val="24"/>
          <w:rtl/>
        </w:rPr>
        <w:t>. אין כל בקרה על התקנת התקנות;</w:t>
      </w:r>
      <w:r w:rsidRPr="003B03A4">
        <w:rPr>
          <w:rFonts w:cs="David" w:hint="cs"/>
          <w:sz w:val="24"/>
          <w:szCs w:val="24"/>
          <w:rtl/>
        </w:rPr>
        <w:t xml:space="preserve"> </w:t>
      </w:r>
    </w:p>
    <w:p w14:paraId="2DBE9AB8" w14:textId="6EC60809"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ההוראות לענין אבטחת המידע של המאגר (סעיף 57(ג) להצעת החוק</w:t>
      </w:r>
      <w:r w:rsidR="006260CF">
        <w:rPr>
          <w:rFonts w:cs="David" w:hint="cs"/>
          <w:sz w:val="24"/>
          <w:szCs w:val="24"/>
          <w:rtl/>
        </w:rPr>
        <w:t xml:space="preserve"> (אבטחת מידע) </w:t>
      </w:r>
      <w:r w:rsidRPr="003B03A4">
        <w:rPr>
          <w:rFonts w:cs="David" w:hint="cs"/>
          <w:sz w:val="24"/>
          <w:szCs w:val="24"/>
          <w:rtl/>
        </w:rPr>
        <w:t>)</w:t>
      </w:r>
      <w:r w:rsidR="00415627">
        <w:rPr>
          <w:rFonts w:cs="David" w:hint="cs"/>
          <w:sz w:val="24"/>
          <w:szCs w:val="24"/>
          <w:rtl/>
        </w:rPr>
        <w:t>;</w:t>
      </w:r>
    </w:p>
    <w:p w14:paraId="044257B9" w14:textId="3D33D4CC"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הוראות השר לעניין מסירת נתוני אשראי מהמאגר לצורך דוח אשראי ואין בקרה על התנאים שהשר יקבע למסירה כאמור (סעיף 28 להצעת החוק</w:t>
      </w:r>
      <w:r w:rsidR="006260CF">
        <w:rPr>
          <w:rFonts w:cs="David" w:hint="cs"/>
          <w:sz w:val="24"/>
          <w:szCs w:val="24"/>
          <w:rtl/>
        </w:rPr>
        <w:t xml:space="preserve"> (הוראות לעניין מסירת נתוני אשראי מהמאגר) </w:t>
      </w:r>
      <w:r w:rsidRPr="003B03A4">
        <w:rPr>
          <w:rFonts w:cs="David" w:hint="cs"/>
          <w:sz w:val="24"/>
          <w:szCs w:val="24"/>
          <w:rtl/>
        </w:rPr>
        <w:t>)</w:t>
      </w:r>
      <w:r w:rsidR="00BC6232" w:rsidRPr="003B03A4">
        <w:rPr>
          <w:rFonts w:cs="David" w:hint="cs"/>
          <w:sz w:val="24"/>
          <w:szCs w:val="24"/>
          <w:rtl/>
        </w:rPr>
        <w:t xml:space="preserve">. </w:t>
      </w:r>
    </w:p>
    <w:p w14:paraId="002BF448" w14:textId="32C53DC4"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תקנות שהשר רשאי לקבוע בעניין הפעלת שירות מידע על</w:t>
      </w:r>
      <w:r w:rsidR="00415627">
        <w:rPr>
          <w:rFonts w:cs="David" w:hint="cs"/>
          <w:sz w:val="24"/>
          <w:szCs w:val="24"/>
          <w:rtl/>
        </w:rPr>
        <w:t xml:space="preserve"> עוסקים לפי סעיף 60 להצעת החוק</w:t>
      </w:r>
      <w:r w:rsidR="004E01F1">
        <w:rPr>
          <w:rFonts w:cs="David" w:hint="cs"/>
          <w:sz w:val="24"/>
          <w:szCs w:val="24"/>
          <w:rtl/>
        </w:rPr>
        <w:t xml:space="preserve"> (תקנות לעניין הפעלת שירות מידע על עוסקים)</w:t>
      </w:r>
      <w:r w:rsidR="00415627">
        <w:rPr>
          <w:rFonts w:cs="David" w:hint="cs"/>
          <w:sz w:val="24"/>
          <w:szCs w:val="24"/>
          <w:rtl/>
        </w:rPr>
        <w:t>;</w:t>
      </w:r>
    </w:p>
    <w:p w14:paraId="314717BE" w14:textId="77777777" w:rsidR="00E6284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ד</w:t>
      </w:r>
      <w:r w:rsidR="00B86937" w:rsidRPr="003B03A4">
        <w:rPr>
          <w:rFonts w:cs="David" w:hint="cs"/>
          <w:sz w:val="24"/>
          <w:szCs w:val="24"/>
          <w:rtl/>
        </w:rPr>
        <w:t>יווח שנתי על היקף השימוש במאגר ועל אופי השימוש בו</w:t>
      </w:r>
      <w:r w:rsidR="00415627">
        <w:rPr>
          <w:rFonts w:cs="David" w:hint="cs"/>
          <w:sz w:val="24"/>
          <w:szCs w:val="24"/>
          <w:rtl/>
        </w:rPr>
        <w:t>;</w:t>
      </w:r>
      <w:r w:rsidR="00B86937" w:rsidRPr="003B03A4">
        <w:rPr>
          <w:rFonts w:cs="David" w:hint="cs"/>
          <w:sz w:val="24"/>
          <w:szCs w:val="24"/>
          <w:rtl/>
        </w:rPr>
        <w:t xml:space="preserve"> </w:t>
      </w:r>
    </w:p>
    <w:p w14:paraId="0F66A699" w14:textId="77777777" w:rsidR="00BC6232" w:rsidRPr="003B03A4" w:rsidRDefault="00D16713"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לא נקבע מנגנון שבוחן את </w:t>
      </w:r>
      <w:r w:rsidR="00BC6232" w:rsidRPr="003B03A4">
        <w:rPr>
          <w:rFonts w:cs="David" w:hint="cs"/>
          <w:sz w:val="24"/>
          <w:szCs w:val="24"/>
          <w:rtl/>
        </w:rPr>
        <w:t xml:space="preserve">השגת יעדי החוק </w:t>
      </w:r>
      <w:r w:rsidR="00636FBF" w:rsidRPr="003B03A4">
        <w:rPr>
          <w:rFonts w:cs="David" w:hint="cs"/>
          <w:sz w:val="24"/>
          <w:szCs w:val="24"/>
          <w:rtl/>
        </w:rPr>
        <w:t xml:space="preserve">- </w:t>
      </w:r>
      <w:r w:rsidR="00BC6232" w:rsidRPr="003B03A4">
        <w:rPr>
          <w:rFonts w:cs="David" w:hint="cs"/>
          <w:sz w:val="24"/>
          <w:szCs w:val="24"/>
          <w:rtl/>
        </w:rPr>
        <w:t xml:space="preserve">(1) גידול היצע האשראי במשק; (2) צמצום מינוף היתר של משקי הבית; (3) הקטנת שיעורי חדלות הפירעון במשק; (4) שיפור </w:t>
      </w:r>
      <w:r w:rsidR="00636FBF" w:rsidRPr="003B03A4">
        <w:rPr>
          <w:rFonts w:cs="David" w:hint="cs"/>
          <w:sz w:val="24"/>
          <w:szCs w:val="24"/>
          <w:rtl/>
        </w:rPr>
        <w:t>מוסר התשלומים.</w:t>
      </w:r>
      <w:r w:rsidRPr="003B03A4">
        <w:rPr>
          <w:rFonts w:cs="David" w:hint="cs"/>
          <w:sz w:val="24"/>
          <w:szCs w:val="24"/>
          <w:rtl/>
        </w:rPr>
        <w:t xml:space="preserve"> בהתאם גם אין מנגנון ד</w:t>
      </w:r>
      <w:r w:rsidR="00415627">
        <w:rPr>
          <w:rFonts w:cs="David" w:hint="cs"/>
          <w:sz w:val="24"/>
          <w:szCs w:val="24"/>
          <w:rtl/>
        </w:rPr>
        <w:t>יווח על השגת היעדים;</w:t>
      </w:r>
      <w:r w:rsidRPr="003B03A4">
        <w:rPr>
          <w:rFonts w:cs="David" w:hint="cs"/>
          <w:sz w:val="24"/>
          <w:szCs w:val="24"/>
          <w:rtl/>
        </w:rPr>
        <w:t xml:space="preserve"> </w:t>
      </w:r>
    </w:p>
    <w:p w14:paraId="701203E3" w14:textId="25878ECE"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אסופה של סמכויות לקביעת תקנות בעלות פועל תחיקתי (ראו סעיפים 7(ג)</w:t>
      </w:r>
      <w:r w:rsidR="004E01F1">
        <w:rPr>
          <w:rFonts w:cs="David" w:hint="cs"/>
          <w:sz w:val="24"/>
          <w:szCs w:val="24"/>
          <w:rtl/>
        </w:rPr>
        <w:t xml:space="preserve"> (רישיון שירות נתוני אשראי)</w:t>
      </w:r>
      <w:r w:rsidRPr="003B03A4">
        <w:rPr>
          <w:rFonts w:cs="David" w:hint="cs"/>
          <w:sz w:val="24"/>
          <w:szCs w:val="24"/>
          <w:rtl/>
        </w:rPr>
        <w:t>, 26(ג)</w:t>
      </w:r>
      <w:r w:rsidR="004E01F1">
        <w:rPr>
          <w:rFonts w:cs="David" w:hint="cs"/>
          <w:sz w:val="24"/>
          <w:szCs w:val="24"/>
          <w:rtl/>
        </w:rPr>
        <w:t xml:space="preserve"> (תנאים להעברת נתוני אשראי לצורך דוח אשראי)</w:t>
      </w:r>
      <w:r w:rsidRPr="003B03A4">
        <w:rPr>
          <w:rFonts w:cs="David" w:hint="cs"/>
          <w:sz w:val="24"/>
          <w:szCs w:val="24"/>
          <w:rtl/>
        </w:rPr>
        <w:t>,</w:t>
      </w:r>
      <w:r w:rsidR="005058F7" w:rsidRPr="003B03A4">
        <w:rPr>
          <w:rFonts w:cs="David" w:hint="cs"/>
          <w:sz w:val="24"/>
          <w:szCs w:val="24"/>
          <w:rtl/>
        </w:rPr>
        <w:t xml:space="preserve"> 27(א)</w:t>
      </w:r>
      <w:r w:rsidR="004E01F1">
        <w:rPr>
          <w:rFonts w:cs="David" w:hint="cs"/>
          <w:sz w:val="24"/>
          <w:szCs w:val="24"/>
          <w:rtl/>
        </w:rPr>
        <w:t xml:space="preserve"> (בקשת לקוח שלא ימסרו נתוני אשראי לגביו מהמאגר)</w:t>
      </w:r>
      <w:r w:rsidR="005058F7" w:rsidRPr="003B03A4">
        <w:rPr>
          <w:rFonts w:cs="David" w:hint="cs"/>
          <w:sz w:val="24"/>
          <w:szCs w:val="24"/>
          <w:rtl/>
        </w:rPr>
        <w:t>,</w:t>
      </w:r>
      <w:r w:rsidRPr="003B03A4">
        <w:rPr>
          <w:rFonts w:cs="David" w:hint="cs"/>
          <w:sz w:val="24"/>
          <w:szCs w:val="24"/>
          <w:rtl/>
        </w:rPr>
        <w:t xml:space="preserve"> </w:t>
      </w:r>
      <w:r w:rsidR="00B86937" w:rsidRPr="003B03A4">
        <w:rPr>
          <w:rFonts w:cs="David" w:hint="cs"/>
          <w:sz w:val="24"/>
          <w:szCs w:val="24"/>
          <w:rtl/>
        </w:rPr>
        <w:t>29(ב)</w:t>
      </w:r>
      <w:r w:rsidR="004E01F1">
        <w:rPr>
          <w:rFonts w:cs="David" w:hint="cs"/>
          <w:sz w:val="24"/>
          <w:szCs w:val="24"/>
          <w:rtl/>
        </w:rPr>
        <w:t xml:space="preserve"> (נותן אשראי המסרב להתקשר בעסקת אשראי או מרע את תנאיה בשל דוח אשראי) </w:t>
      </w:r>
      <w:r w:rsidR="00B86937" w:rsidRPr="003B03A4">
        <w:rPr>
          <w:rFonts w:cs="David" w:hint="cs"/>
          <w:sz w:val="24"/>
          <w:szCs w:val="24"/>
          <w:rtl/>
        </w:rPr>
        <w:t>, 30</w:t>
      </w:r>
      <w:r w:rsidR="004E01F1">
        <w:rPr>
          <w:rFonts w:cs="David" w:hint="cs"/>
          <w:sz w:val="24"/>
          <w:szCs w:val="24"/>
          <w:rtl/>
        </w:rPr>
        <w:t xml:space="preserve"> (דוח אשראי למי שאינו נותן אשראי)</w:t>
      </w:r>
      <w:r w:rsidR="00B86937" w:rsidRPr="003B03A4">
        <w:rPr>
          <w:rFonts w:cs="David" w:hint="cs"/>
          <w:sz w:val="24"/>
          <w:szCs w:val="24"/>
          <w:rtl/>
        </w:rPr>
        <w:t>,</w:t>
      </w:r>
      <w:r w:rsidR="005058F7" w:rsidRPr="003B03A4">
        <w:rPr>
          <w:rFonts w:cs="David" w:hint="cs"/>
          <w:sz w:val="24"/>
          <w:szCs w:val="24"/>
          <w:rtl/>
        </w:rPr>
        <w:t xml:space="preserve"> 35(א)</w:t>
      </w:r>
      <w:r w:rsidR="004E01F1">
        <w:rPr>
          <w:rFonts w:cs="David" w:hint="cs"/>
          <w:sz w:val="24"/>
          <w:szCs w:val="24"/>
          <w:rtl/>
        </w:rPr>
        <w:t xml:space="preserve"> (מתן חיווי לחברת תשתית ציבורית בדבר נקיטת אמצעי גביה)</w:t>
      </w:r>
      <w:r w:rsidR="005058F7" w:rsidRPr="003B03A4">
        <w:rPr>
          <w:rFonts w:cs="David" w:hint="cs"/>
          <w:sz w:val="24"/>
          <w:szCs w:val="24"/>
          <w:rtl/>
        </w:rPr>
        <w:t>, 44</w:t>
      </w:r>
      <w:r w:rsidR="004E01F1">
        <w:rPr>
          <w:rFonts w:cs="David" w:hint="cs"/>
          <w:sz w:val="24"/>
          <w:szCs w:val="24"/>
          <w:rtl/>
        </w:rPr>
        <w:t xml:space="preserve"> (מידע מזהה לגבי מקורות מידע)</w:t>
      </w:r>
      <w:r w:rsidR="005058F7" w:rsidRPr="003B03A4">
        <w:rPr>
          <w:rFonts w:cs="David" w:hint="cs"/>
          <w:sz w:val="24"/>
          <w:szCs w:val="24"/>
          <w:rtl/>
        </w:rPr>
        <w:t>, 45(ב)</w:t>
      </w:r>
      <w:r w:rsidR="004E01F1">
        <w:rPr>
          <w:rFonts w:cs="David" w:hint="cs"/>
          <w:sz w:val="24"/>
          <w:szCs w:val="24"/>
          <w:rtl/>
        </w:rPr>
        <w:t xml:space="preserve"> (התקופה שלגביה יימסרו נתוני אשראי)</w:t>
      </w:r>
      <w:r w:rsidR="005058F7" w:rsidRPr="003B03A4">
        <w:rPr>
          <w:rFonts w:cs="David" w:hint="cs"/>
          <w:sz w:val="24"/>
          <w:szCs w:val="24"/>
          <w:rtl/>
        </w:rPr>
        <w:t>, 47(ב)</w:t>
      </w:r>
      <w:r w:rsidR="004E01F1">
        <w:rPr>
          <w:rFonts w:cs="David" w:hint="cs"/>
          <w:sz w:val="24"/>
          <w:szCs w:val="24"/>
          <w:rtl/>
        </w:rPr>
        <w:t xml:space="preserve"> (תקופת החזקת נתוני אשראי בידי לשכת אשראי ומיופה כוח)</w:t>
      </w:r>
      <w:r w:rsidR="005058F7" w:rsidRPr="003B03A4">
        <w:rPr>
          <w:rFonts w:cs="David" w:hint="cs"/>
          <w:sz w:val="24"/>
          <w:szCs w:val="24"/>
          <w:rtl/>
        </w:rPr>
        <w:t xml:space="preserve">, </w:t>
      </w:r>
      <w:r w:rsidR="00B86937" w:rsidRPr="003B03A4">
        <w:rPr>
          <w:rFonts w:cs="David" w:hint="cs"/>
          <w:sz w:val="24"/>
          <w:szCs w:val="24"/>
          <w:rtl/>
        </w:rPr>
        <w:t>54(ב)</w:t>
      </w:r>
      <w:r w:rsidR="004E01F1">
        <w:rPr>
          <w:rFonts w:cs="David" w:hint="cs"/>
          <w:sz w:val="24"/>
          <w:szCs w:val="24"/>
          <w:rtl/>
        </w:rPr>
        <w:t xml:space="preserve"> (עדכון המידע במאגר והודעה על העדכון)</w:t>
      </w:r>
      <w:r w:rsidR="00B86937" w:rsidRPr="003B03A4">
        <w:rPr>
          <w:rFonts w:cs="David" w:hint="cs"/>
          <w:sz w:val="24"/>
          <w:szCs w:val="24"/>
          <w:rtl/>
        </w:rPr>
        <w:t>, 58(ג)</w:t>
      </w:r>
      <w:r w:rsidR="004E01F1">
        <w:rPr>
          <w:rFonts w:cs="David" w:hint="cs"/>
          <w:sz w:val="24"/>
          <w:szCs w:val="24"/>
          <w:rtl/>
        </w:rPr>
        <w:t xml:space="preserve"> (רישוי שירות מידע על עוסקים)</w:t>
      </w:r>
      <w:r w:rsidR="00B86937" w:rsidRPr="003B03A4">
        <w:rPr>
          <w:rFonts w:cs="David" w:hint="cs"/>
          <w:sz w:val="24"/>
          <w:szCs w:val="24"/>
          <w:rtl/>
        </w:rPr>
        <w:t>, 64</w:t>
      </w:r>
      <w:r w:rsidR="004E01F1">
        <w:rPr>
          <w:rFonts w:cs="David" w:hint="cs"/>
          <w:sz w:val="24"/>
          <w:szCs w:val="24"/>
          <w:rtl/>
        </w:rPr>
        <w:t xml:space="preserve"> (הוראות הממונה)</w:t>
      </w:r>
      <w:r w:rsidR="00415627">
        <w:rPr>
          <w:rFonts w:cs="David" w:hint="cs"/>
          <w:sz w:val="24"/>
          <w:szCs w:val="24"/>
          <w:rtl/>
        </w:rPr>
        <w:t>, 90(ב)</w:t>
      </w:r>
      <w:r w:rsidR="004E01F1">
        <w:rPr>
          <w:rFonts w:cs="David" w:hint="cs"/>
          <w:sz w:val="24"/>
          <w:szCs w:val="24"/>
          <w:rtl/>
        </w:rPr>
        <w:t xml:space="preserve"> (סכומים מופחתים)</w:t>
      </w:r>
      <w:r w:rsidR="00415627">
        <w:rPr>
          <w:rFonts w:cs="David" w:hint="cs"/>
          <w:sz w:val="24"/>
          <w:szCs w:val="24"/>
          <w:rtl/>
        </w:rPr>
        <w:t>;</w:t>
      </w:r>
    </w:p>
    <w:p w14:paraId="7E2C002A" w14:textId="6D5BD94E" w:rsidR="00B86937" w:rsidRPr="003B03A4" w:rsidRDefault="00B8693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הרכב הוועדה המייעצת לממונה לפי סעיף 66(ב) </w:t>
      </w:r>
      <w:r w:rsidR="00285E33">
        <w:rPr>
          <w:rFonts w:cs="David" w:hint="cs"/>
          <w:sz w:val="24"/>
          <w:szCs w:val="24"/>
          <w:rtl/>
        </w:rPr>
        <w:t xml:space="preserve">להצעת החוק (הוועדה המייעצת לעניין הוראות הממונה) </w:t>
      </w:r>
      <w:r w:rsidR="005058F7" w:rsidRPr="003B03A4">
        <w:rPr>
          <w:rFonts w:cs="David" w:hint="cs"/>
          <w:sz w:val="24"/>
          <w:szCs w:val="24"/>
          <w:rtl/>
        </w:rPr>
        <w:t xml:space="preserve">כולל משפטן עובד מדינה, נציג משרד האוצר, כלכלנים או אנשי אקדמיה בתחום השירותים הפיננסיים ומומחה אבטחת </w:t>
      </w:r>
      <w:r w:rsidR="00285E33">
        <w:rPr>
          <w:rFonts w:cs="David" w:hint="cs"/>
          <w:sz w:val="24"/>
          <w:szCs w:val="24"/>
          <w:rtl/>
        </w:rPr>
        <w:t xml:space="preserve">מידע או טכנולוגיות מידע. </w:t>
      </w:r>
      <w:r w:rsidR="00285E33" w:rsidRPr="00285E33">
        <w:rPr>
          <w:rFonts w:cs="David" w:hint="cs"/>
          <w:sz w:val="24"/>
          <w:szCs w:val="24"/>
          <w:u w:val="single"/>
          <w:rtl/>
        </w:rPr>
        <w:t>אין בהרכב הוועדה מומחה אחד להגנת הפרטיות</w:t>
      </w:r>
      <w:r w:rsidR="00285E33">
        <w:rPr>
          <w:rFonts w:cs="David" w:hint="cs"/>
          <w:sz w:val="24"/>
          <w:szCs w:val="24"/>
          <w:rtl/>
        </w:rPr>
        <w:t>!</w:t>
      </w:r>
      <w:r w:rsidR="00415627">
        <w:rPr>
          <w:rFonts w:cs="David" w:hint="cs"/>
          <w:sz w:val="24"/>
          <w:szCs w:val="24"/>
          <w:rtl/>
        </w:rPr>
        <w:t xml:space="preserve"> ;</w:t>
      </w:r>
    </w:p>
    <w:p w14:paraId="790F5041" w14:textId="1A9007BE" w:rsidR="007D3FAE" w:rsidRPr="00095315" w:rsidRDefault="006660CE" w:rsidP="009F2E9B">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tl/>
        </w:rPr>
      </w:pPr>
      <w:r w:rsidRPr="006660CE">
        <w:rPr>
          <w:rFonts w:cs="David" w:hint="cs"/>
          <w:b/>
          <w:bCs/>
          <w:sz w:val="24"/>
          <w:szCs w:val="24"/>
          <w:u w:val="single"/>
          <w:rtl/>
        </w:rPr>
        <w:t>המלצות המועצה</w:t>
      </w:r>
      <w:r>
        <w:rPr>
          <w:rFonts w:cs="David" w:hint="cs"/>
          <w:b/>
          <w:bCs/>
          <w:sz w:val="24"/>
          <w:szCs w:val="24"/>
          <w:rtl/>
        </w:rPr>
        <w:t>:</w:t>
      </w:r>
      <w:r w:rsidR="00A67641">
        <w:rPr>
          <w:rFonts w:cs="David" w:hint="cs"/>
          <w:b/>
          <w:bCs/>
          <w:sz w:val="24"/>
          <w:szCs w:val="24"/>
          <w:rtl/>
        </w:rPr>
        <w:t xml:space="preserve"> </w:t>
      </w:r>
    </w:p>
    <w:p w14:paraId="5A344378" w14:textId="5D01F62E" w:rsidR="005058F7" w:rsidRPr="00095315" w:rsidRDefault="004C27F7"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Pr>
          <w:rFonts w:cs="David" w:hint="cs"/>
          <w:b/>
          <w:bCs/>
          <w:sz w:val="24"/>
          <w:szCs w:val="24"/>
          <w:rtl/>
        </w:rPr>
        <w:t xml:space="preserve">בשל מורכבותו ורגישותו של החוק, ופגיעתו הקשה הצפויה בזכות לפרטיות, </w:t>
      </w:r>
      <w:r w:rsidR="00095315">
        <w:rPr>
          <w:rFonts w:cs="David" w:hint="cs"/>
          <w:b/>
          <w:bCs/>
          <w:sz w:val="24"/>
          <w:szCs w:val="24"/>
          <w:rtl/>
        </w:rPr>
        <w:t xml:space="preserve">על </w:t>
      </w:r>
      <w:r w:rsidR="005058F7" w:rsidRPr="00095315">
        <w:rPr>
          <w:rFonts w:cs="David" w:hint="cs"/>
          <w:b/>
          <w:bCs/>
          <w:sz w:val="24"/>
          <w:szCs w:val="24"/>
          <w:rtl/>
        </w:rPr>
        <w:t xml:space="preserve">ועדת הכלכלה </w:t>
      </w:r>
      <w:r w:rsidR="00095315">
        <w:rPr>
          <w:rFonts w:cs="David" w:hint="cs"/>
          <w:b/>
          <w:bCs/>
          <w:sz w:val="24"/>
          <w:szCs w:val="24"/>
          <w:rtl/>
        </w:rPr>
        <w:t xml:space="preserve">לקחת </w:t>
      </w:r>
      <w:r w:rsidR="005058F7" w:rsidRPr="00095315">
        <w:rPr>
          <w:rFonts w:cs="David" w:hint="cs"/>
          <w:b/>
          <w:bCs/>
          <w:sz w:val="24"/>
          <w:szCs w:val="24"/>
          <w:rtl/>
        </w:rPr>
        <w:t xml:space="preserve">חלק פעיל בבקרה </w:t>
      </w:r>
      <w:r>
        <w:rPr>
          <w:rFonts w:cs="David" w:hint="cs"/>
          <w:b/>
          <w:bCs/>
          <w:sz w:val="24"/>
          <w:szCs w:val="24"/>
          <w:rtl/>
        </w:rPr>
        <w:t xml:space="preserve">השוטפת </w:t>
      </w:r>
      <w:r w:rsidR="005058F7" w:rsidRPr="00095315">
        <w:rPr>
          <w:rFonts w:cs="David" w:hint="cs"/>
          <w:b/>
          <w:bCs/>
          <w:sz w:val="24"/>
          <w:szCs w:val="24"/>
          <w:rtl/>
        </w:rPr>
        <w:t xml:space="preserve">על יישום החוק. על </w:t>
      </w:r>
      <w:r w:rsidR="00095315">
        <w:rPr>
          <w:rFonts w:cs="David" w:hint="cs"/>
          <w:b/>
          <w:bCs/>
          <w:sz w:val="24"/>
          <w:szCs w:val="24"/>
          <w:rtl/>
        </w:rPr>
        <w:t>כלל ה</w:t>
      </w:r>
      <w:r w:rsidR="005058F7" w:rsidRPr="00095315">
        <w:rPr>
          <w:rFonts w:cs="David" w:hint="cs"/>
          <w:b/>
          <w:bCs/>
          <w:sz w:val="24"/>
          <w:szCs w:val="24"/>
          <w:rtl/>
        </w:rPr>
        <w:t>הוראות ו</w:t>
      </w:r>
      <w:r w:rsidR="00095315">
        <w:rPr>
          <w:rFonts w:cs="David" w:hint="cs"/>
          <w:b/>
          <w:bCs/>
          <w:sz w:val="24"/>
          <w:szCs w:val="24"/>
          <w:rtl/>
        </w:rPr>
        <w:t>ה</w:t>
      </w:r>
      <w:r w:rsidR="005058F7" w:rsidRPr="00095315">
        <w:rPr>
          <w:rFonts w:cs="David" w:hint="cs"/>
          <w:b/>
          <w:bCs/>
          <w:sz w:val="24"/>
          <w:szCs w:val="24"/>
          <w:rtl/>
        </w:rPr>
        <w:t>תקנות מכוח החוק לקבל את אישורה של הוועדה</w:t>
      </w:r>
      <w:r w:rsidR="007D3FAE" w:rsidRPr="00095315">
        <w:rPr>
          <w:rFonts w:cs="David" w:hint="cs"/>
          <w:b/>
          <w:bCs/>
          <w:sz w:val="24"/>
          <w:szCs w:val="24"/>
          <w:rtl/>
        </w:rPr>
        <w:t>,</w:t>
      </w:r>
      <w:r w:rsidR="005058F7" w:rsidRPr="00095315">
        <w:rPr>
          <w:rFonts w:cs="David" w:hint="cs"/>
          <w:b/>
          <w:bCs/>
          <w:sz w:val="24"/>
          <w:szCs w:val="24"/>
          <w:rtl/>
        </w:rPr>
        <w:t xml:space="preserve"> לאחר שקיימה דיון ציבורי בהן ו</w:t>
      </w:r>
      <w:r w:rsidR="00095315">
        <w:rPr>
          <w:rFonts w:cs="David" w:hint="cs"/>
          <w:b/>
          <w:bCs/>
          <w:sz w:val="24"/>
          <w:szCs w:val="24"/>
          <w:rtl/>
        </w:rPr>
        <w:t xml:space="preserve">לפי שיקול דעתה </w:t>
      </w:r>
      <w:r w:rsidR="005058F7" w:rsidRPr="00095315">
        <w:rPr>
          <w:rFonts w:cs="David" w:hint="cs"/>
          <w:b/>
          <w:bCs/>
          <w:sz w:val="24"/>
          <w:szCs w:val="24"/>
          <w:rtl/>
        </w:rPr>
        <w:t xml:space="preserve">שמעה את עמדתם של </w:t>
      </w:r>
      <w:r w:rsidR="00415627" w:rsidRPr="00095315">
        <w:rPr>
          <w:rFonts w:cs="David" w:hint="cs"/>
          <w:b/>
          <w:bCs/>
          <w:sz w:val="24"/>
          <w:szCs w:val="24"/>
          <w:rtl/>
        </w:rPr>
        <w:t>אנשי מקצוע רלבנטיים בלתי תלויים</w:t>
      </w:r>
      <w:r w:rsidR="00095315">
        <w:rPr>
          <w:rFonts w:cs="David" w:hint="cs"/>
          <w:b/>
          <w:bCs/>
          <w:sz w:val="24"/>
          <w:szCs w:val="24"/>
          <w:rtl/>
        </w:rPr>
        <w:t>. סעיף מתאים צריך להופיע בפרק ט"ו להצעת החוק (שונות), או לחילופין לצד כל סעיף המציין סמכות לקביעת תקנות או הוראות</w:t>
      </w:r>
      <w:r w:rsidR="005B15A7">
        <w:rPr>
          <w:rFonts w:cs="David" w:hint="cs"/>
          <w:b/>
          <w:bCs/>
          <w:sz w:val="24"/>
          <w:szCs w:val="24"/>
          <w:rtl/>
        </w:rPr>
        <w:t>, בראשם סעיפים:</w:t>
      </w:r>
      <w:r w:rsidR="00095315">
        <w:rPr>
          <w:rFonts w:cs="David" w:hint="cs"/>
          <w:b/>
          <w:bCs/>
          <w:sz w:val="24"/>
          <w:szCs w:val="24"/>
          <w:rtl/>
        </w:rPr>
        <w:t xml:space="preserve"> 28, 57, 60, 107</w:t>
      </w:r>
      <w:r w:rsidR="005B15A7">
        <w:rPr>
          <w:rFonts w:cs="David" w:hint="cs"/>
          <w:b/>
          <w:bCs/>
          <w:sz w:val="24"/>
          <w:szCs w:val="24"/>
          <w:rtl/>
        </w:rPr>
        <w:t xml:space="preserve"> וכן סעיפים: </w:t>
      </w:r>
      <w:r w:rsidR="005B15A7" w:rsidRPr="005B15A7">
        <w:rPr>
          <w:rFonts w:cs="David" w:hint="cs"/>
          <w:b/>
          <w:bCs/>
          <w:sz w:val="24"/>
          <w:szCs w:val="24"/>
          <w:rtl/>
        </w:rPr>
        <w:t>7(ג), 26(ג), 27(א), 29(ב), 30, 35(א), 44, 45(ב), 47(ב), 54(ב), 58(ג), 64, 90(ב)</w:t>
      </w:r>
      <w:r w:rsidR="005B15A7">
        <w:rPr>
          <w:rFonts w:cs="David" w:hint="cs"/>
          <w:b/>
          <w:bCs/>
          <w:sz w:val="24"/>
          <w:szCs w:val="24"/>
          <w:rtl/>
        </w:rPr>
        <w:t>.</w:t>
      </w:r>
      <w:r w:rsidR="005058F7" w:rsidRPr="00095315">
        <w:rPr>
          <w:rFonts w:cs="David" w:hint="cs"/>
          <w:b/>
          <w:bCs/>
          <w:sz w:val="24"/>
          <w:szCs w:val="24"/>
          <w:rtl/>
        </w:rPr>
        <w:t xml:space="preserve"> </w:t>
      </w:r>
    </w:p>
    <w:p w14:paraId="220D3BA5" w14:textId="77777777" w:rsidR="006A1FAD" w:rsidRPr="00095315" w:rsidRDefault="006A1FAD" w:rsidP="009F2E9B">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 xml:space="preserve">בדומה לחקיקה הקיימת בעניין נתוני תקשורת ונתונים ביומטריים, </w:t>
      </w:r>
      <w:r w:rsidR="005058F7" w:rsidRPr="00095315">
        <w:rPr>
          <w:rFonts w:cs="David" w:hint="cs"/>
          <w:b/>
          <w:bCs/>
          <w:sz w:val="24"/>
          <w:szCs w:val="24"/>
          <w:rtl/>
        </w:rPr>
        <w:t>על הממונה כהגדרתו בהצעת החוק להגיש ד</w:t>
      </w:r>
      <w:r w:rsidR="004369D5" w:rsidRPr="00095315">
        <w:rPr>
          <w:rFonts w:cs="David" w:hint="cs"/>
          <w:b/>
          <w:bCs/>
          <w:sz w:val="24"/>
          <w:szCs w:val="24"/>
          <w:rtl/>
        </w:rPr>
        <w:t>י</w:t>
      </w:r>
      <w:r w:rsidR="005058F7" w:rsidRPr="00095315">
        <w:rPr>
          <w:rFonts w:cs="David" w:hint="cs"/>
          <w:b/>
          <w:bCs/>
          <w:sz w:val="24"/>
          <w:szCs w:val="24"/>
          <w:rtl/>
        </w:rPr>
        <w:t xml:space="preserve">ווח </w:t>
      </w:r>
      <w:r w:rsidR="004369D5" w:rsidRPr="00095315">
        <w:rPr>
          <w:rFonts w:cs="David" w:hint="cs"/>
          <w:b/>
          <w:bCs/>
          <w:sz w:val="24"/>
          <w:szCs w:val="24"/>
          <w:rtl/>
        </w:rPr>
        <w:t xml:space="preserve">עתי </w:t>
      </w:r>
      <w:r w:rsidR="005058F7" w:rsidRPr="00095315">
        <w:rPr>
          <w:rFonts w:cs="David" w:hint="cs"/>
          <w:b/>
          <w:bCs/>
          <w:sz w:val="24"/>
          <w:szCs w:val="24"/>
          <w:rtl/>
        </w:rPr>
        <w:t>מפורט לוועדת הכלכלה, עם העתק לרשם מאגרי המידע ברשות למשפט טכנולוגיה ומידע</w:t>
      </w:r>
      <w:r w:rsidR="007D3FAE" w:rsidRPr="00095315">
        <w:rPr>
          <w:rFonts w:cs="David" w:hint="cs"/>
          <w:b/>
          <w:bCs/>
          <w:sz w:val="24"/>
          <w:szCs w:val="24"/>
          <w:rtl/>
        </w:rPr>
        <w:t xml:space="preserve">, על ביצוע החוק, יישומו, אירועי אבטחה ואירועים חריגים נוספים ופרטים נוספים </w:t>
      </w:r>
      <w:r w:rsidR="007D3FAE" w:rsidRPr="00095315">
        <w:rPr>
          <w:rFonts w:cs="David"/>
          <w:b/>
          <w:bCs/>
          <w:sz w:val="24"/>
          <w:szCs w:val="24"/>
          <w:rtl/>
        </w:rPr>
        <w:t>–</w:t>
      </w:r>
      <w:r w:rsidR="007D3FAE" w:rsidRPr="00095315">
        <w:rPr>
          <w:rFonts w:cs="David" w:hint="cs"/>
          <w:b/>
          <w:bCs/>
          <w:sz w:val="24"/>
          <w:szCs w:val="24"/>
          <w:rtl/>
        </w:rPr>
        <w:t xml:space="preserve"> הכל </w:t>
      </w:r>
      <w:r w:rsidR="00415627" w:rsidRPr="00095315">
        <w:rPr>
          <w:rFonts w:cs="David" w:hint="cs"/>
          <w:b/>
          <w:bCs/>
          <w:sz w:val="24"/>
          <w:szCs w:val="24"/>
          <w:rtl/>
        </w:rPr>
        <w:t>כפי שיפורט בהצעת החוק;</w:t>
      </w:r>
      <w:r w:rsidR="004369D5" w:rsidRPr="00095315">
        <w:rPr>
          <w:rFonts w:cs="David" w:hint="cs"/>
          <w:b/>
          <w:bCs/>
          <w:sz w:val="24"/>
          <w:szCs w:val="24"/>
          <w:rtl/>
        </w:rPr>
        <w:t xml:space="preserve"> דוח זה צריך להתפרסם לעיון הציבור.</w:t>
      </w:r>
    </w:p>
    <w:p w14:paraId="70B5F5BE" w14:textId="039A849A" w:rsidR="004D1F4A" w:rsidRPr="00095315" w:rsidRDefault="00D16713"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י</w:t>
      </w:r>
      <w:r w:rsidR="00BA7C6C" w:rsidRPr="00095315">
        <w:rPr>
          <w:rFonts w:cs="David" w:hint="cs"/>
          <w:b/>
          <w:bCs/>
          <w:sz w:val="24"/>
          <w:szCs w:val="24"/>
          <w:rtl/>
        </w:rPr>
        <w:t xml:space="preserve">ש למסד מנגנון </w:t>
      </w:r>
      <w:r w:rsidR="004369D5" w:rsidRPr="00095315">
        <w:rPr>
          <w:rFonts w:cs="David" w:hint="cs"/>
          <w:b/>
          <w:bCs/>
          <w:sz w:val="24"/>
          <w:szCs w:val="24"/>
          <w:rtl/>
        </w:rPr>
        <w:t xml:space="preserve">בקרה </w:t>
      </w:r>
      <w:r w:rsidR="00BA7C6C" w:rsidRPr="00095315">
        <w:rPr>
          <w:rFonts w:cs="David" w:hint="cs"/>
          <w:b/>
          <w:bCs/>
          <w:sz w:val="24"/>
          <w:szCs w:val="24"/>
          <w:rtl/>
        </w:rPr>
        <w:t>חיצוני שי</w:t>
      </w:r>
      <w:r w:rsidRPr="00095315">
        <w:rPr>
          <w:rFonts w:cs="David" w:hint="cs"/>
          <w:b/>
          <w:bCs/>
          <w:sz w:val="24"/>
          <w:szCs w:val="24"/>
          <w:rtl/>
        </w:rPr>
        <w:t>בחן את השגת ארבעת יעדי החוק</w:t>
      </w:r>
      <w:r w:rsidR="004D1F4A" w:rsidRPr="00095315">
        <w:rPr>
          <w:rFonts w:cs="David" w:hint="cs"/>
          <w:b/>
          <w:bCs/>
          <w:sz w:val="24"/>
          <w:szCs w:val="24"/>
          <w:rtl/>
        </w:rPr>
        <w:t xml:space="preserve"> </w:t>
      </w:r>
      <w:r w:rsidR="005B15A7">
        <w:rPr>
          <w:rFonts w:cs="David" w:hint="cs"/>
          <w:b/>
          <w:bCs/>
          <w:sz w:val="24"/>
          <w:szCs w:val="24"/>
          <w:rtl/>
        </w:rPr>
        <w:t>שהוגדרו בדברי ההסבר</w:t>
      </w:r>
      <w:r w:rsidR="005B15A7" w:rsidRPr="005B15A7">
        <w:rPr>
          <w:rFonts w:cs="David" w:hint="cs"/>
          <w:b/>
          <w:bCs/>
          <w:sz w:val="24"/>
          <w:szCs w:val="24"/>
          <w:rtl/>
        </w:rPr>
        <w:t>: (1) גידול היצע האשראי במשק; (2) צמצום מינוף היתר של משקי הבית; (3) הקטנת שיעורי חדלות הפירעון במשק;</w:t>
      </w:r>
      <w:r w:rsidR="00A67641">
        <w:rPr>
          <w:rFonts w:cs="David" w:hint="cs"/>
          <w:b/>
          <w:bCs/>
          <w:sz w:val="24"/>
          <w:szCs w:val="24"/>
          <w:rtl/>
        </w:rPr>
        <w:t xml:space="preserve"> </w:t>
      </w:r>
      <w:r w:rsidR="005B15A7" w:rsidRPr="005B15A7">
        <w:rPr>
          <w:rFonts w:cs="David" w:hint="cs"/>
          <w:b/>
          <w:bCs/>
          <w:sz w:val="24"/>
          <w:szCs w:val="24"/>
          <w:rtl/>
        </w:rPr>
        <w:t>(4) שיפור מוסר התשלומים.</w:t>
      </w:r>
      <w:r w:rsidR="005B15A7">
        <w:rPr>
          <w:rFonts w:cs="David" w:hint="cs"/>
          <w:sz w:val="24"/>
          <w:szCs w:val="24"/>
          <w:rtl/>
        </w:rPr>
        <w:t xml:space="preserve"> </w:t>
      </w:r>
      <w:r w:rsidR="005B15A7">
        <w:rPr>
          <w:rFonts w:cs="David" w:hint="cs"/>
          <w:b/>
          <w:bCs/>
          <w:sz w:val="24"/>
          <w:szCs w:val="24"/>
          <w:rtl/>
        </w:rPr>
        <w:t xml:space="preserve">בדיקת היעדים צריכה להיעשות </w:t>
      </w:r>
      <w:r w:rsidRPr="00095315">
        <w:rPr>
          <w:rFonts w:cs="David" w:hint="cs"/>
          <w:b/>
          <w:bCs/>
          <w:sz w:val="24"/>
          <w:szCs w:val="24"/>
          <w:rtl/>
        </w:rPr>
        <w:t xml:space="preserve">בהתאם למתודולוגיה שתקבל את אישורה של </w:t>
      </w:r>
      <w:r w:rsidR="00EB2BE5">
        <w:rPr>
          <w:rFonts w:cs="David" w:hint="cs"/>
          <w:b/>
          <w:bCs/>
          <w:sz w:val="24"/>
          <w:szCs w:val="24"/>
          <w:rtl/>
        </w:rPr>
        <w:t>ו</w:t>
      </w:r>
      <w:r w:rsidRPr="00095315">
        <w:rPr>
          <w:rFonts w:cs="David" w:hint="cs"/>
          <w:b/>
          <w:bCs/>
          <w:sz w:val="24"/>
          <w:szCs w:val="24"/>
          <w:rtl/>
        </w:rPr>
        <w:t xml:space="preserve">ועדת הכלכלה. בהתאם, על הגוף הבוחן </w:t>
      </w:r>
      <w:r w:rsidR="00BA7C6C" w:rsidRPr="00095315">
        <w:rPr>
          <w:rFonts w:cs="David" w:hint="cs"/>
          <w:b/>
          <w:bCs/>
          <w:sz w:val="24"/>
          <w:szCs w:val="24"/>
          <w:rtl/>
        </w:rPr>
        <w:t>להגיש לוועדה אחת לשנה את ממצאיו</w:t>
      </w:r>
      <w:r w:rsidR="00415627" w:rsidRPr="00095315">
        <w:rPr>
          <w:rFonts w:cs="David" w:hint="cs"/>
          <w:b/>
          <w:bCs/>
          <w:sz w:val="24"/>
          <w:szCs w:val="24"/>
          <w:rtl/>
        </w:rPr>
        <w:t>;</w:t>
      </w:r>
      <w:r w:rsidR="004369D5" w:rsidRPr="00095315">
        <w:rPr>
          <w:rFonts w:cs="David" w:hint="cs"/>
          <w:b/>
          <w:bCs/>
          <w:sz w:val="24"/>
          <w:szCs w:val="24"/>
          <w:rtl/>
        </w:rPr>
        <w:t xml:space="preserve"> גם דוח זה צריך להתפרסם לעיון הציבור.</w:t>
      </w:r>
      <w:r w:rsidR="00BA7C6C" w:rsidRPr="00095315">
        <w:rPr>
          <w:rFonts w:cs="David" w:hint="cs"/>
          <w:b/>
          <w:bCs/>
          <w:sz w:val="24"/>
          <w:szCs w:val="24"/>
          <w:rtl/>
        </w:rPr>
        <w:t xml:space="preserve"> </w:t>
      </w:r>
    </w:p>
    <w:p w14:paraId="0FA15AD6" w14:textId="21CA6324" w:rsidR="007D3FAE" w:rsidRDefault="007D3FAE" w:rsidP="00E0098A">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lastRenderedPageBreak/>
        <w:t>הוועדה המ</w:t>
      </w:r>
      <w:r w:rsidR="00B64A93">
        <w:rPr>
          <w:rFonts w:cs="David" w:hint="cs"/>
          <w:b/>
          <w:bCs/>
          <w:sz w:val="24"/>
          <w:szCs w:val="24"/>
          <w:rtl/>
        </w:rPr>
        <w:t>י</w:t>
      </w:r>
      <w:r w:rsidRPr="00095315">
        <w:rPr>
          <w:rFonts w:cs="David" w:hint="cs"/>
          <w:b/>
          <w:bCs/>
          <w:sz w:val="24"/>
          <w:szCs w:val="24"/>
          <w:rtl/>
        </w:rPr>
        <w:t xml:space="preserve">יעצת לממונה </w:t>
      </w:r>
      <w:r w:rsidR="00E0098A">
        <w:rPr>
          <w:rFonts w:cs="David" w:hint="cs"/>
          <w:b/>
          <w:bCs/>
          <w:sz w:val="24"/>
          <w:szCs w:val="24"/>
          <w:rtl/>
        </w:rPr>
        <w:t>ת</w:t>
      </w:r>
      <w:r w:rsidRPr="00095315">
        <w:rPr>
          <w:rFonts w:cs="David" w:hint="cs"/>
          <w:b/>
          <w:bCs/>
          <w:sz w:val="24"/>
          <w:szCs w:val="24"/>
          <w:rtl/>
        </w:rPr>
        <w:t>כלול נציג שהוא מומחה להגנת הפרטיות</w:t>
      </w:r>
      <w:r w:rsidR="00B64A93">
        <w:rPr>
          <w:rFonts w:cs="David" w:hint="cs"/>
          <w:b/>
          <w:bCs/>
          <w:sz w:val="24"/>
          <w:szCs w:val="24"/>
          <w:rtl/>
        </w:rPr>
        <w:t>.</w:t>
      </w:r>
      <w:r w:rsidR="00EB2BE5">
        <w:rPr>
          <w:rFonts w:cs="David" w:hint="cs"/>
          <w:b/>
          <w:bCs/>
          <w:sz w:val="24"/>
          <w:szCs w:val="24"/>
          <w:rtl/>
        </w:rPr>
        <w:t xml:space="preserve"> יש לתקן את הוראות סעיף 66 להצעת החוק בהתאם. </w:t>
      </w:r>
    </w:p>
    <w:p w14:paraId="3784836D" w14:textId="49193CBE" w:rsidR="006415E7" w:rsidRPr="009F2E9B" w:rsidRDefault="00EB2BE5" w:rsidP="009F2E9B">
      <w:pPr>
        <w:spacing w:before="360" w:after="120" w:line="360" w:lineRule="auto"/>
        <w:ind w:left="567" w:hanging="567"/>
        <w:jc w:val="both"/>
        <w:rPr>
          <w:rFonts w:cs="David"/>
          <w:b/>
          <w:bCs/>
          <w:sz w:val="28"/>
          <w:szCs w:val="28"/>
          <w:rtl/>
        </w:rPr>
      </w:pPr>
      <w:r w:rsidRPr="009F2E9B">
        <w:rPr>
          <w:rFonts w:cs="David" w:hint="cs"/>
          <w:b/>
          <w:bCs/>
          <w:sz w:val="28"/>
          <w:szCs w:val="28"/>
          <w:rtl/>
        </w:rPr>
        <w:t>ה</w:t>
      </w:r>
      <w:r w:rsidR="00860C7E" w:rsidRPr="009F2E9B">
        <w:rPr>
          <w:rFonts w:cs="David" w:hint="cs"/>
          <w:b/>
          <w:bCs/>
          <w:sz w:val="28"/>
          <w:szCs w:val="28"/>
          <w:rtl/>
        </w:rPr>
        <w:t>.</w:t>
      </w:r>
      <w:r w:rsidR="00860C7E" w:rsidRPr="009F2E9B">
        <w:rPr>
          <w:rFonts w:cs="David"/>
          <w:b/>
          <w:bCs/>
          <w:sz w:val="28"/>
          <w:szCs w:val="28"/>
          <w:rtl/>
        </w:rPr>
        <w:tab/>
      </w:r>
      <w:r w:rsidR="006415E7" w:rsidRPr="009F2E9B">
        <w:rPr>
          <w:rFonts w:cs="David" w:hint="cs"/>
          <w:b/>
          <w:bCs/>
          <w:sz w:val="28"/>
          <w:szCs w:val="28"/>
          <w:rtl/>
        </w:rPr>
        <w:t>שימור סמכות הפיקוח של רשם מאגרי המידע</w:t>
      </w:r>
    </w:p>
    <w:p w14:paraId="43BE1D3C" w14:textId="5319AE4F" w:rsidR="00EB2BE5" w:rsidRDefault="00EB2BE5"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יש לוודא שסמכויות הפיקוח והאכיפה של רשם מאגרי המידע ברמו"ט על המאגר </w:t>
      </w:r>
      <w:r w:rsidR="004C27F7">
        <w:rPr>
          <w:rFonts w:cs="David" w:hint="cs"/>
          <w:sz w:val="24"/>
          <w:szCs w:val="24"/>
          <w:rtl/>
        </w:rPr>
        <w:t xml:space="preserve">שיוקם לפי </w:t>
      </w:r>
      <w:r>
        <w:rPr>
          <w:rFonts w:cs="David" w:hint="cs"/>
          <w:sz w:val="24"/>
          <w:szCs w:val="24"/>
          <w:rtl/>
        </w:rPr>
        <w:t xml:space="preserve">החוק </w:t>
      </w:r>
      <w:r w:rsidR="004C27F7">
        <w:rPr>
          <w:rFonts w:cs="David" w:hint="cs"/>
          <w:sz w:val="24"/>
          <w:szCs w:val="24"/>
          <w:rtl/>
        </w:rPr>
        <w:t>לא ייפגעו</w:t>
      </w:r>
      <w:r>
        <w:rPr>
          <w:rFonts w:cs="David" w:hint="cs"/>
          <w:sz w:val="24"/>
          <w:szCs w:val="24"/>
          <w:rtl/>
        </w:rPr>
        <w:t xml:space="preserve">. העדר הוראה מפורשת בעניין זה עלול לתמוך בפרשנות לפיה חוק נתוני אשראי הינו חוק ספציפי הגובר על הוראות החוק הכללי </w:t>
      </w:r>
      <w:r>
        <w:rPr>
          <w:rFonts w:cs="David"/>
          <w:sz w:val="24"/>
          <w:szCs w:val="24"/>
          <w:rtl/>
        </w:rPr>
        <w:t>–</w:t>
      </w:r>
      <w:r>
        <w:rPr>
          <w:rFonts w:cs="David" w:hint="cs"/>
          <w:sz w:val="24"/>
          <w:szCs w:val="24"/>
          <w:rtl/>
        </w:rPr>
        <w:t xml:space="preserve"> חוק הגנת הפרטיות, התשמ"א </w:t>
      </w:r>
      <w:r>
        <w:rPr>
          <w:rFonts w:cs="David"/>
          <w:sz w:val="24"/>
          <w:szCs w:val="24"/>
          <w:rtl/>
        </w:rPr>
        <w:t>–</w:t>
      </w:r>
      <w:r>
        <w:rPr>
          <w:rFonts w:cs="David" w:hint="cs"/>
          <w:sz w:val="24"/>
          <w:szCs w:val="24"/>
          <w:rtl/>
        </w:rPr>
        <w:t xml:space="preserve"> 1981 ולפיכך שולל את סמכויות הפיקוח והאכיפה של רשם מאגרי המידע בהקשר למאגר נתוני האשראי. </w:t>
      </w:r>
    </w:p>
    <w:p w14:paraId="43EE072C" w14:textId="1B40E9B0" w:rsidR="006415E7" w:rsidRPr="00EB2BE5" w:rsidRDefault="006660CE" w:rsidP="00E0098A">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6415E7" w:rsidRPr="00EB2BE5">
        <w:rPr>
          <w:rFonts w:cs="David" w:hint="cs"/>
          <w:b/>
          <w:bCs/>
          <w:sz w:val="24"/>
          <w:szCs w:val="24"/>
          <w:rtl/>
        </w:rPr>
        <w:t xml:space="preserve">חוק </w:t>
      </w:r>
      <w:r w:rsidR="00ED7D33">
        <w:rPr>
          <w:rFonts w:cs="David" w:hint="cs"/>
          <w:b/>
          <w:bCs/>
          <w:sz w:val="24"/>
          <w:szCs w:val="24"/>
          <w:rtl/>
        </w:rPr>
        <w:t xml:space="preserve">נתוני אשראי </w:t>
      </w:r>
      <w:r w:rsidR="00E0098A">
        <w:rPr>
          <w:rFonts w:cs="David" w:hint="cs"/>
          <w:b/>
          <w:bCs/>
          <w:sz w:val="24"/>
          <w:szCs w:val="24"/>
          <w:rtl/>
        </w:rPr>
        <w:t>י</w:t>
      </w:r>
      <w:r w:rsidR="00EB2BE5" w:rsidRPr="00EB2BE5">
        <w:rPr>
          <w:rFonts w:cs="David" w:hint="cs"/>
          <w:b/>
          <w:bCs/>
          <w:sz w:val="24"/>
          <w:szCs w:val="24"/>
          <w:rtl/>
        </w:rPr>
        <w:t>כלול הורא</w:t>
      </w:r>
      <w:r w:rsidR="004C27F7">
        <w:rPr>
          <w:rFonts w:cs="David" w:hint="cs"/>
          <w:b/>
          <w:bCs/>
          <w:sz w:val="24"/>
          <w:szCs w:val="24"/>
          <w:rtl/>
        </w:rPr>
        <w:t>ת שימור דינים,</w:t>
      </w:r>
      <w:r w:rsidR="00EB2BE5" w:rsidRPr="00EB2BE5">
        <w:rPr>
          <w:rFonts w:cs="David" w:hint="cs"/>
          <w:b/>
          <w:bCs/>
          <w:sz w:val="24"/>
          <w:szCs w:val="24"/>
          <w:rtl/>
        </w:rPr>
        <w:t xml:space="preserve"> לפיה חוק </w:t>
      </w:r>
      <w:r w:rsidR="00ED7D33">
        <w:rPr>
          <w:rFonts w:cs="David" w:hint="cs"/>
          <w:b/>
          <w:bCs/>
          <w:sz w:val="24"/>
          <w:szCs w:val="24"/>
          <w:rtl/>
        </w:rPr>
        <w:t xml:space="preserve">זה </w:t>
      </w:r>
      <w:r w:rsidR="006415E7" w:rsidRPr="00EB2BE5">
        <w:rPr>
          <w:rFonts w:cs="David" w:hint="cs"/>
          <w:b/>
          <w:bCs/>
          <w:sz w:val="24"/>
          <w:szCs w:val="24"/>
          <w:rtl/>
        </w:rPr>
        <w:t>איננו פוגע בהוראות כל דין.</w:t>
      </w:r>
      <w:r w:rsidR="00EB2BE5" w:rsidRPr="00EB2BE5">
        <w:rPr>
          <w:rFonts w:cs="David" w:hint="cs"/>
          <w:b/>
          <w:bCs/>
          <w:sz w:val="24"/>
          <w:szCs w:val="24"/>
          <w:rtl/>
        </w:rPr>
        <w:t xml:space="preserve"> יש להוסיף סעיף מתאים לפרק ט"ו להצעת החוק (שונות). </w:t>
      </w:r>
    </w:p>
    <w:p w14:paraId="548A949C" w14:textId="2462F884" w:rsidR="00DE6898" w:rsidRPr="009F2E9B" w:rsidRDefault="00EB2BE5" w:rsidP="009F2E9B">
      <w:pPr>
        <w:spacing w:before="360" w:after="120" w:line="360" w:lineRule="auto"/>
        <w:ind w:left="567" w:hanging="567"/>
        <w:jc w:val="both"/>
        <w:rPr>
          <w:rFonts w:cs="David"/>
          <w:b/>
          <w:bCs/>
          <w:sz w:val="28"/>
          <w:szCs w:val="28"/>
        </w:rPr>
      </w:pPr>
      <w:r w:rsidRPr="009F2E9B">
        <w:rPr>
          <w:rFonts w:cs="David" w:hint="cs"/>
          <w:b/>
          <w:bCs/>
          <w:sz w:val="28"/>
          <w:szCs w:val="28"/>
          <w:rtl/>
        </w:rPr>
        <w:t>ו</w:t>
      </w:r>
      <w:r w:rsidR="006415E7" w:rsidRPr="009F2E9B">
        <w:rPr>
          <w:rFonts w:cs="David" w:hint="cs"/>
          <w:b/>
          <w:bCs/>
          <w:sz w:val="28"/>
          <w:szCs w:val="28"/>
          <w:rtl/>
        </w:rPr>
        <w:t>.</w:t>
      </w:r>
      <w:r w:rsidR="00B06E82" w:rsidRPr="009F2E9B">
        <w:rPr>
          <w:rFonts w:cs="David"/>
          <w:b/>
          <w:bCs/>
          <w:sz w:val="28"/>
          <w:szCs w:val="28"/>
          <w:rtl/>
        </w:rPr>
        <w:tab/>
      </w:r>
      <w:r w:rsidRPr="009F2E9B">
        <w:rPr>
          <w:rFonts w:cs="David" w:hint="cs"/>
          <w:b/>
          <w:bCs/>
          <w:sz w:val="28"/>
          <w:szCs w:val="28"/>
          <w:rtl/>
        </w:rPr>
        <w:t xml:space="preserve">יש </w:t>
      </w:r>
      <w:r w:rsidR="00DE6898" w:rsidRPr="009F2E9B">
        <w:rPr>
          <w:rFonts w:cs="David" w:hint="cs"/>
          <w:b/>
          <w:bCs/>
          <w:sz w:val="28"/>
          <w:szCs w:val="28"/>
          <w:rtl/>
        </w:rPr>
        <w:t xml:space="preserve">לקבוע את ההוראות למסירת נתונים מהמאגר </w:t>
      </w:r>
      <w:r w:rsidR="00DE6898" w:rsidRPr="009F2E9B">
        <w:rPr>
          <w:rFonts w:cs="David" w:hint="cs"/>
          <w:b/>
          <w:bCs/>
          <w:sz w:val="28"/>
          <w:szCs w:val="28"/>
          <w:u w:val="single"/>
          <w:rtl/>
        </w:rPr>
        <w:t>לפני</w:t>
      </w:r>
      <w:r w:rsidR="00DE6898" w:rsidRPr="009F2E9B">
        <w:rPr>
          <w:rFonts w:cs="David" w:hint="cs"/>
          <w:b/>
          <w:bCs/>
          <w:sz w:val="28"/>
          <w:szCs w:val="28"/>
          <w:rtl/>
        </w:rPr>
        <w:t xml:space="preserve"> תחילת פעולת המאגר</w:t>
      </w:r>
    </w:p>
    <w:p w14:paraId="7152E4EF" w14:textId="6317D1E9" w:rsidR="006415E7" w:rsidRPr="006415E7" w:rsidRDefault="006415E7" w:rsidP="009F2E9B">
      <w:pPr>
        <w:pStyle w:val="ListParagraph"/>
        <w:numPr>
          <w:ilvl w:val="0"/>
          <w:numId w:val="2"/>
        </w:numPr>
        <w:spacing w:before="120" w:after="120" w:line="360" w:lineRule="auto"/>
        <w:contextualSpacing w:val="0"/>
        <w:jc w:val="both"/>
        <w:rPr>
          <w:rFonts w:cs="David"/>
          <w:sz w:val="24"/>
          <w:szCs w:val="24"/>
        </w:rPr>
      </w:pPr>
      <w:r w:rsidRPr="006415E7">
        <w:rPr>
          <w:rFonts w:cs="David" w:hint="cs"/>
          <w:sz w:val="24"/>
          <w:szCs w:val="24"/>
          <w:rtl/>
        </w:rPr>
        <w:t xml:space="preserve">סעיף 116 להצעת החוק (תקנות ראשונות) קובע שתקנות ראשונות לפי סעיף 57(ג) (שהן תקנות בנושא אבטחת המידע) יותקנו עד יום התחילה (שנתיים מיום פרסומו לפי סעיף 115 להצעת החוק). </w:t>
      </w:r>
    </w:p>
    <w:p w14:paraId="6E386401" w14:textId="1192EED4" w:rsidR="005C2EED" w:rsidRDefault="005C2EED" w:rsidP="009F2E9B">
      <w:pPr>
        <w:pStyle w:val="ListParagraph"/>
        <w:numPr>
          <w:ilvl w:val="0"/>
          <w:numId w:val="2"/>
        </w:numPr>
        <w:spacing w:before="120" w:after="120" w:line="360" w:lineRule="auto"/>
        <w:contextualSpacing w:val="0"/>
        <w:jc w:val="both"/>
        <w:rPr>
          <w:rFonts w:cs="David"/>
          <w:sz w:val="24"/>
          <w:szCs w:val="24"/>
        </w:rPr>
      </w:pPr>
      <w:r w:rsidRPr="005C2EED">
        <w:rPr>
          <w:rFonts w:cs="David" w:hint="cs"/>
          <w:sz w:val="24"/>
          <w:szCs w:val="24"/>
          <w:rtl/>
        </w:rPr>
        <w:t xml:space="preserve">סעיף 28 להצעת החוק </w:t>
      </w:r>
      <w:r w:rsidR="009F3552">
        <w:rPr>
          <w:rFonts w:cs="David" w:hint="cs"/>
          <w:sz w:val="24"/>
          <w:szCs w:val="24"/>
          <w:rtl/>
        </w:rPr>
        <w:t xml:space="preserve">(הוראות לעניין מסירת נתוני אשראי מהמאגר) </w:t>
      </w:r>
      <w:r w:rsidRPr="005C2EED">
        <w:rPr>
          <w:rFonts w:cs="David" w:hint="cs"/>
          <w:sz w:val="24"/>
          <w:szCs w:val="24"/>
          <w:rtl/>
        </w:rPr>
        <w:t>קובע שהשר רשאי לקבוע הוראות ותנאים לעניין מסירת נתוני אשראי מהמאגר לצורך דוח אשראי.</w:t>
      </w:r>
    </w:p>
    <w:p w14:paraId="384EFFD0" w14:textId="152D2888" w:rsidR="005C2EED" w:rsidRPr="005C2EED" w:rsidRDefault="005C2EED"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הכיצד זה שסעיף 116 </w:t>
      </w:r>
      <w:r w:rsidR="009F3552">
        <w:rPr>
          <w:rFonts w:cs="David" w:hint="cs"/>
          <w:sz w:val="24"/>
          <w:szCs w:val="24"/>
          <w:rtl/>
        </w:rPr>
        <w:t xml:space="preserve">להצעת החוק </w:t>
      </w:r>
      <w:r>
        <w:rPr>
          <w:rFonts w:cs="David" w:hint="cs"/>
          <w:sz w:val="24"/>
          <w:szCs w:val="24"/>
          <w:rtl/>
        </w:rPr>
        <w:t xml:space="preserve">איננו קובע שההוראות לפי סעיף 28 </w:t>
      </w:r>
      <w:r w:rsidR="009F3552">
        <w:rPr>
          <w:rFonts w:cs="David" w:hint="cs"/>
          <w:sz w:val="24"/>
          <w:szCs w:val="24"/>
          <w:rtl/>
        </w:rPr>
        <w:t xml:space="preserve">להצעת החוק יותקנו </w:t>
      </w:r>
      <w:r>
        <w:rPr>
          <w:rFonts w:cs="David" w:hint="cs"/>
          <w:sz w:val="24"/>
          <w:szCs w:val="24"/>
          <w:rtl/>
        </w:rPr>
        <w:t>עד ליום התחילה</w:t>
      </w:r>
      <w:r w:rsidR="009F3552">
        <w:rPr>
          <w:rFonts w:cs="David" w:hint="cs"/>
          <w:sz w:val="24"/>
          <w:szCs w:val="24"/>
          <w:rtl/>
        </w:rPr>
        <w:t>?</w:t>
      </w:r>
      <w:r>
        <w:rPr>
          <w:rFonts w:cs="David" w:hint="cs"/>
          <w:sz w:val="24"/>
          <w:szCs w:val="24"/>
          <w:rtl/>
        </w:rPr>
        <w:t xml:space="preserve"> </w:t>
      </w:r>
      <w:r w:rsidR="009F3552">
        <w:rPr>
          <w:rFonts w:cs="David" w:hint="cs"/>
          <w:sz w:val="24"/>
          <w:szCs w:val="24"/>
          <w:rtl/>
        </w:rPr>
        <w:t xml:space="preserve">במלים אחרות, </w:t>
      </w:r>
      <w:r w:rsidRPr="005C2EED">
        <w:rPr>
          <w:rFonts w:cs="David" w:hint="cs"/>
          <w:sz w:val="24"/>
          <w:szCs w:val="24"/>
          <w:u w:val="single"/>
          <w:rtl/>
        </w:rPr>
        <w:t>כיצד יתחיל המאגר לפעול מבלי שתקבענה הוראות לענין מסירת נתונים ממנו</w:t>
      </w:r>
      <w:r>
        <w:rPr>
          <w:rFonts w:cs="David" w:hint="cs"/>
          <w:sz w:val="24"/>
          <w:szCs w:val="24"/>
          <w:rtl/>
        </w:rPr>
        <w:t xml:space="preserve">? </w:t>
      </w:r>
    </w:p>
    <w:p w14:paraId="36DB3938" w14:textId="2451C860" w:rsidR="004660F0" w:rsidRPr="00EB2BE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4660F0" w:rsidRPr="00EB2BE5">
        <w:rPr>
          <w:rFonts w:cs="David" w:hint="cs"/>
          <w:b/>
          <w:bCs/>
          <w:sz w:val="24"/>
          <w:szCs w:val="24"/>
          <w:rtl/>
        </w:rPr>
        <w:t xml:space="preserve">סעיף 116 </w:t>
      </w:r>
      <w:r w:rsidR="005C2EED" w:rsidRPr="00EB2BE5">
        <w:rPr>
          <w:rFonts w:cs="David" w:hint="cs"/>
          <w:b/>
          <w:bCs/>
          <w:sz w:val="24"/>
          <w:szCs w:val="24"/>
          <w:rtl/>
        </w:rPr>
        <w:t xml:space="preserve">להצעת החוק </w:t>
      </w:r>
      <w:r w:rsidR="00ED7D33">
        <w:rPr>
          <w:rFonts w:cs="David" w:hint="cs"/>
          <w:b/>
          <w:bCs/>
          <w:sz w:val="24"/>
          <w:szCs w:val="24"/>
          <w:rtl/>
        </w:rPr>
        <w:t xml:space="preserve">(תקנות ראשונות) </w:t>
      </w:r>
      <w:r w:rsidR="003A69D7">
        <w:rPr>
          <w:rFonts w:cs="David" w:hint="cs"/>
          <w:b/>
          <w:bCs/>
          <w:sz w:val="24"/>
          <w:szCs w:val="24"/>
          <w:rtl/>
        </w:rPr>
        <w:t>י</w:t>
      </w:r>
      <w:r w:rsidR="004660F0" w:rsidRPr="00EB2BE5">
        <w:rPr>
          <w:rFonts w:cs="David" w:hint="cs"/>
          <w:b/>
          <w:bCs/>
          <w:sz w:val="24"/>
          <w:szCs w:val="24"/>
          <w:rtl/>
        </w:rPr>
        <w:t xml:space="preserve">כלול חובה להתקין </w:t>
      </w:r>
      <w:r w:rsidR="003A69D7" w:rsidRPr="003A69D7">
        <w:rPr>
          <w:rFonts w:cs="David" w:hint="cs"/>
          <w:b/>
          <w:bCs/>
          <w:sz w:val="24"/>
          <w:szCs w:val="24"/>
          <w:u w:val="single"/>
          <w:rtl/>
        </w:rPr>
        <w:t>לפני</w:t>
      </w:r>
      <w:r w:rsidR="003A69D7">
        <w:rPr>
          <w:rFonts w:cs="David" w:hint="cs"/>
          <w:b/>
          <w:bCs/>
          <w:sz w:val="24"/>
          <w:szCs w:val="24"/>
          <w:rtl/>
        </w:rPr>
        <w:t xml:space="preserve"> "יום התחילה" </w:t>
      </w:r>
      <w:r w:rsidR="004660F0" w:rsidRPr="00EB2BE5">
        <w:rPr>
          <w:rFonts w:cs="David" w:hint="cs"/>
          <w:b/>
          <w:bCs/>
          <w:sz w:val="24"/>
          <w:szCs w:val="24"/>
          <w:rtl/>
        </w:rPr>
        <w:t xml:space="preserve">את ההוראות למסירת נתוני אשראי מהמאגר לפי סעיף </w:t>
      </w:r>
      <w:r w:rsidR="005C2EED" w:rsidRPr="00EB2BE5">
        <w:rPr>
          <w:rFonts w:cs="David" w:hint="cs"/>
          <w:b/>
          <w:bCs/>
          <w:sz w:val="24"/>
          <w:szCs w:val="24"/>
          <w:rtl/>
        </w:rPr>
        <w:t xml:space="preserve">28 </w:t>
      </w:r>
      <w:r w:rsidR="004660F0" w:rsidRPr="00EB2BE5">
        <w:rPr>
          <w:rFonts w:cs="David" w:hint="cs"/>
          <w:b/>
          <w:bCs/>
          <w:sz w:val="24"/>
          <w:szCs w:val="24"/>
          <w:rtl/>
        </w:rPr>
        <w:t>להצעת החוק</w:t>
      </w:r>
      <w:r w:rsidR="00ED7D33">
        <w:rPr>
          <w:rFonts w:cs="David" w:hint="cs"/>
          <w:b/>
          <w:bCs/>
          <w:sz w:val="24"/>
          <w:szCs w:val="24"/>
          <w:rtl/>
        </w:rPr>
        <w:t xml:space="preserve"> </w:t>
      </w:r>
      <w:r w:rsidR="00ED7D33" w:rsidRPr="00ED7D33">
        <w:rPr>
          <w:rFonts w:cs="David" w:hint="cs"/>
          <w:b/>
          <w:bCs/>
          <w:sz w:val="24"/>
          <w:szCs w:val="24"/>
          <w:rtl/>
        </w:rPr>
        <w:t>(הוראות לעניין מסירת נתוני אשראי מהמאגר)</w:t>
      </w:r>
      <w:r w:rsidR="004660F0" w:rsidRPr="00EB2BE5">
        <w:rPr>
          <w:rFonts w:cs="David" w:hint="cs"/>
          <w:b/>
          <w:bCs/>
          <w:sz w:val="24"/>
          <w:szCs w:val="24"/>
          <w:rtl/>
        </w:rPr>
        <w:t xml:space="preserve">. הוראות אלה חייבות לעבור את אישור ועדת הכלכלה. </w:t>
      </w:r>
    </w:p>
    <w:p w14:paraId="5655EE70" w14:textId="381B0DB8" w:rsidR="00E3451A" w:rsidRPr="003B6DA2" w:rsidRDefault="00B06E82" w:rsidP="009F2E9B">
      <w:pPr>
        <w:spacing w:before="360" w:after="120" w:line="360" w:lineRule="auto"/>
        <w:ind w:left="567" w:hanging="567"/>
        <w:jc w:val="both"/>
        <w:rPr>
          <w:rFonts w:cs="David"/>
          <w:b/>
          <w:bCs/>
          <w:sz w:val="24"/>
          <w:szCs w:val="24"/>
          <w:rtl/>
        </w:rPr>
      </w:pPr>
      <w:r w:rsidRPr="009F2E9B">
        <w:rPr>
          <w:rFonts w:cs="David" w:hint="cs"/>
          <w:b/>
          <w:bCs/>
          <w:sz w:val="28"/>
          <w:szCs w:val="28"/>
          <w:rtl/>
        </w:rPr>
        <w:t>ז</w:t>
      </w:r>
      <w:r w:rsidR="004660F0" w:rsidRPr="009F2E9B">
        <w:rPr>
          <w:rFonts w:cs="David" w:hint="cs"/>
          <w:b/>
          <w:bCs/>
          <w:sz w:val="28"/>
          <w:szCs w:val="28"/>
          <w:rtl/>
        </w:rPr>
        <w:t>.</w:t>
      </w:r>
      <w:r w:rsidRPr="009F2E9B">
        <w:rPr>
          <w:rFonts w:cs="David"/>
          <w:b/>
          <w:bCs/>
          <w:sz w:val="28"/>
          <w:szCs w:val="28"/>
          <w:rtl/>
        </w:rPr>
        <w:tab/>
      </w:r>
      <w:r w:rsidR="00B67B22" w:rsidRPr="009F2E9B">
        <w:rPr>
          <w:rFonts w:cs="David" w:hint="cs"/>
          <w:b/>
          <w:bCs/>
          <w:sz w:val="28"/>
          <w:szCs w:val="28"/>
          <w:rtl/>
        </w:rPr>
        <w:t>הצורך ב</w:t>
      </w:r>
      <w:r w:rsidR="00E3451A" w:rsidRPr="009F2E9B">
        <w:rPr>
          <w:rFonts w:cs="David" w:hint="cs"/>
          <w:b/>
          <w:bCs/>
          <w:sz w:val="28"/>
          <w:szCs w:val="28"/>
          <w:rtl/>
        </w:rPr>
        <w:t>תקופת מבחן</w:t>
      </w:r>
      <w:r w:rsidR="00E3451A" w:rsidRPr="003B6DA2">
        <w:rPr>
          <w:rFonts w:cs="David" w:hint="cs"/>
          <w:b/>
          <w:bCs/>
          <w:sz w:val="24"/>
          <w:szCs w:val="24"/>
          <w:rtl/>
        </w:rPr>
        <w:t xml:space="preserve"> </w:t>
      </w:r>
    </w:p>
    <w:p w14:paraId="39A932E7" w14:textId="77777777" w:rsidR="00E3451A" w:rsidRPr="003B03A4"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הצעת חוק נתוני אשראי, התשע"ו </w:t>
      </w:r>
      <w:r w:rsidRPr="003B03A4">
        <w:rPr>
          <w:rFonts w:cs="David"/>
          <w:sz w:val="24"/>
          <w:szCs w:val="24"/>
          <w:rtl/>
        </w:rPr>
        <w:t>–</w:t>
      </w:r>
      <w:r w:rsidRPr="003B03A4">
        <w:rPr>
          <w:rFonts w:cs="David" w:hint="cs"/>
          <w:sz w:val="24"/>
          <w:szCs w:val="24"/>
          <w:rtl/>
        </w:rPr>
        <w:t xml:space="preserve"> 2015 נועדה לשרת תכליות ברורות. כל אחת מהן ניתנת למדידה ולהערכה לאורך זמן. </w:t>
      </w:r>
    </w:p>
    <w:p w14:paraId="2B129732" w14:textId="77777777" w:rsidR="003B6DA2"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אין ספק שהפעלת המאגר נשוא הצעת החוק צפויה </w:t>
      </w:r>
      <w:r w:rsidR="00AF1832" w:rsidRPr="003B03A4">
        <w:rPr>
          <w:rFonts w:cs="David" w:hint="cs"/>
          <w:sz w:val="24"/>
          <w:szCs w:val="24"/>
          <w:rtl/>
        </w:rPr>
        <w:t>להשפיע באופ</w:t>
      </w:r>
      <w:r w:rsidR="003B6DA2">
        <w:rPr>
          <w:rFonts w:cs="David" w:hint="cs"/>
          <w:sz w:val="24"/>
          <w:szCs w:val="24"/>
          <w:rtl/>
        </w:rPr>
        <w:t>ן</w:t>
      </w:r>
      <w:r w:rsidR="00AF1832" w:rsidRPr="003B03A4">
        <w:rPr>
          <w:rFonts w:cs="David" w:hint="cs"/>
          <w:sz w:val="24"/>
          <w:szCs w:val="24"/>
          <w:rtl/>
        </w:rPr>
        <w:t xml:space="preserve"> ניכר </w:t>
      </w:r>
      <w:r w:rsidRPr="003B03A4">
        <w:rPr>
          <w:rFonts w:cs="David" w:hint="cs"/>
          <w:sz w:val="24"/>
          <w:szCs w:val="24"/>
          <w:rtl/>
        </w:rPr>
        <w:t>על אזרחי המדינה</w:t>
      </w:r>
      <w:r w:rsidR="003B6DA2">
        <w:rPr>
          <w:rFonts w:cs="David" w:hint="cs"/>
          <w:sz w:val="24"/>
          <w:szCs w:val="24"/>
          <w:rtl/>
        </w:rPr>
        <w:t>.</w:t>
      </w:r>
      <w:r w:rsidRPr="003B03A4">
        <w:rPr>
          <w:rFonts w:cs="David" w:hint="cs"/>
          <w:sz w:val="24"/>
          <w:szCs w:val="24"/>
          <w:rtl/>
        </w:rPr>
        <w:t xml:space="preserve"> </w:t>
      </w:r>
      <w:r w:rsidR="003B6DA2">
        <w:rPr>
          <w:rFonts w:cs="David" w:hint="cs"/>
          <w:sz w:val="24"/>
          <w:szCs w:val="24"/>
          <w:rtl/>
        </w:rPr>
        <w:t>בד בבד, החוק צפוי לפגוע באופן משמעותי בפרטיותם, באוטונומיה שלהם ויתכן אף שבשמם הטוב</w:t>
      </w:r>
      <w:r w:rsidR="00481DDA">
        <w:rPr>
          <w:rFonts w:cs="David" w:hint="cs"/>
          <w:sz w:val="24"/>
          <w:szCs w:val="24"/>
          <w:rtl/>
        </w:rPr>
        <w:t xml:space="preserve"> (במקרה של שימוש במידע שגוי)</w:t>
      </w:r>
      <w:r w:rsidR="003B6DA2">
        <w:rPr>
          <w:rFonts w:cs="David" w:hint="cs"/>
          <w:sz w:val="24"/>
          <w:szCs w:val="24"/>
          <w:rtl/>
        </w:rPr>
        <w:t xml:space="preserve"> ובזכותם שלא להיות מופלים לרעה. </w:t>
      </w:r>
    </w:p>
    <w:p w14:paraId="033F1363" w14:textId="3C661F25" w:rsidR="0096767A" w:rsidRDefault="0096767A" w:rsidP="009F2E9B">
      <w:pPr>
        <w:pStyle w:val="Hesber"/>
        <w:numPr>
          <w:ilvl w:val="0"/>
          <w:numId w:val="2"/>
        </w:numPr>
        <w:spacing w:before="120" w:after="120"/>
        <w:rPr>
          <w:rFonts w:cs="David"/>
          <w:sz w:val="24"/>
          <w:szCs w:val="24"/>
        </w:rPr>
      </w:pPr>
      <w:r>
        <w:rPr>
          <w:rFonts w:cs="David" w:hint="cs"/>
          <w:sz w:val="24"/>
          <w:szCs w:val="24"/>
          <w:rtl/>
        </w:rPr>
        <w:t xml:space="preserve">בע"א 6821/93 בנק המזרחי נ' מגדל כפר שיתופי, פ"ד מט(4) 221, 347, קבע בית המשפט העליון כך: </w:t>
      </w:r>
    </w:p>
    <w:p w14:paraId="25D7759D" w14:textId="77777777" w:rsidR="0096767A" w:rsidRPr="0096767A" w:rsidRDefault="009068DD" w:rsidP="009F2E9B">
      <w:pPr>
        <w:pStyle w:val="Hesber"/>
        <w:tabs>
          <w:tab w:val="left" w:pos="288"/>
          <w:tab w:val="left" w:pos="720"/>
        </w:tabs>
        <w:spacing w:before="120" w:after="120"/>
        <w:ind w:left="1134" w:right="851" w:firstLine="0"/>
        <w:rPr>
          <w:rFonts w:cs="David"/>
          <w:sz w:val="24"/>
          <w:szCs w:val="24"/>
          <w:rtl/>
        </w:rPr>
      </w:pPr>
      <w:r w:rsidRPr="0096767A">
        <w:rPr>
          <w:rFonts w:cs="David" w:hint="cs"/>
          <w:sz w:val="24"/>
          <w:szCs w:val="24"/>
          <w:rtl/>
        </w:rPr>
        <w:lastRenderedPageBreak/>
        <w:t>"</w:t>
      </w:r>
      <w:r w:rsidRPr="0096767A">
        <w:rPr>
          <w:rFonts w:cs="David"/>
          <w:b/>
          <w:bCs/>
          <w:i/>
          <w:iCs/>
          <w:sz w:val="24"/>
          <w:szCs w:val="24"/>
          <w:rtl/>
        </w:rPr>
        <w:t>אמצעי ייחשב לבעל מידתיות ראויה, אם הוא</w:t>
      </w:r>
      <w:r w:rsidRPr="0096767A">
        <w:rPr>
          <w:rFonts w:cs="David"/>
          <w:b/>
          <w:bCs/>
          <w:i/>
          <w:iCs/>
          <w:sz w:val="24"/>
          <w:szCs w:val="24"/>
        </w:rPr>
        <w:t>:</w:t>
      </w:r>
      <w:r w:rsidRPr="0096767A">
        <w:rPr>
          <w:rFonts w:cs="David"/>
          <w:b/>
          <w:bCs/>
          <w:i/>
          <w:iCs/>
          <w:sz w:val="24"/>
          <w:szCs w:val="24"/>
          <w:rtl/>
        </w:rPr>
        <w:t xml:space="preserve"> (א) קשור באופן מהותי לתכלית, קרי מבחן ההתאמה; וכן כי הוא</w:t>
      </w:r>
      <w:r w:rsidRPr="0096767A">
        <w:rPr>
          <w:rFonts w:cs="David"/>
          <w:b/>
          <w:bCs/>
          <w:i/>
          <w:iCs/>
          <w:sz w:val="24"/>
          <w:szCs w:val="24"/>
        </w:rPr>
        <w:t>,</w:t>
      </w:r>
      <w:r w:rsidRPr="0096767A">
        <w:rPr>
          <w:rFonts w:cs="David"/>
          <w:b/>
          <w:bCs/>
          <w:i/>
          <w:iCs/>
          <w:sz w:val="24"/>
          <w:szCs w:val="24"/>
          <w:rtl/>
        </w:rPr>
        <w:t xml:space="preserve"> (ב) בעל זיקה הגיונית לתכלית; וכן (ג) במערך האמצעים, לקיום המטרה אין אמצעי</w:t>
      </w:r>
      <w:r w:rsidRPr="0096767A">
        <w:rPr>
          <w:rFonts w:cs="David"/>
          <w:b/>
          <w:bCs/>
          <w:i/>
          <w:iCs/>
          <w:sz w:val="24"/>
          <w:szCs w:val="24"/>
        </w:rPr>
        <w:t xml:space="preserve"> </w:t>
      </w:r>
      <w:r w:rsidRPr="0096767A">
        <w:rPr>
          <w:rFonts w:cs="David"/>
          <w:b/>
          <w:bCs/>
          <w:i/>
          <w:iCs/>
          <w:sz w:val="24"/>
          <w:szCs w:val="24"/>
          <w:rtl/>
        </w:rPr>
        <w:t>דומה או קרוב, הנכלל בתוך מיתחם האפשרויות הסבירות, היכול להביא להשגת אותה מטרה</w:t>
      </w:r>
      <w:r w:rsidRPr="0096767A">
        <w:rPr>
          <w:rFonts w:cs="David" w:hint="cs"/>
          <w:sz w:val="24"/>
          <w:szCs w:val="24"/>
          <w:rtl/>
        </w:rPr>
        <w:t>"</w:t>
      </w:r>
      <w:r w:rsidRPr="0096767A">
        <w:rPr>
          <w:rFonts w:cs="David"/>
          <w:sz w:val="24"/>
          <w:szCs w:val="24"/>
        </w:rPr>
        <w:t>.</w:t>
      </w:r>
      <w:r w:rsidRPr="0096767A">
        <w:rPr>
          <w:rFonts w:cs="David" w:hint="cs"/>
          <w:sz w:val="24"/>
          <w:szCs w:val="24"/>
          <w:rtl/>
        </w:rPr>
        <w:t xml:space="preserve"> </w:t>
      </w:r>
    </w:p>
    <w:p w14:paraId="55C7C7CD" w14:textId="77777777" w:rsidR="009068DD" w:rsidRPr="003B03A4" w:rsidRDefault="009068DD" w:rsidP="009F2E9B">
      <w:pPr>
        <w:pStyle w:val="Hesber"/>
        <w:numPr>
          <w:ilvl w:val="0"/>
          <w:numId w:val="2"/>
        </w:numPr>
        <w:spacing w:before="120" w:after="120"/>
        <w:rPr>
          <w:rFonts w:cs="David"/>
          <w:sz w:val="24"/>
          <w:szCs w:val="24"/>
        </w:rPr>
      </w:pPr>
      <w:r w:rsidRPr="003B03A4">
        <w:rPr>
          <w:rFonts w:cs="David" w:hint="cs"/>
          <w:sz w:val="24"/>
          <w:szCs w:val="24"/>
          <w:rtl/>
        </w:rPr>
        <w:t>חובתה של המדינה לוודא ולהמשיך ולבחון את מידתיות הפגיעה בזכות לפרטיות</w:t>
      </w:r>
      <w:r w:rsidR="00481DDA">
        <w:rPr>
          <w:rFonts w:cs="David" w:hint="cs"/>
          <w:sz w:val="24"/>
          <w:szCs w:val="24"/>
          <w:rtl/>
        </w:rPr>
        <w:t xml:space="preserve"> בכל העת, גם תוך כדי השימוש במערכת</w:t>
      </w:r>
      <w:r w:rsidRPr="003B03A4">
        <w:rPr>
          <w:rFonts w:cs="David" w:hint="cs"/>
          <w:sz w:val="24"/>
          <w:szCs w:val="24"/>
          <w:rtl/>
        </w:rPr>
        <w:t xml:space="preserve">, בהתאם לסעיף 8 לחוק יסוד: כבוד האדם וחירותו ולהלכת בנק מזרחי הנ"ל. </w:t>
      </w:r>
      <w:r w:rsidR="00481DDA">
        <w:rPr>
          <w:rFonts w:cs="David" w:hint="cs"/>
          <w:sz w:val="24"/>
          <w:szCs w:val="24"/>
          <w:rtl/>
        </w:rPr>
        <w:t>מנגנוני הבקרה שהוצעו לעיל יכולים לסייע בכך.</w:t>
      </w:r>
    </w:p>
    <w:p w14:paraId="6C48E40E"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כאמור לעיל, הצעת החוק מושתתת, כך לפי דברי ההסבר, על מחקרים המצביעים על מתאם בין הוספת מידע חיובי למערכת נתוני אשראי לבין גידול בהיצע האשראי ליחידים ולצמצום חדלות הפירעון שלהם וכן ששיתוף בנתוני אשראי מגדיל משמעותית את היצע האשראי ואת יעילות מתן האשראי. לצד המחקרים האמפיריים, ספרות כלכלית תיאורטית התומכת בממצאים אלה.</w:t>
      </w:r>
      <w:r w:rsidR="00DE320A">
        <w:rPr>
          <w:rFonts w:cs="David" w:hint="cs"/>
          <w:sz w:val="24"/>
          <w:szCs w:val="24"/>
          <w:rtl/>
        </w:rPr>
        <w:t xml:space="preserve"> </w:t>
      </w:r>
    </w:p>
    <w:p w14:paraId="4361CC18"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Pr>
      </w:pPr>
      <w:r w:rsidRPr="003B03A4">
        <w:rPr>
          <w:rFonts w:cs="David" w:hint="cs"/>
          <w:sz w:val="24"/>
          <w:szCs w:val="24"/>
          <w:rtl/>
        </w:rPr>
        <w:t xml:space="preserve">אלא שאין מחקר אמפירי שנערך בארץ ושמאמת </w:t>
      </w:r>
      <w:r w:rsidR="00415627">
        <w:rPr>
          <w:rFonts w:cs="David" w:hint="cs"/>
          <w:sz w:val="24"/>
          <w:szCs w:val="24"/>
          <w:rtl/>
        </w:rPr>
        <w:t>ש</w:t>
      </w:r>
      <w:r w:rsidRPr="003B03A4">
        <w:rPr>
          <w:rFonts w:cs="David" w:hint="cs"/>
          <w:sz w:val="24"/>
          <w:szCs w:val="24"/>
          <w:rtl/>
        </w:rPr>
        <w:t xml:space="preserve">המטרות שבבסיס הצעת החוק אכן תושגנה בשוק הישראלי. מובן גם שהמאמרים התיאורטיים </w:t>
      </w:r>
      <w:r w:rsidR="003B03A4" w:rsidRPr="003B03A4">
        <w:rPr>
          <w:rFonts w:cs="David" w:hint="cs"/>
          <w:sz w:val="24"/>
          <w:szCs w:val="24"/>
          <w:rtl/>
        </w:rPr>
        <w:t xml:space="preserve">אף הם אינם תחליף לבחינה בפועל של השגת התכליות. </w:t>
      </w:r>
    </w:p>
    <w:p w14:paraId="19DF9AD9" w14:textId="1AE0D659" w:rsidR="00F63AA9" w:rsidRDefault="00F63AA9"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לפיכך נדרשת תקופה שבה תיבחן השפעת החוק על השוק בישראל</w:t>
      </w:r>
      <w:r w:rsidR="00544E2F">
        <w:rPr>
          <w:rFonts w:cs="David" w:hint="cs"/>
          <w:sz w:val="24"/>
          <w:szCs w:val="24"/>
          <w:rtl/>
        </w:rPr>
        <w:t xml:space="preserve">, שכן </w:t>
      </w:r>
      <w:r w:rsidR="00544E2F">
        <w:rPr>
          <w:rFonts w:cs="David" w:hint="cs"/>
          <w:sz w:val="24"/>
          <w:szCs w:val="24"/>
          <w:u w:val="single"/>
          <w:rtl/>
        </w:rPr>
        <w:t>חוק שמעגן פגיעה קשה בזכות חוקתית ושדרך היישום של התכלית התיאורטית שלו איננה נבדקת בפועל, הוא איננו חוק העומד בדרישת המידתיות לפי חוק יסוד: כבוד האדם וחירותו</w:t>
      </w:r>
      <w:r>
        <w:rPr>
          <w:rFonts w:cs="David" w:hint="cs"/>
          <w:sz w:val="24"/>
          <w:szCs w:val="24"/>
          <w:rtl/>
        </w:rPr>
        <w:t xml:space="preserve">. </w:t>
      </w:r>
    </w:p>
    <w:p w14:paraId="3244406A" w14:textId="77777777" w:rsidR="00F63AA9" w:rsidRDefault="00F63AA9" w:rsidP="009F2E9B">
      <w:pPr>
        <w:pStyle w:val="Hesber"/>
        <w:numPr>
          <w:ilvl w:val="0"/>
          <w:numId w:val="2"/>
        </w:numPr>
        <w:spacing w:before="120" w:after="120"/>
        <w:rPr>
          <w:rFonts w:cs="David"/>
          <w:sz w:val="24"/>
          <w:szCs w:val="24"/>
        </w:rPr>
      </w:pPr>
      <w:r w:rsidRPr="003B03A4">
        <w:rPr>
          <w:rFonts w:cs="David" w:hint="cs"/>
          <w:sz w:val="24"/>
          <w:szCs w:val="24"/>
          <w:rtl/>
        </w:rPr>
        <w:t>מתוך דברי ההסבר ל</w:t>
      </w:r>
      <w:bookmarkStart w:id="1" w:name="Title"/>
      <w:r w:rsidRPr="003B03A4">
        <w:rPr>
          <w:rFonts w:cs="David"/>
          <w:sz w:val="24"/>
          <w:szCs w:val="24"/>
          <w:rtl/>
        </w:rPr>
        <w:t>הצעת חוק הכללת אמצעי זיהוי ביומטריים במסמכי זיהוי ובמאגר מידע, התשס"ט–2009</w:t>
      </w:r>
      <w:bookmarkEnd w:id="1"/>
      <w:r w:rsidRPr="003B03A4">
        <w:rPr>
          <w:rFonts w:cs="David" w:hint="cs"/>
          <w:sz w:val="24"/>
          <w:szCs w:val="24"/>
          <w:rtl/>
        </w:rPr>
        <w:t>:</w:t>
      </w:r>
    </w:p>
    <w:p w14:paraId="7F67E437" w14:textId="77777777" w:rsidR="0096767A" w:rsidRDefault="0096767A" w:rsidP="009F2E9B">
      <w:pPr>
        <w:pStyle w:val="Hesber"/>
        <w:tabs>
          <w:tab w:val="left" w:pos="288"/>
          <w:tab w:val="left" w:pos="720"/>
        </w:tabs>
        <w:spacing w:before="120" w:after="120"/>
        <w:ind w:left="1134" w:right="851" w:firstLine="0"/>
        <w:rPr>
          <w:rFonts w:cs="David"/>
          <w:b/>
          <w:bCs/>
          <w:i/>
          <w:iCs/>
          <w:sz w:val="24"/>
          <w:szCs w:val="24"/>
          <w:rtl/>
        </w:rPr>
      </w:pPr>
      <w:r w:rsidRPr="0096767A">
        <w:rPr>
          <w:rFonts w:cs="David" w:hint="cs"/>
          <w:b/>
          <w:bCs/>
          <w:i/>
          <w:iCs/>
          <w:sz w:val="24"/>
          <w:szCs w:val="24"/>
          <w:rtl/>
        </w:rPr>
        <w:t xml:space="preserve">"עד יום תחילתו של החוק המוצע, יקבע שר הפנים בהתייעצות עם שר האוצר, בצו, תקופת מבחן לחוק. תקופת המבחן תאפשר בחינה מהימנה וקונקרטית בתנאים הקיימים במדינת ישראל, של אופן יישום החוק על כל מרכיביו, לגבי אוכלוסיות מוגדרות שייקבעו בצו, כולל היבטים ציבוריים, טכנולוגיים, תפעוליים ואלו הנוגעים להגנה על הפרטיות, זאת בטרם יוחלט על הפעלת החוק לגבי כלל התושבים. השר יקבע בצו את העניינים שייבחנו בתקופת המבחן ואת המדדים להערכת הביצועים בתקופת המבחן ו מידת ההצלחה שהושגה בה, כמו גם נושאים המחייבים הערכה מחדש או שיפורים." </w:t>
      </w:r>
    </w:p>
    <w:p w14:paraId="4FAB1DA5" w14:textId="77777777" w:rsidR="00415627" w:rsidRPr="00415627" w:rsidRDefault="00415627" w:rsidP="009F2E9B">
      <w:pPr>
        <w:pStyle w:val="Hesber"/>
        <w:tabs>
          <w:tab w:val="left" w:pos="288"/>
          <w:tab w:val="left" w:pos="720"/>
        </w:tabs>
        <w:spacing w:before="120" w:after="120"/>
        <w:ind w:left="720" w:firstLine="0"/>
        <w:rPr>
          <w:rFonts w:cs="David"/>
          <w:sz w:val="24"/>
          <w:szCs w:val="24"/>
        </w:rPr>
      </w:pPr>
      <w:r w:rsidRPr="00415627">
        <w:rPr>
          <w:rFonts w:cs="David" w:hint="cs"/>
          <w:sz w:val="24"/>
          <w:szCs w:val="24"/>
          <w:rtl/>
        </w:rPr>
        <w:t xml:space="preserve">וראו גם את ההסדר הקבוע בדבר תחולה הדרגתית ותקופת מבחן בסעיף 41 לחוק להכללת אמצעי זיהוי ביומטריים ונתוני זיהוי ביומטריים במסמכי זיהוי ובמאגר מידע, התש"ע </w:t>
      </w:r>
      <w:r w:rsidRPr="00415627">
        <w:rPr>
          <w:rFonts w:cs="David"/>
          <w:sz w:val="24"/>
          <w:szCs w:val="24"/>
          <w:rtl/>
        </w:rPr>
        <w:t>–</w:t>
      </w:r>
      <w:r w:rsidRPr="00415627">
        <w:rPr>
          <w:rFonts w:cs="David" w:hint="cs"/>
          <w:sz w:val="24"/>
          <w:szCs w:val="24"/>
          <w:rtl/>
        </w:rPr>
        <w:t xml:space="preserve"> 2009.</w:t>
      </w:r>
      <w:r>
        <w:rPr>
          <w:rFonts w:cs="David" w:hint="cs"/>
          <w:sz w:val="24"/>
          <w:szCs w:val="24"/>
          <w:rtl/>
        </w:rPr>
        <w:t xml:space="preserve"> תקופת המבחן מתקיימת בימים אלה ממש. </w:t>
      </w:r>
    </w:p>
    <w:p w14:paraId="3E8BC2A3" w14:textId="0DDC1294" w:rsidR="00544E2F" w:rsidRDefault="00544E2F" w:rsidP="009F2E9B">
      <w:pPr>
        <w:pStyle w:val="Hesber"/>
        <w:numPr>
          <w:ilvl w:val="0"/>
          <w:numId w:val="2"/>
        </w:numPr>
        <w:spacing w:before="120" w:after="120"/>
        <w:rPr>
          <w:rFonts w:cs="David"/>
          <w:sz w:val="24"/>
          <w:szCs w:val="24"/>
        </w:rPr>
      </w:pPr>
      <w:r>
        <w:rPr>
          <w:rFonts w:cs="David" w:hint="cs"/>
          <w:sz w:val="24"/>
          <w:szCs w:val="24"/>
          <w:rtl/>
        </w:rPr>
        <w:t xml:space="preserve">הסדרים </w:t>
      </w:r>
      <w:r w:rsidR="000B1F1E">
        <w:rPr>
          <w:rFonts w:cs="David" w:hint="cs"/>
          <w:sz w:val="24"/>
          <w:szCs w:val="24"/>
          <w:rtl/>
        </w:rPr>
        <w:t xml:space="preserve">בחוק </w:t>
      </w:r>
      <w:r>
        <w:rPr>
          <w:rFonts w:cs="David" w:hint="cs"/>
          <w:sz w:val="24"/>
          <w:szCs w:val="24"/>
          <w:rtl/>
        </w:rPr>
        <w:t>של "תקופות שקיעה" (</w:t>
      </w:r>
      <w:r>
        <w:rPr>
          <w:rFonts w:cs="David"/>
          <w:sz w:val="24"/>
          <w:szCs w:val="24"/>
        </w:rPr>
        <w:t>"Sunset Periods"</w:t>
      </w:r>
      <w:r w:rsidR="000B1F1E">
        <w:rPr>
          <w:rFonts w:cs="David" w:hint="cs"/>
          <w:sz w:val="24"/>
          <w:szCs w:val="24"/>
          <w:rtl/>
        </w:rPr>
        <w:t xml:space="preserve">) </w:t>
      </w:r>
      <w:r>
        <w:rPr>
          <w:rFonts w:cs="David" w:hint="cs"/>
          <w:sz w:val="24"/>
          <w:szCs w:val="24"/>
          <w:rtl/>
        </w:rPr>
        <w:t xml:space="preserve">קיימים גם בדינים זרים. אלה הוראות הקובעות שתקופת תחולת חוק מסתיימת, אלא אם חודשה לאחר דיון בנחיצותו. דוגמה ידועה להסדרים מסוג זה הוא ה </w:t>
      </w:r>
      <w:r>
        <w:rPr>
          <w:rFonts w:cs="David"/>
          <w:sz w:val="24"/>
          <w:szCs w:val="24"/>
          <w:rtl/>
        </w:rPr>
        <w:t>–</w:t>
      </w:r>
      <w:r>
        <w:rPr>
          <w:rFonts w:cs="David" w:hint="cs"/>
          <w:sz w:val="24"/>
          <w:szCs w:val="24"/>
          <w:rtl/>
        </w:rPr>
        <w:t xml:space="preserve"> </w:t>
      </w:r>
      <w:r>
        <w:rPr>
          <w:rFonts w:cs="David"/>
          <w:sz w:val="24"/>
          <w:szCs w:val="24"/>
        </w:rPr>
        <w:t>USA Patriot Act</w:t>
      </w:r>
      <w:r w:rsidR="00ED1676">
        <w:rPr>
          <w:rFonts w:cs="David" w:hint="cs"/>
          <w:sz w:val="24"/>
          <w:szCs w:val="24"/>
          <w:rtl/>
        </w:rPr>
        <w:t>.</w:t>
      </w:r>
      <w:r>
        <w:rPr>
          <w:rFonts w:cs="David" w:hint="cs"/>
          <w:sz w:val="24"/>
          <w:szCs w:val="24"/>
          <w:rtl/>
        </w:rPr>
        <w:t xml:space="preserve"> </w:t>
      </w:r>
      <w:r w:rsidR="000B1F1E">
        <w:rPr>
          <w:rFonts w:cs="David" w:hint="cs"/>
          <w:sz w:val="24"/>
          <w:szCs w:val="24"/>
          <w:rtl/>
        </w:rPr>
        <w:t xml:space="preserve">סעיף 224 בו </w:t>
      </w:r>
      <w:r>
        <w:rPr>
          <w:rFonts w:cs="David" w:hint="cs"/>
          <w:sz w:val="24"/>
          <w:szCs w:val="24"/>
          <w:rtl/>
        </w:rPr>
        <w:t xml:space="preserve">קבע </w:t>
      </w:r>
      <w:r w:rsidR="000B1F1E">
        <w:rPr>
          <w:rFonts w:cs="David" w:hint="cs"/>
          <w:sz w:val="24"/>
          <w:szCs w:val="24"/>
          <w:rtl/>
        </w:rPr>
        <w:t xml:space="preserve">שתוקפן של </w:t>
      </w:r>
      <w:r w:rsidR="000B1F1E">
        <w:rPr>
          <w:rFonts w:cs="David" w:hint="cs"/>
          <w:sz w:val="24"/>
          <w:szCs w:val="24"/>
          <w:rtl/>
        </w:rPr>
        <w:lastRenderedPageBreak/>
        <w:t xml:space="preserve">11 הוראות בחוק יפוג ב </w:t>
      </w:r>
      <w:r w:rsidR="000B1F1E">
        <w:rPr>
          <w:rFonts w:cs="David"/>
          <w:sz w:val="24"/>
          <w:szCs w:val="24"/>
          <w:rtl/>
        </w:rPr>
        <w:t>–</w:t>
      </w:r>
      <w:r w:rsidR="000B1F1E">
        <w:rPr>
          <w:rFonts w:cs="David" w:hint="cs"/>
          <w:sz w:val="24"/>
          <w:szCs w:val="24"/>
          <w:rtl/>
        </w:rPr>
        <w:t xml:space="preserve"> 31.12.2005.</w:t>
      </w:r>
      <w:r w:rsidR="000B1F1E">
        <w:rPr>
          <w:rStyle w:val="FootnoteReference"/>
          <w:rFonts w:cs="David"/>
          <w:sz w:val="24"/>
          <w:szCs w:val="24"/>
          <w:rtl/>
        </w:rPr>
        <w:footnoteReference w:id="1"/>
      </w:r>
      <w:r w:rsidR="000B1F1E">
        <w:rPr>
          <w:rFonts w:cs="David" w:hint="cs"/>
          <w:sz w:val="24"/>
          <w:szCs w:val="24"/>
          <w:rtl/>
        </w:rPr>
        <w:t xml:space="preserve"> </w:t>
      </w:r>
    </w:p>
    <w:p w14:paraId="00EA2A55" w14:textId="77777777" w:rsidR="00B06E82" w:rsidRDefault="003B03A4" w:rsidP="009F2E9B">
      <w:pPr>
        <w:pStyle w:val="Hesber"/>
        <w:numPr>
          <w:ilvl w:val="0"/>
          <w:numId w:val="2"/>
        </w:numPr>
        <w:spacing w:before="120" w:after="120"/>
        <w:rPr>
          <w:rFonts w:cs="David"/>
          <w:sz w:val="24"/>
          <w:szCs w:val="24"/>
        </w:rPr>
      </w:pPr>
      <w:r w:rsidRPr="003B03A4">
        <w:rPr>
          <w:rFonts w:cs="David" w:hint="cs"/>
          <w:sz w:val="24"/>
          <w:szCs w:val="24"/>
          <w:rtl/>
        </w:rPr>
        <w:t xml:space="preserve">הרעיון של תקופת </w:t>
      </w:r>
      <w:r w:rsidR="00F63AA9">
        <w:rPr>
          <w:rFonts w:cs="David" w:hint="cs"/>
          <w:sz w:val="24"/>
          <w:szCs w:val="24"/>
          <w:rtl/>
        </w:rPr>
        <w:t xml:space="preserve">מבחן </w:t>
      </w:r>
      <w:r w:rsidRPr="003B03A4">
        <w:rPr>
          <w:rFonts w:cs="David" w:hint="cs"/>
          <w:sz w:val="24"/>
          <w:szCs w:val="24"/>
          <w:rtl/>
        </w:rPr>
        <w:t xml:space="preserve">לחוק, </w:t>
      </w:r>
      <w:r w:rsidR="0096767A">
        <w:rPr>
          <w:rFonts w:cs="David" w:hint="cs"/>
          <w:sz w:val="24"/>
          <w:szCs w:val="24"/>
          <w:rtl/>
        </w:rPr>
        <w:t xml:space="preserve">איננו זר </w:t>
      </w:r>
      <w:r w:rsidR="00F63AA9">
        <w:rPr>
          <w:rFonts w:cs="David" w:hint="cs"/>
          <w:sz w:val="24"/>
          <w:szCs w:val="24"/>
          <w:rtl/>
        </w:rPr>
        <w:t xml:space="preserve">איפוא </w:t>
      </w:r>
      <w:r w:rsidR="00180C75">
        <w:rPr>
          <w:rFonts w:cs="David" w:hint="cs"/>
          <w:sz w:val="24"/>
          <w:szCs w:val="24"/>
          <w:rtl/>
        </w:rPr>
        <w:t>ל</w:t>
      </w:r>
      <w:r w:rsidRPr="003B03A4">
        <w:rPr>
          <w:rFonts w:cs="David" w:hint="cs"/>
          <w:sz w:val="24"/>
          <w:szCs w:val="24"/>
          <w:rtl/>
        </w:rPr>
        <w:t>דין הישראלי</w:t>
      </w:r>
      <w:r w:rsidR="00180C75">
        <w:rPr>
          <w:rFonts w:cs="David" w:hint="cs"/>
          <w:sz w:val="24"/>
          <w:szCs w:val="24"/>
          <w:rtl/>
        </w:rPr>
        <w:t xml:space="preserve"> ולדינים זרים</w:t>
      </w:r>
      <w:r w:rsidRPr="003B03A4">
        <w:rPr>
          <w:rFonts w:cs="David" w:hint="cs"/>
          <w:sz w:val="24"/>
          <w:szCs w:val="24"/>
          <w:rtl/>
        </w:rPr>
        <w:t xml:space="preserve">. </w:t>
      </w:r>
    </w:p>
    <w:p w14:paraId="1C311FF3" w14:textId="7080D0A1" w:rsidR="00B06E82" w:rsidRDefault="006660CE" w:rsidP="003A69D7">
      <w:pPr>
        <w:pStyle w:val="ListParagraph"/>
        <w:numPr>
          <w:ilvl w:val="0"/>
          <w:numId w:val="2"/>
        </w:numPr>
        <w:shd w:val="clear" w:color="auto" w:fill="D0CECE" w:themeFill="background2" w:themeFillShade="E6"/>
        <w:spacing w:before="120" w:after="120" w:line="360" w:lineRule="auto"/>
        <w:contextualSpacing w:val="0"/>
        <w:jc w:val="both"/>
        <w:rPr>
          <w:rFonts w:cs="David"/>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3A69D7">
        <w:rPr>
          <w:rFonts w:cs="David" w:hint="cs"/>
          <w:b/>
          <w:bCs/>
          <w:sz w:val="24"/>
          <w:szCs w:val="24"/>
          <w:rtl/>
        </w:rPr>
        <w:t xml:space="preserve">תיקבע </w:t>
      </w:r>
      <w:r w:rsidR="00B06E82" w:rsidRPr="00B06E82">
        <w:rPr>
          <w:rFonts w:cs="David" w:hint="cs"/>
          <w:b/>
          <w:bCs/>
          <w:sz w:val="24"/>
          <w:szCs w:val="24"/>
          <w:rtl/>
        </w:rPr>
        <w:t>תקופת מבחן לחוק. במהלך תקופת המבחן ימוסד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ו - (4) שיפור מוסר התשלומים. בדיקת היעדים צריכה להיעשות בהתאם למתודולוגיה שתקבל את אישורה של וועדת הכלכלה. בהתאם, על הגוף הבוחן להגיש לוועדה אחת לשנה את ממצאיו</w:t>
      </w:r>
      <w:r w:rsidR="00B06E82">
        <w:rPr>
          <w:rFonts w:cs="David" w:hint="cs"/>
          <w:b/>
          <w:bCs/>
          <w:sz w:val="24"/>
          <w:szCs w:val="24"/>
          <w:rtl/>
        </w:rPr>
        <w:t xml:space="preserve"> שיתפרסמו לציבור ולקראת תום התקופה את הדוח המסכם. </w:t>
      </w:r>
      <w:r w:rsidR="00B06E82" w:rsidRPr="00B06E82">
        <w:rPr>
          <w:rFonts w:cs="David" w:hint="cs"/>
          <w:b/>
          <w:bCs/>
          <w:sz w:val="24"/>
          <w:szCs w:val="24"/>
          <w:rtl/>
        </w:rPr>
        <w:t>לקראת תום התקופה תתכנס הכנסת שוב כדי לדון אם להאריך את תוקפו של החוק (</w:t>
      </w:r>
      <w:r w:rsidR="00B06E82" w:rsidRPr="00B06E82">
        <w:rPr>
          <w:rFonts w:cs="David"/>
          <w:b/>
          <w:bCs/>
          <w:sz w:val="24"/>
          <w:szCs w:val="24"/>
        </w:rPr>
        <w:t>Re-authorization</w:t>
      </w:r>
      <w:r w:rsidR="00B06E82" w:rsidRPr="00B06E82">
        <w:rPr>
          <w:rFonts w:cs="David" w:hint="cs"/>
          <w:b/>
          <w:bCs/>
          <w:sz w:val="24"/>
          <w:szCs w:val="24"/>
          <w:rtl/>
        </w:rPr>
        <w:t xml:space="preserve">) ואם כן </w:t>
      </w:r>
      <w:r w:rsidR="00B06E82" w:rsidRPr="00B06E82">
        <w:rPr>
          <w:rFonts w:cs="David"/>
          <w:b/>
          <w:bCs/>
          <w:sz w:val="24"/>
          <w:szCs w:val="24"/>
          <w:rtl/>
        </w:rPr>
        <w:t>–</w:t>
      </w:r>
      <w:r w:rsidR="00B06E82" w:rsidRPr="00B06E82">
        <w:rPr>
          <w:rFonts w:cs="David" w:hint="cs"/>
          <w:b/>
          <w:bCs/>
          <w:sz w:val="24"/>
          <w:szCs w:val="24"/>
          <w:rtl/>
        </w:rPr>
        <w:t xml:space="preserve"> עם או ללא מגבלת זמן נוספת.</w:t>
      </w:r>
      <w:r w:rsidR="00B06E82">
        <w:rPr>
          <w:rFonts w:cs="David" w:hint="cs"/>
          <w:sz w:val="24"/>
          <w:szCs w:val="24"/>
          <w:rtl/>
        </w:rPr>
        <w:t xml:space="preserve"> </w:t>
      </w:r>
    </w:p>
    <w:p w14:paraId="0F40FD5C" w14:textId="07ECD8AA" w:rsidR="00180C75" w:rsidRPr="009F2E9B" w:rsidRDefault="00B06E82" w:rsidP="009F2E9B">
      <w:pPr>
        <w:spacing w:before="360" w:after="120" w:line="360" w:lineRule="auto"/>
        <w:ind w:left="567" w:hanging="567"/>
        <w:jc w:val="both"/>
        <w:rPr>
          <w:rFonts w:cs="David"/>
          <w:b/>
          <w:bCs/>
          <w:sz w:val="28"/>
          <w:szCs w:val="28"/>
          <w:rtl/>
        </w:rPr>
      </w:pPr>
      <w:r w:rsidRPr="009F2E9B">
        <w:rPr>
          <w:rFonts w:cs="David" w:hint="cs"/>
          <w:b/>
          <w:bCs/>
          <w:sz w:val="28"/>
          <w:szCs w:val="28"/>
          <w:rtl/>
        </w:rPr>
        <w:t>ח</w:t>
      </w:r>
      <w:r w:rsidR="00180C75" w:rsidRPr="009F2E9B">
        <w:rPr>
          <w:rFonts w:cs="David" w:hint="cs"/>
          <w:b/>
          <w:bCs/>
          <w:sz w:val="28"/>
          <w:szCs w:val="28"/>
          <w:rtl/>
        </w:rPr>
        <w:t>.</w:t>
      </w:r>
      <w:r w:rsidRPr="009F2E9B">
        <w:rPr>
          <w:rFonts w:cs="David"/>
          <w:b/>
          <w:bCs/>
          <w:sz w:val="28"/>
          <w:szCs w:val="28"/>
          <w:rtl/>
        </w:rPr>
        <w:tab/>
      </w:r>
      <w:r w:rsidR="00C872BC">
        <w:rPr>
          <w:rFonts w:cs="David" w:hint="cs"/>
          <w:b/>
          <w:bCs/>
          <w:sz w:val="28"/>
          <w:szCs w:val="28"/>
          <w:rtl/>
        </w:rPr>
        <w:t xml:space="preserve">יש להגן ולאבטח </w:t>
      </w:r>
      <w:r w:rsidR="00180C75" w:rsidRPr="009F2E9B">
        <w:rPr>
          <w:rFonts w:cs="David" w:hint="cs"/>
          <w:b/>
          <w:bCs/>
          <w:sz w:val="28"/>
          <w:szCs w:val="28"/>
          <w:rtl/>
        </w:rPr>
        <w:t>מידע לא מזוהה</w:t>
      </w:r>
      <w:r w:rsidR="00875BFD" w:rsidRPr="009F2E9B">
        <w:rPr>
          <w:rFonts w:cs="David" w:hint="cs"/>
          <w:b/>
          <w:bCs/>
          <w:sz w:val="28"/>
          <w:szCs w:val="28"/>
          <w:rtl/>
        </w:rPr>
        <w:t xml:space="preserve"> (לכאורה)</w:t>
      </w:r>
      <w:r w:rsidR="00C872BC">
        <w:rPr>
          <w:rFonts w:cs="David" w:hint="cs"/>
          <w:b/>
          <w:bCs/>
          <w:sz w:val="28"/>
          <w:szCs w:val="28"/>
          <w:rtl/>
        </w:rPr>
        <w:t xml:space="preserve"> כראוי</w:t>
      </w:r>
    </w:p>
    <w:p w14:paraId="509233AD" w14:textId="77777777" w:rsidR="00FF5B1A" w:rsidRDefault="00180C75" w:rsidP="009F2E9B">
      <w:pPr>
        <w:pStyle w:val="Hesber"/>
        <w:numPr>
          <w:ilvl w:val="0"/>
          <w:numId w:val="2"/>
        </w:numPr>
        <w:spacing w:before="120" w:after="120"/>
        <w:rPr>
          <w:rFonts w:cs="David"/>
          <w:sz w:val="24"/>
          <w:szCs w:val="24"/>
        </w:rPr>
      </w:pPr>
      <w:r>
        <w:rPr>
          <w:rFonts w:cs="David" w:hint="cs"/>
          <w:sz w:val="24"/>
          <w:szCs w:val="24"/>
          <w:rtl/>
        </w:rPr>
        <w:t xml:space="preserve">מחקרים מודרנים חותרים תחת האמונה באנונימיזציה ככלי להגנת הפרטיות. חוקרים הצליחו להראות לא פעם כיצד זיהו מחדש בני אדם אינדיבידואלים מתוך מידע אנונימי לכאורה. </w:t>
      </w:r>
    </w:p>
    <w:p w14:paraId="19879585" w14:textId="77777777" w:rsidR="00FF5B1A" w:rsidRDefault="00FF5B1A" w:rsidP="00FF5B1A">
      <w:pPr>
        <w:pStyle w:val="Hesber"/>
        <w:numPr>
          <w:ilvl w:val="0"/>
          <w:numId w:val="2"/>
        </w:numPr>
        <w:spacing w:before="120" w:after="120"/>
        <w:rPr>
          <w:rFonts w:cs="David"/>
          <w:sz w:val="24"/>
          <w:szCs w:val="24"/>
        </w:rPr>
      </w:pPr>
      <w:r>
        <w:rPr>
          <w:rFonts w:cs="David" w:hint="cs"/>
          <w:sz w:val="24"/>
          <w:szCs w:val="24"/>
          <w:rtl/>
        </w:rPr>
        <w:t>הכשלון של האנונימיות הוא איפוא עובדה ידועה ומוצקה למדי.</w:t>
      </w:r>
      <w:r>
        <w:rPr>
          <w:rStyle w:val="FootnoteReference"/>
          <w:rFonts w:cs="David"/>
          <w:sz w:val="24"/>
          <w:szCs w:val="24"/>
          <w:rtl/>
        </w:rPr>
        <w:footnoteReference w:id="2"/>
      </w:r>
    </w:p>
    <w:p w14:paraId="790C6ADD" w14:textId="6A036EE3" w:rsidR="00FF5B1A" w:rsidRDefault="00FF5B1A" w:rsidP="00FF5B1A">
      <w:pPr>
        <w:pStyle w:val="Hesber"/>
        <w:numPr>
          <w:ilvl w:val="0"/>
          <w:numId w:val="2"/>
        </w:numPr>
        <w:spacing w:before="120" w:after="120"/>
        <w:rPr>
          <w:rFonts w:cs="David"/>
          <w:sz w:val="24"/>
          <w:szCs w:val="24"/>
        </w:rPr>
      </w:pPr>
      <w:r>
        <w:rPr>
          <w:rFonts w:cs="David" w:hint="cs"/>
          <w:sz w:val="24"/>
          <w:szCs w:val="24"/>
          <w:rtl/>
        </w:rPr>
        <w:t>באופן ספציפי, בעניין נתוני האשראי, ישנן עדויות מצטברות המצביעות</w:t>
      </w:r>
      <w:r w:rsidRPr="00062401">
        <w:rPr>
          <w:rFonts w:cs="David"/>
          <w:sz w:val="24"/>
          <w:szCs w:val="24"/>
          <w:rtl/>
        </w:rPr>
        <w:t xml:space="preserve">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היכולת</w:t>
      </w:r>
      <w:r w:rsidRPr="00062401">
        <w:rPr>
          <w:rFonts w:cs="David"/>
          <w:sz w:val="24"/>
          <w:szCs w:val="24"/>
          <w:rtl/>
        </w:rPr>
        <w:t xml:space="preserve"> </w:t>
      </w:r>
      <w:r>
        <w:rPr>
          <w:rFonts w:cs="David" w:hint="cs"/>
          <w:sz w:val="24"/>
          <w:szCs w:val="24"/>
          <w:rtl/>
        </w:rPr>
        <w:t xml:space="preserve">לזיהוי מחדש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סמך</w:t>
      </w:r>
      <w:r w:rsidRPr="00062401">
        <w:rPr>
          <w:rFonts w:cs="David"/>
          <w:sz w:val="24"/>
          <w:szCs w:val="24"/>
          <w:rtl/>
        </w:rPr>
        <w:t xml:space="preserve"> </w:t>
      </w:r>
      <w:r>
        <w:rPr>
          <w:rFonts w:cs="David" w:hint="cs"/>
          <w:sz w:val="24"/>
          <w:szCs w:val="24"/>
          <w:rtl/>
        </w:rPr>
        <w:t>נתוני פעולות פיננסיות</w:t>
      </w:r>
      <w:r w:rsidRPr="00062401">
        <w:rPr>
          <w:rFonts w:cs="David"/>
          <w:sz w:val="24"/>
          <w:szCs w:val="24"/>
          <w:rtl/>
        </w:rPr>
        <w:t xml:space="preserve"> </w:t>
      </w:r>
      <w:r w:rsidRPr="00062401">
        <w:rPr>
          <w:rFonts w:cs="David" w:hint="cs"/>
          <w:sz w:val="24"/>
          <w:szCs w:val="24"/>
          <w:rtl/>
        </w:rPr>
        <w:t>גם</w:t>
      </w:r>
      <w:r w:rsidRPr="00062401">
        <w:rPr>
          <w:rFonts w:cs="David"/>
          <w:sz w:val="24"/>
          <w:szCs w:val="24"/>
          <w:rtl/>
        </w:rPr>
        <w:t xml:space="preserve"> </w:t>
      </w:r>
      <w:r w:rsidRPr="00062401">
        <w:rPr>
          <w:rFonts w:cs="David" w:hint="cs"/>
          <w:sz w:val="24"/>
          <w:szCs w:val="24"/>
          <w:rtl/>
        </w:rPr>
        <w:t>כאשר</w:t>
      </w:r>
      <w:r w:rsidRPr="00062401">
        <w:rPr>
          <w:rFonts w:cs="David"/>
          <w:sz w:val="24"/>
          <w:szCs w:val="24"/>
          <w:rtl/>
        </w:rPr>
        <w:t xml:space="preserve"> </w:t>
      </w:r>
      <w:r w:rsidRPr="00062401">
        <w:rPr>
          <w:rFonts w:cs="David" w:hint="cs"/>
          <w:sz w:val="24"/>
          <w:szCs w:val="24"/>
          <w:rtl/>
        </w:rPr>
        <w:t>הנתונים</w:t>
      </w:r>
      <w:r w:rsidRPr="00062401">
        <w:rPr>
          <w:rFonts w:cs="David"/>
          <w:sz w:val="24"/>
          <w:szCs w:val="24"/>
          <w:rtl/>
        </w:rPr>
        <w:t xml:space="preserve"> </w:t>
      </w:r>
      <w:r>
        <w:rPr>
          <w:rFonts w:cs="David" w:hint="cs"/>
          <w:sz w:val="24"/>
          <w:szCs w:val="24"/>
          <w:rtl/>
        </w:rPr>
        <w:t>מסוכמים באופנים סטטיסטיים</w:t>
      </w:r>
      <w:r w:rsidRPr="00062401">
        <w:rPr>
          <w:rFonts w:cs="David"/>
          <w:sz w:val="24"/>
          <w:szCs w:val="24"/>
          <w:rtl/>
        </w:rPr>
        <w:t xml:space="preserve"> </w:t>
      </w:r>
      <w:r w:rsidRPr="00062401">
        <w:rPr>
          <w:rFonts w:cs="David" w:hint="cs"/>
          <w:sz w:val="24"/>
          <w:szCs w:val="24"/>
          <w:rtl/>
        </w:rPr>
        <w:t>שונים</w:t>
      </w:r>
      <w:r w:rsidRPr="00062401">
        <w:rPr>
          <w:rFonts w:cs="David"/>
          <w:sz w:val="24"/>
          <w:szCs w:val="24"/>
          <w:rtl/>
        </w:rPr>
        <w:t>.</w:t>
      </w:r>
      <w:r>
        <w:rPr>
          <w:rStyle w:val="FootnoteReference"/>
          <w:rFonts w:cs="David"/>
          <w:sz w:val="24"/>
          <w:szCs w:val="24"/>
          <w:rtl/>
        </w:rPr>
        <w:footnoteReference w:id="3"/>
      </w:r>
      <w:r w:rsidRPr="00062401">
        <w:rPr>
          <w:rFonts w:cs="David"/>
          <w:sz w:val="24"/>
          <w:szCs w:val="24"/>
          <w:rtl/>
        </w:rPr>
        <w:t xml:space="preserve"> </w:t>
      </w:r>
      <w:r w:rsidRPr="00062401">
        <w:rPr>
          <w:rFonts w:cs="David" w:hint="cs"/>
          <w:sz w:val="24"/>
          <w:szCs w:val="24"/>
          <w:rtl/>
        </w:rPr>
        <w:t>לפיכך</w:t>
      </w:r>
      <w:r w:rsidRPr="00062401">
        <w:rPr>
          <w:rFonts w:cs="David"/>
          <w:sz w:val="24"/>
          <w:szCs w:val="24"/>
          <w:rtl/>
        </w:rPr>
        <w:t xml:space="preserve">, </w:t>
      </w:r>
      <w:r w:rsidRPr="00062401">
        <w:rPr>
          <w:rFonts w:cs="David" w:hint="cs"/>
          <w:sz w:val="24"/>
          <w:szCs w:val="24"/>
          <w:rtl/>
        </w:rPr>
        <w:t>ניתן</w:t>
      </w:r>
      <w:r w:rsidRPr="00062401">
        <w:rPr>
          <w:rFonts w:cs="David"/>
          <w:sz w:val="24"/>
          <w:szCs w:val="24"/>
          <w:rtl/>
        </w:rPr>
        <w:t xml:space="preserve"> </w:t>
      </w:r>
      <w:r w:rsidRPr="00062401">
        <w:rPr>
          <w:rFonts w:cs="David" w:hint="cs"/>
          <w:sz w:val="24"/>
          <w:szCs w:val="24"/>
          <w:rtl/>
        </w:rPr>
        <w:t>להסיק</w:t>
      </w:r>
      <w:r w:rsidRPr="00062401">
        <w:rPr>
          <w:rFonts w:cs="David"/>
          <w:sz w:val="24"/>
          <w:szCs w:val="24"/>
          <w:rtl/>
        </w:rPr>
        <w:t xml:space="preserve"> </w:t>
      </w:r>
      <w:r w:rsidRPr="00062401">
        <w:rPr>
          <w:rFonts w:cs="David" w:hint="cs"/>
          <w:sz w:val="24"/>
          <w:szCs w:val="24"/>
          <w:rtl/>
        </w:rPr>
        <w:t>במידה</w:t>
      </w:r>
      <w:r w:rsidRPr="00062401">
        <w:rPr>
          <w:rFonts w:cs="David"/>
          <w:sz w:val="24"/>
          <w:szCs w:val="24"/>
          <w:rtl/>
        </w:rPr>
        <w:t xml:space="preserve"> </w:t>
      </w:r>
      <w:r w:rsidRPr="00062401">
        <w:rPr>
          <w:rFonts w:cs="David" w:hint="cs"/>
          <w:sz w:val="24"/>
          <w:szCs w:val="24"/>
          <w:rtl/>
        </w:rPr>
        <w:t>רבה</w:t>
      </w:r>
      <w:r w:rsidRPr="00062401">
        <w:rPr>
          <w:rFonts w:cs="David"/>
          <w:sz w:val="24"/>
          <w:szCs w:val="24"/>
          <w:rtl/>
        </w:rPr>
        <w:t xml:space="preserve"> </w:t>
      </w:r>
      <w:r w:rsidRPr="00062401">
        <w:rPr>
          <w:rFonts w:cs="David" w:hint="cs"/>
          <w:sz w:val="24"/>
          <w:szCs w:val="24"/>
          <w:rtl/>
        </w:rPr>
        <w:t>של</w:t>
      </w:r>
      <w:r w:rsidRPr="00062401">
        <w:rPr>
          <w:rFonts w:cs="David"/>
          <w:sz w:val="24"/>
          <w:szCs w:val="24"/>
          <w:rtl/>
        </w:rPr>
        <w:t xml:space="preserve"> </w:t>
      </w:r>
      <w:r w:rsidRPr="00062401">
        <w:rPr>
          <w:rFonts w:cs="David" w:hint="cs"/>
          <w:sz w:val="24"/>
          <w:szCs w:val="24"/>
          <w:rtl/>
        </w:rPr>
        <w:t>ודאות</w:t>
      </w:r>
      <w:r w:rsidRPr="00062401">
        <w:rPr>
          <w:rFonts w:cs="David"/>
          <w:sz w:val="24"/>
          <w:szCs w:val="24"/>
          <w:rtl/>
        </w:rPr>
        <w:t xml:space="preserve"> </w:t>
      </w:r>
      <w:r w:rsidRPr="00062401">
        <w:rPr>
          <w:rFonts w:cs="David" w:hint="cs"/>
          <w:sz w:val="24"/>
          <w:szCs w:val="24"/>
          <w:rtl/>
        </w:rPr>
        <w:t>כי</w:t>
      </w:r>
      <w:r w:rsidRPr="00062401">
        <w:rPr>
          <w:rFonts w:cs="David"/>
          <w:sz w:val="24"/>
          <w:szCs w:val="24"/>
          <w:rtl/>
        </w:rPr>
        <w:t xml:space="preserve"> </w:t>
      </w:r>
      <w:r w:rsidRPr="00062401">
        <w:rPr>
          <w:rFonts w:cs="David" w:hint="cs"/>
          <w:sz w:val="24"/>
          <w:szCs w:val="24"/>
          <w:rtl/>
        </w:rPr>
        <w:t>בעזרת</w:t>
      </w:r>
      <w:r w:rsidRPr="00062401">
        <w:rPr>
          <w:rFonts w:cs="David"/>
          <w:sz w:val="24"/>
          <w:szCs w:val="24"/>
          <w:rtl/>
        </w:rPr>
        <w:t xml:space="preserve"> </w:t>
      </w:r>
      <w:r w:rsidRPr="00062401">
        <w:rPr>
          <w:rFonts w:cs="David" w:hint="cs"/>
          <w:sz w:val="24"/>
          <w:szCs w:val="24"/>
          <w:rtl/>
        </w:rPr>
        <w:t>מידע</w:t>
      </w:r>
      <w:r w:rsidRPr="00062401">
        <w:rPr>
          <w:rFonts w:cs="David"/>
          <w:sz w:val="24"/>
          <w:szCs w:val="24"/>
          <w:rtl/>
        </w:rPr>
        <w:t xml:space="preserve"> </w:t>
      </w:r>
      <w:r w:rsidRPr="00062401">
        <w:rPr>
          <w:rFonts w:cs="David" w:hint="cs"/>
          <w:sz w:val="24"/>
          <w:szCs w:val="24"/>
          <w:rtl/>
        </w:rPr>
        <w:t>פיננסי</w:t>
      </w:r>
      <w:r w:rsidRPr="00062401">
        <w:rPr>
          <w:rFonts w:cs="David"/>
          <w:sz w:val="24"/>
          <w:szCs w:val="24"/>
          <w:rtl/>
        </w:rPr>
        <w:t xml:space="preserve"> </w:t>
      </w:r>
      <w:r w:rsidRPr="00062401">
        <w:rPr>
          <w:rFonts w:cs="David" w:hint="cs"/>
          <w:sz w:val="24"/>
          <w:szCs w:val="24"/>
          <w:rtl/>
        </w:rPr>
        <w:t>נוסף</w:t>
      </w:r>
      <w:r w:rsidRPr="00062401">
        <w:rPr>
          <w:rFonts w:cs="David"/>
          <w:sz w:val="24"/>
          <w:szCs w:val="24"/>
          <w:rtl/>
        </w:rPr>
        <w:t xml:space="preserve">, </w:t>
      </w:r>
      <w:r w:rsidRPr="00062401">
        <w:rPr>
          <w:rFonts w:cs="David" w:hint="cs"/>
          <w:sz w:val="24"/>
          <w:szCs w:val="24"/>
          <w:rtl/>
        </w:rPr>
        <w:t>יהיה</w:t>
      </w:r>
      <w:r w:rsidRPr="00062401">
        <w:rPr>
          <w:rFonts w:cs="David"/>
          <w:sz w:val="24"/>
          <w:szCs w:val="24"/>
          <w:rtl/>
        </w:rPr>
        <w:t xml:space="preserve"> </w:t>
      </w:r>
      <w:r w:rsidRPr="00062401">
        <w:rPr>
          <w:rFonts w:cs="David" w:hint="cs"/>
          <w:sz w:val="24"/>
          <w:szCs w:val="24"/>
          <w:rtl/>
        </w:rPr>
        <w:t>אפשר</w:t>
      </w:r>
      <w:r w:rsidRPr="00062401">
        <w:rPr>
          <w:rFonts w:cs="David"/>
          <w:sz w:val="24"/>
          <w:szCs w:val="24"/>
          <w:rtl/>
        </w:rPr>
        <w:t xml:space="preserve"> </w:t>
      </w:r>
      <w:r w:rsidRPr="00062401">
        <w:rPr>
          <w:rFonts w:cs="David" w:hint="cs"/>
          <w:sz w:val="24"/>
          <w:szCs w:val="24"/>
          <w:rtl/>
        </w:rPr>
        <w:t>לזהות</w:t>
      </w:r>
      <w:r w:rsidRPr="00062401">
        <w:rPr>
          <w:rFonts w:cs="David"/>
          <w:sz w:val="24"/>
          <w:szCs w:val="24"/>
          <w:rtl/>
        </w:rPr>
        <w:t xml:space="preserve"> </w:t>
      </w:r>
      <w:r w:rsidRPr="00062401">
        <w:rPr>
          <w:rFonts w:cs="David" w:hint="cs"/>
          <w:sz w:val="24"/>
          <w:szCs w:val="24"/>
          <w:rtl/>
        </w:rPr>
        <w:t>מחדש</w:t>
      </w:r>
      <w:r w:rsidRPr="00062401">
        <w:rPr>
          <w:rFonts w:cs="David"/>
          <w:sz w:val="24"/>
          <w:szCs w:val="24"/>
          <w:rtl/>
        </w:rPr>
        <w:t xml:space="preserve"> </w:t>
      </w:r>
      <w:r w:rsidRPr="00062401">
        <w:rPr>
          <w:rFonts w:cs="David" w:hint="cs"/>
          <w:sz w:val="24"/>
          <w:szCs w:val="24"/>
          <w:rtl/>
        </w:rPr>
        <w:t>את</w:t>
      </w:r>
      <w:r w:rsidRPr="00062401">
        <w:rPr>
          <w:rFonts w:cs="David"/>
          <w:sz w:val="24"/>
          <w:szCs w:val="24"/>
          <w:rtl/>
        </w:rPr>
        <w:t xml:space="preserve"> </w:t>
      </w:r>
      <w:r w:rsidRPr="00062401">
        <w:rPr>
          <w:rFonts w:cs="David" w:hint="cs"/>
          <w:sz w:val="24"/>
          <w:szCs w:val="24"/>
          <w:rtl/>
        </w:rPr>
        <w:t>המשתתפים</w:t>
      </w:r>
      <w:r w:rsidRPr="00062401">
        <w:rPr>
          <w:rFonts w:cs="David"/>
          <w:sz w:val="24"/>
          <w:szCs w:val="24"/>
          <w:rtl/>
        </w:rPr>
        <w:t xml:space="preserve"> </w:t>
      </w:r>
      <w:r w:rsidRPr="00062401">
        <w:rPr>
          <w:rFonts w:cs="David" w:hint="cs"/>
          <w:sz w:val="24"/>
          <w:szCs w:val="24"/>
          <w:rtl/>
        </w:rPr>
        <w:t>במאגר</w:t>
      </w:r>
      <w:r>
        <w:rPr>
          <w:rFonts w:cs="David" w:hint="cs"/>
          <w:sz w:val="24"/>
          <w:szCs w:val="24"/>
          <w:rtl/>
        </w:rPr>
        <w:t>.</w:t>
      </w:r>
    </w:p>
    <w:p w14:paraId="618AB939" w14:textId="1D1BBA86" w:rsidR="00B06E82" w:rsidRDefault="00180C75" w:rsidP="009F2E9B">
      <w:pPr>
        <w:pStyle w:val="Hesber"/>
        <w:numPr>
          <w:ilvl w:val="0"/>
          <w:numId w:val="2"/>
        </w:numPr>
        <w:spacing w:before="120" w:after="120"/>
        <w:rPr>
          <w:rFonts w:cs="David"/>
          <w:sz w:val="24"/>
          <w:szCs w:val="24"/>
        </w:rPr>
      </w:pPr>
      <w:r>
        <w:rPr>
          <w:rFonts w:cs="David" w:hint="cs"/>
          <w:sz w:val="24"/>
          <w:szCs w:val="24"/>
          <w:rtl/>
        </w:rPr>
        <w:t>לכן, על חוק מודרני</w:t>
      </w:r>
      <w:r w:rsidR="00FF5B1A">
        <w:rPr>
          <w:rFonts w:cs="David" w:hint="cs"/>
          <w:sz w:val="24"/>
          <w:szCs w:val="24"/>
          <w:rtl/>
        </w:rPr>
        <w:t xml:space="preserve"> המסדיר פעילות בנתוני אשראי</w:t>
      </w:r>
      <w:r>
        <w:rPr>
          <w:rFonts w:cs="David" w:hint="cs"/>
          <w:sz w:val="24"/>
          <w:szCs w:val="24"/>
          <w:rtl/>
        </w:rPr>
        <w:t xml:space="preserve"> לנקוט משנה זהירות כשהוא מבקש ליצור הסדרים שונים ל</w:t>
      </w:r>
      <w:r w:rsidR="00B06E82">
        <w:rPr>
          <w:rFonts w:cs="David" w:hint="cs"/>
          <w:sz w:val="24"/>
          <w:szCs w:val="24"/>
          <w:rtl/>
        </w:rPr>
        <w:t>אבטחת ו</w:t>
      </w:r>
      <w:r>
        <w:rPr>
          <w:rFonts w:cs="David" w:hint="cs"/>
          <w:sz w:val="24"/>
          <w:szCs w:val="24"/>
          <w:rtl/>
        </w:rPr>
        <w:t xml:space="preserve">שימוש </w:t>
      </w:r>
      <w:r w:rsidR="00B06E82">
        <w:rPr>
          <w:rFonts w:cs="David" w:hint="cs"/>
          <w:sz w:val="24"/>
          <w:szCs w:val="24"/>
          <w:rtl/>
        </w:rPr>
        <w:t>ב</w:t>
      </w:r>
      <w:r>
        <w:rPr>
          <w:rFonts w:cs="David" w:hint="cs"/>
          <w:sz w:val="24"/>
          <w:szCs w:val="24"/>
          <w:rtl/>
        </w:rPr>
        <w:t xml:space="preserve">מידע מזוהה ומידע (לכאורה) בלתי מזוהה. </w:t>
      </w:r>
    </w:p>
    <w:p w14:paraId="20424969" w14:textId="29349577" w:rsidR="00180C75" w:rsidRDefault="00180C75" w:rsidP="009F2E9B">
      <w:pPr>
        <w:pStyle w:val="Hesber"/>
        <w:numPr>
          <w:ilvl w:val="0"/>
          <w:numId w:val="2"/>
        </w:numPr>
        <w:spacing w:before="120" w:after="120"/>
        <w:rPr>
          <w:rFonts w:cs="David"/>
          <w:sz w:val="24"/>
          <w:szCs w:val="24"/>
        </w:rPr>
      </w:pPr>
      <w:r>
        <w:rPr>
          <w:rFonts w:cs="David" w:hint="cs"/>
          <w:sz w:val="24"/>
          <w:szCs w:val="24"/>
          <w:rtl/>
        </w:rPr>
        <w:t>הצעת החוק מבקשת להבדיל בין שני ס</w:t>
      </w:r>
      <w:r w:rsidR="00071827">
        <w:rPr>
          <w:rFonts w:cs="David" w:hint="cs"/>
          <w:sz w:val="24"/>
          <w:szCs w:val="24"/>
          <w:rtl/>
        </w:rPr>
        <w:t>וגי המידע ולאפשר שימוש רחב יותר, כמעט בלתי מוגבל במידע לא מזוהה</w:t>
      </w:r>
      <w:r w:rsidR="008F626B">
        <w:rPr>
          <w:rFonts w:cs="David" w:hint="cs"/>
          <w:sz w:val="24"/>
          <w:szCs w:val="24"/>
          <w:rtl/>
        </w:rPr>
        <w:t xml:space="preserve"> על ידי בנק ישראל ולשכות האשראי</w:t>
      </w:r>
      <w:r w:rsidR="00071827">
        <w:rPr>
          <w:rFonts w:cs="David" w:hint="cs"/>
          <w:sz w:val="24"/>
          <w:szCs w:val="24"/>
          <w:rtl/>
        </w:rPr>
        <w:t xml:space="preserve">. </w:t>
      </w:r>
    </w:p>
    <w:p w14:paraId="509C09F5" w14:textId="77777777" w:rsidR="008F626B" w:rsidRDefault="00071827" w:rsidP="009F2E9B">
      <w:pPr>
        <w:pStyle w:val="Hesber"/>
        <w:numPr>
          <w:ilvl w:val="0"/>
          <w:numId w:val="2"/>
        </w:numPr>
        <w:spacing w:before="120" w:after="120"/>
        <w:rPr>
          <w:rFonts w:cs="David"/>
          <w:sz w:val="24"/>
          <w:szCs w:val="24"/>
        </w:rPr>
      </w:pPr>
      <w:r>
        <w:rPr>
          <w:rFonts w:cs="David" w:hint="cs"/>
          <w:sz w:val="24"/>
          <w:szCs w:val="24"/>
          <w:rtl/>
        </w:rPr>
        <w:t xml:space="preserve">בהתאם לסעיף 14(ב) להצעת החוק (הקמת המאגר לנתוני אשראי ומטרותיו), המאגר ישמש </w:t>
      </w:r>
      <w:r w:rsidR="008F626B">
        <w:rPr>
          <w:rFonts w:cs="David" w:hint="cs"/>
          <w:sz w:val="24"/>
          <w:szCs w:val="24"/>
          <w:rtl/>
        </w:rPr>
        <w:t>ל</w:t>
      </w:r>
      <w:r>
        <w:rPr>
          <w:rFonts w:cs="David" w:hint="cs"/>
          <w:sz w:val="24"/>
          <w:szCs w:val="24"/>
          <w:rtl/>
        </w:rPr>
        <w:t xml:space="preserve">יצירת בסיס מידע </w:t>
      </w:r>
      <w:r w:rsidR="008F626B">
        <w:rPr>
          <w:rFonts w:cs="David" w:hint="cs"/>
          <w:sz w:val="24"/>
          <w:szCs w:val="24"/>
          <w:rtl/>
        </w:rPr>
        <w:t xml:space="preserve">לא מזוהה </w:t>
      </w:r>
      <w:r>
        <w:rPr>
          <w:rFonts w:cs="David" w:hint="cs"/>
          <w:sz w:val="24"/>
          <w:szCs w:val="24"/>
          <w:rtl/>
        </w:rPr>
        <w:t xml:space="preserve">בבנק ישראל שישמש אותו לצורך ביצוע תפקידיו לפי חוק. וראו גם את סעיף 42 להצעת החוק (שימוש במידע לא מזוהה בידי בנק ישראל). </w:t>
      </w:r>
    </w:p>
    <w:p w14:paraId="4A117C54" w14:textId="57A89334" w:rsidR="00071827" w:rsidRDefault="00071827" w:rsidP="009F2E9B">
      <w:pPr>
        <w:pStyle w:val="Hesber"/>
        <w:numPr>
          <w:ilvl w:val="0"/>
          <w:numId w:val="2"/>
        </w:numPr>
        <w:spacing w:before="120" w:after="120"/>
        <w:rPr>
          <w:rFonts w:cs="David"/>
          <w:sz w:val="24"/>
          <w:szCs w:val="24"/>
        </w:rPr>
      </w:pPr>
      <w:r>
        <w:rPr>
          <w:rFonts w:cs="David" w:hint="cs"/>
          <w:sz w:val="24"/>
          <w:szCs w:val="24"/>
          <w:rtl/>
        </w:rPr>
        <w:t xml:space="preserve">בנוסף ישמש המאגר ליצירת בסיס מידע </w:t>
      </w:r>
      <w:r w:rsidR="008F626B">
        <w:rPr>
          <w:rFonts w:cs="David" w:hint="cs"/>
          <w:sz w:val="24"/>
          <w:szCs w:val="24"/>
          <w:rtl/>
        </w:rPr>
        <w:t xml:space="preserve">לא מזוהה </w:t>
      </w:r>
      <w:r>
        <w:rPr>
          <w:rFonts w:cs="David" w:hint="cs"/>
          <w:sz w:val="24"/>
          <w:szCs w:val="24"/>
          <w:rtl/>
        </w:rPr>
        <w:t xml:space="preserve">אצל לשכות האשראי לצורך פיתוח </w:t>
      </w:r>
      <w:r>
        <w:rPr>
          <w:rFonts w:cs="David" w:hint="cs"/>
          <w:sz w:val="24"/>
          <w:szCs w:val="24"/>
          <w:rtl/>
        </w:rPr>
        <w:lastRenderedPageBreak/>
        <w:t xml:space="preserve">שירותיהם. ראו גם את סעיף 43 להצעת החוק (גישה של לשכת אשראי למידע לא מזוהה במאגר), שלפיו ניתן יהיה לקבוע בעתיד שלשכת אשראי יכולה </w:t>
      </w:r>
      <w:r w:rsidR="008F626B">
        <w:rPr>
          <w:rFonts w:cs="David" w:hint="cs"/>
          <w:sz w:val="24"/>
          <w:szCs w:val="24"/>
          <w:rtl/>
        </w:rPr>
        <w:t xml:space="preserve">לא רק לגשת למידע הלא מזוהה, אלא גם </w:t>
      </w:r>
      <w:r>
        <w:rPr>
          <w:rFonts w:cs="David" w:hint="cs"/>
          <w:sz w:val="24"/>
          <w:szCs w:val="24"/>
          <w:rtl/>
        </w:rPr>
        <w:t xml:space="preserve">לשמור עותק </w:t>
      </w:r>
      <w:r w:rsidR="008F626B">
        <w:rPr>
          <w:rFonts w:cs="David" w:hint="cs"/>
          <w:sz w:val="24"/>
          <w:szCs w:val="24"/>
          <w:rtl/>
        </w:rPr>
        <w:t xml:space="preserve">ממנו. </w:t>
      </w:r>
    </w:p>
    <w:p w14:paraId="1C8ECD4C" w14:textId="1E6F0367" w:rsidR="00454849" w:rsidRDefault="00454849" w:rsidP="009F2E9B">
      <w:pPr>
        <w:pStyle w:val="Hesber"/>
        <w:numPr>
          <w:ilvl w:val="0"/>
          <w:numId w:val="2"/>
        </w:numPr>
        <w:spacing w:before="120" w:after="120"/>
        <w:rPr>
          <w:rFonts w:cs="David"/>
          <w:sz w:val="24"/>
          <w:szCs w:val="24"/>
        </w:rPr>
      </w:pPr>
      <w:r>
        <w:rPr>
          <w:rFonts w:cs="David" w:hint="cs"/>
          <w:sz w:val="24"/>
          <w:szCs w:val="24"/>
          <w:rtl/>
        </w:rPr>
        <w:t xml:space="preserve">אין די בהגדרה הקיימת בהצעת החוק של מידע לא מזוהה. </w:t>
      </w:r>
      <w:r w:rsidR="00875BFD">
        <w:rPr>
          <w:rFonts w:cs="David" w:hint="cs"/>
          <w:sz w:val="24"/>
          <w:szCs w:val="24"/>
          <w:rtl/>
        </w:rPr>
        <w:t>זוהי הגדרה טובה כהגדרה משפטית כללית, אולם לאור המידע הקיים כיום לגבי אנונימיזציה</w:t>
      </w:r>
      <w:r w:rsidR="009F2E9B">
        <w:rPr>
          <w:rFonts w:cs="David" w:hint="cs"/>
          <w:sz w:val="24"/>
          <w:szCs w:val="24"/>
          <w:rtl/>
        </w:rPr>
        <w:t xml:space="preserve"> ומגבלותיה</w:t>
      </w:r>
      <w:r w:rsidR="00875BFD">
        <w:rPr>
          <w:rFonts w:cs="David" w:hint="cs"/>
          <w:sz w:val="24"/>
          <w:szCs w:val="24"/>
          <w:rtl/>
        </w:rPr>
        <w:t xml:space="preserve">, יש למסד את תהליך </w:t>
      </w:r>
      <w:r w:rsidR="009F2E9B">
        <w:rPr>
          <w:rFonts w:cs="David" w:hint="cs"/>
          <w:sz w:val="24"/>
          <w:szCs w:val="24"/>
          <w:rtl/>
        </w:rPr>
        <w:t xml:space="preserve">הפיכת המידע המזהה ללא מזהה </w:t>
      </w:r>
      <w:r w:rsidR="00875BFD">
        <w:rPr>
          <w:rFonts w:cs="David" w:hint="cs"/>
          <w:sz w:val="24"/>
          <w:szCs w:val="24"/>
          <w:rtl/>
        </w:rPr>
        <w:t xml:space="preserve">ולקבוע אותו </w:t>
      </w:r>
      <w:r w:rsidR="009F2E9B">
        <w:rPr>
          <w:rFonts w:cs="David" w:hint="cs"/>
          <w:sz w:val="24"/>
          <w:szCs w:val="24"/>
          <w:rtl/>
        </w:rPr>
        <w:t xml:space="preserve">בעזרת אנשי מקצוע מתאימים, </w:t>
      </w:r>
      <w:r w:rsidR="00875BFD">
        <w:rPr>
          <w:rFonts w:cs="David" w:hint="cs"/>
          <w:sz w:val="24"/>
          <w:szCs w:val="24"/>
          <w:rtl/>
        </w:rPr>
        <w:t xml:space="preserve">באופן מוסדר </w:t>
      </w:r>
      <w:r>
        <w:rPr>
          <w:rFonts w:cs="David" w:hint="cs"/>
          <w:sz w:val="24"/>
          <w:szCs w:val="24"/>
          <w:rtl/>
        </w:rPr>
        <w:t>בתקנות ובהנחיות</w:t>
      </w:r>
      <w:r w:rsidR="00875BFD">
        <w:rPr>
          <w:rFonts w:cs="David" w:hint="cs"/>
          <w:sz w:val="24"/>
          <w:szCs w:val="24"/>
          <w:rtl/>
        </w:rPr>
        <w:t xml:space="preserve"> שיעודכנו מעת לעת לפי הצורך</w:t>
      </w:r>
      <w:r>
        <w:rPr>
          <w:rFonts w:cs="David" w:hint="cs"/>
          <w:sz w:val="24"/>
          <w:szCs w:val="24"/>
          <w:rtl/>
        </w:rPr>
        <w:t>.</w:t>
      </w:r>
    </w:p>
    <w:p w14:paraId="26D3121B" w14:textId="3E3F74F3" w:rsidR="00484026" w:rsidRDefault="00454849" w:rsidP="00FF5B1A">
      <w:pPr>
        <w:pStyle w:val="Hesber"/>
        <w:numPr>
          <w:ilvl w:val="0"/>
          <w:numId w:val="2"/>
        </w:numPr>
        <w:spacing w:before="120" w:after="120"/>
        <w:rPr>
          <w:rFonts w:cs="David"/>
          <w:sz w:val="24"/>
          <w:szCs w:val="24"/>
        </w:rPr>
      </w:pPr>
      <w:r>
        <w:rPr>
          <w:rFonts w:cs="David" w:hint="cs"/>
          <w:sz w:val="24"/>
          <w:szCs w:val="24"/>
          <w:rtl/>
        </w:rPr>
        <w:t xml:space="preserve">בנוסף, המועצה מביעה חשש שהמידע הלא מזוהה (לכאורה) יאובטח ברמה נחותה מזו של המידע המזוהה ועובדה זו, יחד עם השימוש הנרחב </w:t>
      </w:r>
      <w:r w:rsidR="00FF5B1A">
        <w:rPr>
          <w:rFonts w:cs="David" w:hint="cs"/>
          <w:sz w:val="24"/>
          <w:szCs w:val="24"/>
          <w:rtl/>
        </w:rPr>
        <w:t>במידע הלא מזוהה (לכאורה)</w:t>
      </w:r>
      <w:r>
        <w:rPr>
          <w:rFonts w:cs="David" w:hint="cs"/>
          <w:sz w:val="24"/>
          <w:szCs w:val="24"/>
          <w:rtl/>
        </w:rPr>
        <w:t>, עלולים לגרום לזליגת מידע ולשימוש לרעה במידע זה ש</w:t>
      </w:r>
      <w:r w:rsidR="00FF5B1A">
        <w:rPr>
          <w:rFonts w:cs="David" w:hint="cs"/>
          <w:sz w:val="24"/>
          <w:szCs w:val="24"/>
          <w:rtl/>
        </w:rPr>
        <w:t xml:space="preserve">כאמור </w:t>
      </w:r>
      <w:r>
        <w:rPr>
          <w:rFonts w:cs="David" w:hint="cs"/>
          <w:sz w:val="24"/>
          <w:szCs w:val="24"/>
          <w:rtl/>
        </w:rPr>
        <w:t xml:space="preserve">עלול להפוך בחזרה למידע מזהה. </w:t>
      </w:r>
    </w:p>
    <w:p w14:paraId="29650554" w14:textId="19B56103" w:rsidR="00875BFD" w:rsidRPr="009F2E9B" w:rsidRDefault="006660CE" w:rsidP="00E7517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8"/>
          <w:szCs w:val="28"/>
          <w:rtl/>
        </w:rPr>
      </w:pPr>
      <w:r w:rsidRPr="006660CE">
        <w:rPr>
          <w:rFonts w:cs="David" w:hint="cs"/>
          <w:b/>
          <w:bCs/>
          <w:sz w:val="24"/>
          <w:szCs w:val="24"/>
          <w:u w:val="single"/>
          <w:rtl/>
        </w:rPr>
        <w:t>המלצת המועצה</w:t>
      </w:r>
      <w:r>
        <w:rPr>
          <w:rFonts w:cs="David" w:hint="cs"/>
          <w:b/>
          <w:bCs/>
          <w:sz w:val="24"/>
          <w:szCs w:val="24"/>
          <w:rtl/>
        </w:rPr>
        <w:t xml:space="preserve">: </w:t>
      </w:r>
      <w:r w:rsidR="00454849" w:rsidRPr="009F2E9B">
        <w:rPr>
          <w:rFonts w:cs="David" w:hint="cs"/>
          <w:b/>
          <w:bCs/>
          <w:sz w:val="24"/>
          <w:szCs w:val="24"/>
          <w:rtl/>
        </w:rPr>
        <w:t>סעי</w:t>
      </w:r>
      <w:r>
        <w:rPr>
          <w:rFonts w:cs="David" w:hint="cs"/>
          <w:b/>
          <w:bCs/>
          <w:sz w:val="24"/>
          <w:szCs w:val="24"/>
          <w:rtl/>
        </w:rPr>
        <w:t>ף 57(ג) להצעת החוק (אבטחת מידע)</w:t>
      </w:r>
      <w:r w:rsidR="00454849" w:rsidRPr="009F2E9B">
        <w:rPr>
          <w:rFonts w:cs="David" w:hint="cs"/>
          <w:b/>
          <w:bCs/>
          <w:sz w:val="24"/>
          <w:szCs w:val="24"/>
          <w:rtl/>
        </w:rPr>
        <w:t xml:space="preserve"> </w:t>
      </w:r>
      <w:r w:rsidR="003A69D7">
        <w:rPr>
          <w:rFonts w:cs="David" w:hint="cs"/>
          <w:b/>
          <w:bCs/>
          <w:sz w:val="24"/>
          <w:szCs w:val="24"/>
          <w:rtl/>
        </w:rPr>
        <w:t>י</w:t>
      </w:r>
      <w:r w:rsidR="00454849" w:rsidRPr="009F2E9B">
        <w:rPr>
          <w:rFonts w:cs="David" w:hint="cs"/>
          <w:b/>
          <w:bCs/>
          <w:sz w:val="24"/>
          <w:szCs w:val="24"/>
          <w:rtl/>
        </w:rPr>
        <w:t xml:space="preserve">כלול הוראה לפיה ההוראות שיקבע הנגיד יכללו הוראות להפיכת מידע מזהה למידע לא מזהה ולאבטחתו. </w:t>
      </w:r>
      <w:r w:rsidR="00875BFD" w:rsidRPr="009F2E9B">
        <w:rPr>
          <w:rFonts w:cs="David" w:hint="cs"/>
          <w:b/>
          <w:bCs/>
          <w:sz w:val="24"/>
          <w:szCs w:val="24"/>
          <w:rtl/>
        </w:rPr>
        <w:t xml:space="preserve">כמו כן יש לכלול הוראה לפיה על הנגיד יהיה לקבוע את ההוראות בהתייעצות עם רשם </w:t>
      </w:r>
      <w:r w:rsidR="00875BFD" w:rsidRPr="00C872BC">
        <w:rPr>
          <w:rFonts w:cs="David" w:hint="cs"/>
          <w:b/>
          <w:bCs/>
          <w:sz w:val="24"/>
          <w:szCs w:val="24"/>
          <w:rtl/>
        </w:rPr>
        <w:t xml:space="preserve">מאגרי המידע ועל ההוראות לקבל את אישור ועדת הכלכלה. </w:t>
      </w:r>
    </w:p>
    <w:sectPr w:rsidR="00875BFD" w:rsidRPr="009F2E9B" w:rsidSect="0069562D">
      <w:footerReference w:type="default" r:id="rId7"/>
      <w:pgSz w:w="11906" w:h="16838" w:code="9"/>
      <w:pgMar w:top="1440" w:right="1797" w:bottom="1440" w:left="1797" w:header="709" w:footer="709" w:gutter="0"/>
      <w:pgNumType w:fmt="numberInDash"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713CC" w14:textId="77777777" w:rsidR="00EA2F62" w:rsidRDefault="00EA2F62" w:rsidP="00ED76FA">
      <w:pPr>
        <w:spacing w:after="0" w:line="240" w:lineRule="auto"/>
      </w:pPr>
      <w:r>
        <w:separator/>
      </w:r>
    </w:p>
  </w:endnote>
  <w:endnote w:type="continuationSeparator" w:id="0">
    <w:p w14:paraId="7CB11FFB" w14:textId="77777777" w:rsidR="00EA2F62" w:rsidRDefault="00EA2F62" w:rsidP="00ED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754547"/>
      <w:docPartObj>
        <w:docPartGallery w:val="Page Numbers (Bottom of Page)"/>
        <w:docPartUnique/>
      </w:docPartObj>
    </w:sdtPr>
    <w:sdtEndPr/>
    <w:sdtContent>
      <w:p w14:paraId="1883243F" w14:textId="2C5607ED" w:rsidR="001F4DB7" w:rsidRDefault="001F4DB7">
        <w:pPr>
          <w:pStyle w:val="Footer"/>
          <w:jc w:val="center"/>
        </w:pPr>
        <w:r>
          <w:fldChar w:fldCharType="begin"/>
        </w:r>
        <w:r>
          <w:instrText xml:space="preserve"> PAGE   \* MERGEFORMAT </w:instrText>
        </w:r>
        <w:r>
          <w:fldChar w:fldCharType="separate"/>
        </w:r>
        <w:r w:rsidR="00A71F5B">
          <w:rPr>
            <w:noProof/>
            <w:rtl/>
          </w:rPr>
          <w:t>- 11 -</w:t>
        </w:r>
        <w:r>
          <w:rPr>
            <w:noProof/>
          </w:rPr>
          <w:fldChar w:fldCharType="end"/>
        </w:r>
      </w:p>
    </w:sdtContent>
  </w:sdt>
  <w:p w14:paraId="73E0A571" w14:textId="77777777" w:rsidR="001F4DB7" w:rsidRDefault="001F4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B750B" w14:textId="77777777" w:rsidR="00EA2F62" w:rsidRDefault="00EA2F62" w:rsidP="00ED76FA">
      <w:pPr>
        <w:spacing w:after="0" w:line="240" w:lineRule="auto"/>
      </w:pPr>
      <w:r>
        <w:separator/>
      </w:r>
    </w:p>
  </w:footnote>
  <w:footnote w:type="continuationSeparator" w:id="0">
    <w:p w14:paraId="2513EF01" w14:textId="77777777" w:rsidR="00EA2F62" w:rsidRDefault="00EA2F62" w:rsidP="00ED76FA">
      <w:pPr>
        <w:spacing w:after="0" w:line="240" w:lineRule="auto"/>
      </w:pPr>
      <w:r>
        <w:continuationSeparator/>
      </w:r>
    </w:p>
  </w:footnote>
  <w:footnote w:id="1">
    <w:p w14:paraId="31168CE5" w14:textId="7BE64350" w:rsidR="000B1F1E" w:rsidRDefault="000B1F1E" w:rsidP="0069562D">
      <w:pPr>
        <w:pStyle w:val="FootnoteText"/>
        <w:jc w:val="both"/>
        <w:rPr>
          <w:rtl/>
        </w:rPr>
      </w:pPr>
      <w:r>
        <w:rPr>
          <w:rStyle w:val="FootnoteReference"/>
        </w:rPr>
        <w:footnoteRef/>
      </w:r>
      <w:r>
        <w:rPr>
          <w:rtl/>
        </w:rPr>
        <w:t xml:space="preserve"> </w:t>
      </w:r>
      <w:r>
        <w:rPr>
          <w:rFonts w:hint="cs"/>
          <w:rtl/>
        </w:rPr>
        <w:t>רא</w:t>
      </w:r>
      <w:r w:rsidR="00180C75">
        <w:rPr>
          <w:rFonts w:hint="cs"/>
          <w:rtl/>
        </w:rPr>
        <w:t>ו</w:t>
      </w:r>
      <w:r w:rsidR="00E75177">
        <w:rPr>
          <w:rFonts w:hint="cs"/>
          <w:rtl/>
        </w:rPr>
        <w:t xml:space="preserve"> למשל</w:t>
      </w:r>
      <w:r>
        <w:rPr>
          <w:rFonts w:hint="cs"/>
          <w:rtl/>
        </w:rPr>
        <w:t xml:space="preserve">: </w:t>
      </w:r>
      <w:r w:rsidR="00F24540" w:rsidRPr="00F24540">
        <w:t>Gersen, Jacob E., Temporary Legislation. University of Chicago Law Review, 2007; U Chicago Law &amp; Economics, Olin Working Paper No. 296; U of Chicago, Public Law Working Paper No. 130. Available at SSRN</w:t>
      </w:r>
      <w:r w:rsidR="00F24540">
        <w:t xml:space="preserve"> </w:t>
      </w:r>
      <w:hyperlink r:id="rId1" w:tgtFrame="_blank" w:history="1">
        <w:r w:rsidR="00F24540">
          <w:rPr>
            <w:rStyle w:val="Hyperlink"/>
            <w:rFonts w:ascii="Arial" w:hAnsi="Arial" w:cs="Arial"/>
            <w:color w:val="666666"/>
            <w:sz w:val="17"/>
            <w:szCs w:val="17"/>
          </w:rPr>
          <w:t>http://ssrn.com/abstract=911603</w:t>
        </w:r>
      </w:hyperlink>
      <w:r w:rsidR="00F24540">
        <w:t xml:space="preserve"> </w:t>
      </w:r>
    </w:p>
  </w:footnote>
  <w:footnote w:id="2">
    <w:p w14:paraId="017FC0FF" w14:textId="77777777" w:rsidR="00FF5B1A" w:rsidRDefault="00FF5B1A" w:rsidP="00FF5B1A">
      <w:pPr>
        <w:pStyle w:val="FootnoteText"/>
        <w:jc w:val="both"/>
        <w:rPr>
          <w:rtl/>
        </w:rPr>
      </w:pPr>
      <w:r>
        <w:rPr>
          <w:rStyle w:val="FootnoteReference"/>
        </w:rPr>
        <w:footnoteRef/>
      </w:r>
      <w:r>
        <w:rPr>
          <w:rtl/>
        </w:rPr>
        <w:t xml:space="preserve"> </w:t>
      </w:r>
      <w:r>
        <w:rPr>
          <w:rFonts w:hint="cs"/>
          <w:rtl/>
        </w:rPr>
        <w:t xml:space="preserve">ראו: </w:t>
      </w:r>
      <w:r w:rsidRPr="00180C75">
        <w:t>Ohm, Paul, Broken Promises of Privacy: Responding to the Surprising Failure of Anonymization (August 13, 2009). UCLA Law Review, Vol. 57, p. 1701, 2010; U of Colorado Law Legal Studies Research Paper No. 9-12. Available at SSRN:</w:t>
      </w:r>
      <w:r>
        <w:t xml:space="preserve"> </w:t>
      </w:r>
      <w:hyperlink r:id="rId2" w:tgtFrame="_blank" w:history="1">
        <w:r>
          <w:rPr>
            <w:rStyle w:val="Hyperlink"/>
            <w:rFonts w:ascii="Arial" w:hAnsi="Arial" w:cs="Arial"/>
            <w:color w:val="666666"/>
            <w:sz w:val="17"/>
            <w:szCs w:val="17"/>
          </w:rPr>
          <w:t>http://ssrn.com/abstract=1450006</w:t>
        </w:r>
      </w:hyperlink>
    </w:p>
  </w:footnote>
  <w:footnote w:id="3">
    <w:p w14:paraId="156894D1" w14:textId="3BDDCC05" w:rsidR="00FF5B1A" w:rsidRDefault="00FF5B1A">
      <w:pPr>
        <w:pStyle w:val="FootnoteText"/>
        <w:rPr>
          <w:rtl/>
        </w:rPr>
      </w:pPr>
      <w:r>
        <w:rPr>
          <w:rStyle w:val="FootnoteReference"/>
        </w:rPr>
        <w:footnoteRef/>
      </w:r>
      <w:r>
        <w:rPr>
          <w:rtl/>
        </w:rPr>
        <w:t xml:space="preserve"> </w:t>
      </w:r>
      <w:r>
        <w:rPr>
          <w:rFonts w:hint="cs"/>
          <w:rtl/>
        </w:rPr>
        <w:t xml:space="preserve">ראו: </w:t>
      </w:r>
      <w:r w:rsidRPr="00062401">
        <w:t>de Montjoye, Y. A., Radaelli, L., &amp; Singh, V. K. (2015). Unique in the shopping mall: On the reidentifiability of credit card metadata. Science, 347(6221), 536-539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636DE"/>
    <w:multiLevelType w:val="hybridMultilevel"/>
    <w:tmpl w:val="1AF6C0C4"/>
    <w:lvl w:ilvl="0" w:tplc="9ED84984">
      <w:start w:val="1"/>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86973"/>
    <w:multiLevelType w:val="hybridMultilevel"/>
    <w:tmpl w:val="AA6A4A3A"/>
    <w:lvl w:ilvl="0" w:tplc="1AEC3426">
      <w:start w:val="6"/>
      <w:numFmt w:val="hebrew1"/>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5B43385"/>
    <w:multiLevelType w:val="multilevel"/>
    <w:tmpl w:val="C5EEE38C"/>
    <w:lvl w:ilvl="0">
      <w:start w:val="1"/>
      <w:numFmt w:val="decimal"/>
      <w:lvlText w:val="%1."/>
      <w:lvlJc w:val="left"/>
      <w:pPr>
        <w:ind w:left="567" w:hanging="567"/>
      </w:pPr>
      <w:rPr>
        <w:rFonts w:cs="David" w:hint="default"/>
        <w:b w:val="0"/>
        <w:bCs w:val="0"/>
        <w:sz w:val="24"/>
        <w:szCs w:val="24"/>
        <w:lang w:val="en-US"/>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9562888"/>
    <w:multiLevelType w:val="hybridMultilevel"/>
    <w:tmpl w:val="0240C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F4A"/>
    <w:rsid w:val="00071827"/>
    <w:rsid w:val="00084B1E"/>
    <w:rsid w:val="00095315"/>
    <w:rsid w:val="000B1F1E"/>
    <w:rsid w:val="000C27F8"/>
    <w:rsid w:val="000D2085"/>
    <w:rsid w:val="000D500A"/>
    <w:rsid w:val="000E540D"/>
    <w:rsid w:val="000F43C0"/>
    <w:rsid w:val="000F7374"/>
    <w:rsid w:val="001230D8"/>
    <w:rsid w:val="00145BAE"/>
    <w:rsid w:val="001474EE"/>
    <w:rsid w:val="0015598F"/>
    <w:rsid w:val="00180C75"/>
    <w:rsid w:val="001B1378"/>
    <w:rsid w:val="001B41B3"/>
    <w:rsid w:val="001E7946"/>
    <w:rsid w:val="001F4DB7"/>
    <w:rsid w:val="002526A3"/>
    <w:rsid w:val="00285E33"/>
    <w:rsid w:val="002A469C"/>
    <w:rsid w:val="0032097F"/>
    <w:rsid w:val="00350F27"/>
    <w:rsid w:val="003A69D7"/>
    <w:rsid w:val="003B03A4"/>
    <w:rsid w:val="003B6DA2"/>
    <w:rsid w:val="0040213F"/>
    <w:rsid w:val="00415627"/>
    <w:rsid w:val="004369D5"/>
    <w:rsid w:val="00454849"/>
    <w:rsid w:val="004660F0"/>
    <w:rsid w:val="00481DDA"/>
    <w:rsid w:val="00484026"/>
    <w:rsid w:val="0048460A"/>
    <w:rsid w:val="004B0E5A"/>
    <w:rsid w:val="004B2020"/>
    <w:rsid w:val="004C27F7"/>
    <w:rsid w:val="004C7AA8"/>
    <w:rsid w:val="004D1F4A"/>
    <w:rsid w:val="004D2745"/>
    <w:rsid w:val="004E01F1"/>
    <w:rsid w:val="005058F7"/>
    <w:rsid w:val="0051287B"/>
    <w:rsid w:val="00525B06"/>
    <w:rsid w:val="00544E2F"/>
    <w:rsid w:val="00565DDC"/>
    <w:rsid w:val="00587068"/>
    <w:rsid w:val="005B15A7"/>
    <w:rsid w:val="005C2EED"/>
    <w:rsid w:val="005F1996"/>
    <w:rsid w:val="00623FBB"/>
    <w:rsid w:val="006260CF"/>
    <w:rsid w:val="00636FBF"/>
    <w:rsid w:val="006415E7"/>
    <w:rsid w:val="00650710"/>
    <w:rsid w:val="006660CE"/>
    <w:rsid w:val="0069562D"/>
    <w:rsid w:val="006A1FAD"/>
    <w:rsid w:val="006A2E37"/>
    <w:rsid w:val="006E1630"/>
    <w:rsid w:val="006E1C8E"/>
    <w:rsid w:val="006E71A4"/>
    <w:rsid w:val="0072715A"/>
    <w:rsid w:val="007441B1"/>
    <w:rsid w:val="00760557"/>
    <w:rsid w:val="00790F93"/>
    <w:rsid w:val="007A387B"/>
    <w:rsid w:val="007B1CB7"/>
    <w:rsid w:val="007D3FAE"/>
    <w:rsid w:val="00860C7E"/>
    <w:rsid w:val="00875BFD"/>
    <w:rsid w:val="00890654"/>
    <w:rsid w:val="008B2165"/>
    <w:rsid w:val="008D75B3"/>
    <w:rsid w:val="008E1035"/>
    <w:rsid w:val="008E53AC"/>
    <w:rsid w:val="008F626B"/>
    <w:rsid w:val="009068DD"/>
    <w:rsid w:val="0096767A"/>
    <w:rsid w:val="00987567"/>
    <w:rsid w:val="00996E37"/>
    <w:rsid w:val="009B742C"/>
    <w:rsid w:val="009F2E9B"/>
    <w:rsid w:val="009F3552"/>
    <w:rsid w:val="00A006C2"/>
    <w:rsid w:val="00A67641"/>
    <w:rsid w:val="00A71F5B"/>
    <w:rsid w:val="00A80A07"/>
    <w:rsid w:val="00A83954"/>
    <w:rsid w:val="00AB0B81"/>
    <w:rsid w:val="00AF1832"/>
    <w:rsid w:val="00B06E82"/>
    <w:rsid w:val="00B40BAE"/>
    <w:rsid w:val="00B45383"/>
    <w:rsid w:val="00B64A93"/>
    <w:rsid w:val="00B67B22"/>
    <w:rsid w:val="00B861C7"/>
    <w:rsid w:val="00B86937"/>
    <w:rsid w:val="00BA7C6C"/>
    <w:rsid w:val="00BC6232"/>
    <w:rsid w:val="00C06B92"/>
    <w:rsid w:val="00C872BC"/>
    <w:rsid w:val="00D16713"/>
    <w:rsid w:val="00D731AC"/>
    <w:rsid w:val="00DA41C8"/>
    <w:rsid w:val="00DB3BC3"/>
    <w:rsid w:val="00DE320A"/>
    <w:rsid w:val="00DE6898"/>
    <w:rsid w:val="00E0098A"/>
    <w:rsid w:val="00E3451A"/>
    <w:rsid w:val="00E52271"/>
    <w:rsid w:val="00E56067"/>
    <w:rsid w:val="00E62842"/>
    <w:rsid w:val="00E75177"/>
    <w:rsid w:val="00E94184"/>
    <w:rsid w:val="00EA2F62"/>
    <w:rsid w:val="00EB2BE5"/>
    <w:rsid w:val="00EB6694"/>
    <w:rsid w:val="00ED1676"/>
    <w:rsid w:val="00ED76FA"/>
    <w:rsid w:val="00ED7D33"/>
    <w:rsid w:val="00F0579F"/>
    <w:rsid w:val="00F139A1"/>
    <w:rsid w:val="00F24540"/>
    <w:rsid w:val="00F510F1"/>
    <w:rsid w:val="00F63AA9"/>
    <w:rsid w:val="00FA385E"/>
    <w:rsid w:val="00FB67BE"/>
    <w:rsid w:val="00FF3284"/>
    <w:rsid w:val="00FF5B1A"/>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8AF690"/>
  <w15:docId w15:val="{75B20FB0-D438-438F-88A3-8272A940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3C0"/>
    <w:pPr>
      <w:ind w:left="720"/>
      <w:contextualSpacing/>
    </w:pPr>
  </w:style>
  <w:style w:type="paragraph" w:customStyle="1" w:styleId="Hesber">
    <w:name w:val="Hesber"/>
    <w:basedOn w:val="Normal"/>
    <w:uiPriority w:val="99"/>
    <w:rsid w:val="00B67B22"/>
    <w:pPr>
      <w:widowControl w:val="0"/>
      <w:autoSpaceDE w:val="0"/>
      <w:autoSpaceDN w:val="0"/>
      <w:adjustRightInd w:val="0"/>
      <w:snapToGrid w:val="0"/>
      <w:spacing w:after="0" w:line="360" w:lineRule="auto"/>
      <w:ind w:firstLine="340"/>
      <w:jc w:val="both"/>
      <w:textAlignment w:val="center"/>
    </w:pPr>
    <w:rPr>
      <w:rFonts w:ascii="Arial" w:eastAsia="Arial Unicode MS" w:hAnsi="Arial" w:cs="Arial Unicode MS"/>
      <w:color w:val="000000"/>
      <w:sz w:val="20"/>
      <w:szCs w:val="26"/>
      <w:lang w:eastAsia="ja-JP"/>
    </w:rPr>
  </w:style>
  <w:style w:type="paragraph" w:styleId="BalloonText">
    <w:name w:val="Balloon Text"/>
    <w:basedOn w:val="Normal"/>
    <w:link w:val="BalloonTextChar"/>
    <w:uiPriority w:val="99"/>
    <w:semiHidden/>
    <w:unhideWhenUsed/>
    <w:rsid w:val="00525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B06"/>
    <w:rPr>
      <w:rFonts w:ascii="Segoe UI" w:hAnsi="Segoe UI" w:cs="Segoe UI"/>
      <w:sz w:val="18"/>
      <w:szCs w:val="18"/>
    </w:rPr>
  </w:style>
  <w:style w:type="character" w:styleId="CommentReference">
    <w:name w:val="annotation reference"/>
    <w:basedOn w:val="DefaultParagraphFont"/>
    <w:uiPriority w:val="99"/>
    <w:semiHidden/>
    <w:unhideWhenUsed/>
    <w:rsid w:val="008E1035"/>
    <w:rPr>
      <w:sz w:val="18"/>
      <w:szCs w:val="18"/>
    </w:rPr>
  </w:style>
  <w:style w:type="paragraph" w:styleId="CommentText">
    <w:name w:val="annotation text"/>
    <w:basedOn w:val="Normal"/>
    <w:link w:val="CommentTextChar"/>
    <w:uiPriority w:val="99"/>
    <w:semiHidden/>
    <w:unhideWhenUsed/>
    <w:rsid w:val="008E1035"/>
    <w:pPr>
      <w:spacing w:line="240" w:lineRule="auto"/>
    </w:pPr>
    <w:rPr>
      <w:sz w:val="24"/>
      <w:szCs w:val="24"/>
    </w:rPr>
  </w:style>
  <w:style w:type="character" w:customStyle="1" w:styleId="CommentTextChar">
    <w:name w:val="Comment Text Char"/>
    <w:basedOn w:val="DefaultParagraphFont"/>
    <w:link w:val="CommentText"/>
    <w:uiPriority w:val="99"/>
    <w:semiHidden/>
    <w:rsid w:val="008E1035"/>
    <w:rPr>
      <w:sz w:val="24"/>
      <w:szCs w:val="24"/>
    </w:rPr>
  </w:style>
  <w:style w:type="paragraph" w:styleId="CommentSubject">
    <w:name w:val="annotation subject"/>
    <w:basedOn w:val="CommentText"/>
    <w:next w:val="CommentText"/>
    <w:link w:val="CommentSubjectChar"/>
    <w:uiPriority w:val="99"/>
    <w:semiHidden/>
    <w:unhideWhenUsed/>
    <w:rsid w:val="008E1035"/>
    <w:rPr>
      <w:b/>
      <w:bCs/>
      <w:sz w:val="20"/>
      <w:szCs w:val="20"/>
    </w:rPr>
  </w:style>
  <w:style w:type="character" w:customStyle="1" w:styleId="CommentSubjectChar">
    <w:name w:val="Comment Subject Char"/>
    <w:basedOn w:val="CommentTextChar"/>
    <w:link w:val="CommentSubject"/>
    <w:uiPriority w:val="99"/>
    <w:semiHidden/>
    <w:rsid w:val="008E1035"/>
    <w:rPr>
      <w:b/>
      <w:bCs/>
      <w:sz w:val="20"/>
      <w:szCs w:val="20"/>
    </w:rPr>
  </w:style>
  <w:style w:type="paragraph" w:styleId="Revision">
    <w:name w:val="Revision"/>
    <w:hidden/>
    <w:uiPriority w:val="99"/>
    <w:semiHidden/>
    <w:rsid w:val="00F0579F"/>
    <w:pPr>
      <w:spacing w:after="0" w:line="240" w:lineRule="auto"/>
    </w:pPr>
  </w:style>
  <w:style w:type="paragraph" w:styleId="FootnoteText">
    <w:name w:val="footnote text"/>
    <w:basedOn w:val="Normal"/>
    <w:link w:val="FootnoteTextChar"/>
    <w:uiPriority w:val="99"/>
    <w:semiHidden/>
    <w:unhideWhenUsed/>
    <w:rsid w:val="00ED76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6FA"/>
    <w:rPr>
      <w:sz w:val="20"/>
      <w:szCs w:val="20"/>
    </w:rPr>
  </w:style>
  <w:style w:type="character" w:styleId="FootnoteReference">
    <w:name w:val="footnote reference"/>
    <w:basedOn w:val="DefaultParagraphFont"/>
    <w:uiPriority w:val="99"/>
    <w:semiHidden/>
    <w:unhideWhenUsed/>
    <w:rsid w:val="00ED76FA"/>
    <w:rPr>
      <w:vertAlign w:val="superscript"/>
    </w:rPr>
  </w:style>
  <w:style w:type="character" w:styleId="Hyperlink">
    <w:name w:val="Hyperlink"/>
    <w:basedOn w:val="DefaultParagraphFont"/>
    <w:uiPriority w:val="99"/>
    <w:unhideWhenUsed/>
    <w:rsid w:val="00ED76FA"/>
    <w:rPr>
      <w:color w:val="0563C1" w:themeColor="hyperlink"/>
      <w:u w:val="single"/>
    </w:rPr>
  </w:style>
  <w:style w:type="character" w:customStyle="1" w:styleId="apple-converted-space">
    <w:name w:val="apple-converted-space"/>
    <w:basedOn w:val="DefaultParagraphFont"/>
    <w:rsid w:val="00180C75"/>
  </w:style>
  <w:style w:type="paragraph" w:styleId="Header">
    <w:name w:val="header"/>
    <w:basedOn w:val="Normal"/>
    <w:link w:val="HeaderChar"/>
    <w:uiPriority w:val="99"/>
    <w:unhideWhenUsed/>
    <w:rsid w:val="00E941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4184"/>
  </w:style>
  <w:style w:type="paragraph" w:styleId="Footer">
    <w:name w:val="footer"/>
    <w:basedOn w:val="Normal"/>
    <w:link w:val="FooterChar"/>
    <w:uiPriority w:val="99"/>
    <w:unhideWhenUsed/>
    <w:rsid w:val="00E941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4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srn.com/abstract=1450006" TargetMode="External"/><Relationship Id="rId1" Type="http://schemas.openxmlformats.org/officeDocument/2006/relationships/hyperlink" Target="http://ssrn.com/abstract=911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6E4D5B-1D7F-44BF-BADE-F3D6EF07B7B7}"/>
</file>

<file path=customXml/itemProps2.xml><?xml version="1.0" encoding="utf-8"?>
<ds:datastoreItem xmlns:ds="http://schemas.openxmlformats.org/officeDocument/2006/customXml" ds:itemID="{52008CCE-9B82-4378-B5B4-207AEDB803C0}"/>
</file>

<file path=customXml/itemProps3.xml><?xml version="1.0" encoding="utf-8"?>
<ds:datastoreItem xmlns:ds="http://schemas.openxmlformats.org/officeDocument/2006/customXml" ds:itemID="{83593D13-490C-42C2-9854-9825B623C07B}"/>
</file>

<file path=docProps/app.xml><?xml version="1.0" encoding="utf-8"?>
<Properties xmlns="http://schemas.openxmlformats.org/officeDocument/2006/extended-properties" xmlns:vt="http://schemas.openxmlformats.org/officeDocument/2006/docPropsVTypes">
  <Template>Normal</Template>
  <TotalTime>1</TotalTime>
  <Pages>12</Pages>
  <Words>3292</Words>
  <Characters>18768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המועצה להגנת הפרטיות – נייר עמדה בנושא: חוק נתוני אשראי</vt:lpstr>
    </vt:vector>
  </TitlesOfParts>
  <Company/>
  <LinksUpToDate>false</LinksUpToDate>
  <CharactersWithSpaces>22016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המועצה להגנת הפרטיות – נייר עמדה בנושא: חוק נתוני אשראי</dc:title>
  <dc:subject/>
  <dc:creator>Dan Or-Hof</dc:creator>
  <cp:keywords/>
  <dc:description/>
  <cp:lastModifiedBy>orit</cp:lastModifiedBy>
  <cp:revision>2</cp:revision>
  <dcterms:created xsi:type="dcterms:W3CDTF">2015-11-23T08:28:00Z</dcterms:created>
  <dcterms:modified xsi:type="dcterms:W3CDTF">2015-11-23T08:28:00Z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