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08A" w:rsidRDefault="001607DF" w:rsidP="00B1208A">
      <w:pPr>
        <w:pStyle w:val="a7"/>
        <w:jc w:val="center"/>
        <w:rPr>
          <w:color w:val="3366FF"/>
          <w:lang w:eastAsia="en-US"/>
        </w:rPr>
      </w:pPr>
      <w:r>
        <w:rPr>
          <w:noProof/>
          <w:sz w:val="20"/>
          <w:rtl/>
          <w:lang w:eastAsia="en-US"/>
        </w:rPr>
        <mc:AlternateContent>
          <mc:Choice Requires="wps">
            <w:drawing>
              <wp:anchor distT="0" distB="0" distL="114300" distR="114300" simplePos="0" relativeHeight="251656192" behindDoc="1" locked="0" layoutInCell="1" allowOverlap="1">
                <wp:simplePos x="0" y="0"/>
                <wp:positionH relativeFrom="column">
                  <wp:posOffset>4519295</wp:posOffset>
                </wp:positionH>
                <wp:positionV relativeFrom="paragraph">
                  <wp:posOffset>228600</wp:posOffset>
                </wp:positionV>
                <wp:extent cx="1600835" cy="8801100"/>
                <wp:effectExtent l="381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835" cy="8801100"/>
                        </a:xfrm>
                        <a:prstGeom prst="rect">
                          <a:avLst/>
                        </a:prstGeom>
                        <a:gradFill rotWithShape="0">
                          <a:gsLst>
                            <a:gs pos="0">
                              <a:srgbClr val="99CCFF">
                                <a:gamma/>
                                <a:tint val="0"/>
                                <a:invGamma/>
                              </a:srgbClr>
                            </a:gs>
                            <a:gs pos="100000">
                              <a:srgbClr val="99CCFF"/>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23D0" w:rsidRDefault="006223D0" w:rsidP="00B1208A">
                            <w:pPr>
                              <w:rPr>
                                <w:rtl/>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5.85pt;margin-top:18pt;width:126.05pt;height:6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" stroked="f">
                <v:fill color2="#9cf" focus="100%" type="gradient"/>
                <v:textbox>
                  <w:txbxContent>
                    <w:p w:rsidR="006223D0" w:rsidRDefault="006223D0" w:rsidP="00B1208A">
                      <w:pPr>
                        <w:rPr>
                          <w:rtl/>
                          <w:lang w:eastAsia="en-US"/>
                        </w:rPr>
                      </w:pPr>
                    </w:p>
                  </w:txbxContent>
                </v:textbox>
              </v:shape>
            </w:pict>
          </mc:Fallback>
        </mc:AlternateContent>
      </w:r>
      <w:r>
        <w:rPr>
          <w:noProof/>
          <w:sz w:val="20"/>
          <w:rtl/>
          <w:lang w:eastAsia="en-US"/>
        </w:rPr>
        <mc:AlternateContent>
          <mc:Choice Requires="wps">
            <w:drawing>
              <wp:anchor distT="0" distB="0" distL="114300" distR="114300" simplePos="0" relativeHeight="251659264" behindDoc="0" locked="0" layoutInCell="1" allowOverlap="1">
                <wp:simplePos x="0" y="0"/>
                <wp:positionH relativeFrom="column">
                  <wp:posOffset>4467225</wp:posOffset>
                </wp:positionH>
                <wp:positionV relativeFrom="paragraph">
                  <wp:posOffset>316865</wp:posOffset>
                </wp:positionV>
                <wp:extent cx="1714500" cy="617855"/>
                <wp:effectExtent l="0" t="2540" r="63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617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3D0" w:rsidRDefault="006223D0" w:rsidP="00B1208A">
                            <w:pPr>
                              <w:pStyle w:val="a7"/>
                              <w:spacing w:after="60"/>
                              <w:jc w:val="center"/>
                              <w:rPr>
                                <w:b/>
                                <w:bCs/>
                                <w:color w:val="000066"/>
                                <w:spacing w:val="8"/>
                                <w:rtl/>
                                <w:lang w:eastAsia="en-US"/>
                              </w:rPr>
                            </w:pPr>
                            <w:r>
                              <w:rPr>
                                <w:rFonts w:hint="eastAsia"/>
                                <w:b/>
                                <w:bCs/>
                                <w:color w:val="000066"/>
                                <w:spacing w:val="8"/>
                                <w:rtl/>
                                <w:lang w:eastAsia="en-US"/>
                              </w:rPr>
                              <w:t>הכנסת</w:t>
                            </w:r>
                          </w:p>
                          <w:p w:rsidR="006223D0" w:rsidRPr="00E37CE6" w:rsidRDefault="006223D0" w:rsidP="00B1208A">
                            <w:pPr>
                              <w:pStyle w:val="a7"/>
                              <w:spacing w:before="60"/>
                              <w:jc w:val="center"/>
                              <w:rPr>
                                <w:b/>
                                <w:bCs/>
                                <w:rtl/>
                                <w:lang w:eastAsia="en-US"/>
                              </w:rPr>
                            </w:pPr>
                            <w:r w:rsidRPr="00E37CE6">
                              <w:rPr>
                                <w:rFonts w:hint="cs"/>
                                <w:b/>
                                <w:bCs/>
                                <w:color w:val="000066"/>
                                <w:rtl/>
                              </w:rPr>
                              <w:t>מרכז המחקר והמידע</w:t>
                            </w:r>
                          </w:p>
                          <w:p w:rsidR="006223D0" w:rsidRDefault="006223D0" w:rsidP="00B1208A">
                            <w:pPr>
                              <w:rPr>
                                <w:rtl/>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351.75pt;margin-top:24.95pt;width:135pt;height:4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" filled="f" stroked="f">
                <v:textbox>
                  <w:txbxContent>
                    <w:p w:rsidR="006223D0" w:rsidRDefault="006223D0" w:rsidP="00B1208A">
                      <w:pPr>
                        <w:pStyle w:val="a7"/>
                        <w:spacing w:after="60"/>
                        <w:jc w:val="center"/>
                        <w:rPr>
                          <w:b/>
                          <w:bCs/>
                          <w:color w:val="000066"/>
                          <w:spacing w:val="8"/>
                          <w:rtl/>
                          <w:lang w:eastAsia="en-US"/>
                        </w:rPr>
                      </w:pPr>
                      <w:r>
                        <w:rPr>
                          <w:rFonts w:hint="eastAsia"/>
                          <w:b/>
                          <w:bCs/>
                          <w:color w:val="000066"/>
                          <w:spacing w:val="8"/>
                          <w:rtl/>
                          <w:lang w:eastAsia="en-US"/>
                        </w:rPr>
                        <w:t>הכנסת</w:t>
                      </w:r>
                    </w:p>
                    <w:p w:rsidR="006223D0" w:rsidRPr="00E37CE6" w:rsidRDefault="006223D0" w:rsidP="00B1208A">
                      <w:pPr>
                        <w:pStyle w:val="a7"/>
                        <w:spacing w:before="60"/>
                        <w:jc w:val="center"/>
                        <w:rPr>
                          <w:b/>
                          <w:bCs/>
                          <w:rtl/>
                          <w:lang w:eastAsia="en-US"/>
                        </w:rPr>
                      </w:pPr>
                      <w:r w:rsidRPr="00E37CE6">
                        <w:rPr>
                          <w:rFonts w:hint="cs"/>
                          <w:b/>
                          <w:bCs/>
                          <w:color w:val="000066"/>
                          <w:rtl/>
                        </w:rPr>
                        <w:t>מרכז המחקר והמידע</w:t>
                      </w:r>
                    </w:p>
                    <w:p w:rsidR="006223D0" w:rsidRDefault="006223D0" w:rsidP="00B1208A">
                      <w:pPr>
                        <w:rPr>
                          <w:rtl/>
                          <w:lang w:eastAsia="en-US"/>
                        </w:rPr>
                      </w:pPr>
                    </w:p>
                  </w:txbxContent>
                </v:textbox>
              </v:shape>
            </w:pict>
          </mc:Fallback>
        </mc:AlternateContent>
      </w:r>
      <w:r>
        <w:rPr>
          <w:noProof/>
          <w:lang w:eastAsia="en-US"/>
        </w:rPr>
        <w:drawing>
          <wp:anchor distT="0" distB="0" distL="114300" distR="114300" simplePos="0" relativeHeight="251657216" behindDoc="1" locked="0" layoutInCell="1" allowOverlap="1">
            <wp:simplePos x="0" y="0"/>
            <wp:positionH relativeFrom="column">
              <wp:posOffset>5019675</wp:posOffset>
            </wp:positionH>
            <wp:positionV relativeFrom="paragraph">
              <wp:posOffset>-219075</wp:posOffset>
            </wp:positionV>
            <wp:extent cx="609600" cy="689610"/>
            <wp:effectExtent l="0" t="0" r="0" b="0"/>
            <wp:wrapNone/>
            <wp:docPr id="4" name="תמונה 3" descr="סגן מזכ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סגן מזכיר"/>
                    <pic:cNvPicPr>
                      <a:picLocks noChangeAspect="1" noChangeArrowheads="1"/>
                    </pic:cNvPicPr>
                  </pic:nvPicPr>
                  <pic:blipFill>
                    <a:blip r:embed="rId8" cstate="print">
                      <a:extLst>
                        <a:ext uri="{28A0092B-C50C-407E-A947-70E740481C1C}">
                          <a14:useLocalDpi xmlns:a14="http://schemas.microsoft.com/office/drawing/2010/main" val="0"/>
                        </a:ext>
                      </a:extLst>
                    </a:blip>
                    <a:srcRect l="19977" r="20679" b="25812"/>
                    <a:stretch>
                      <a:fillRect/>
                    </a:stretch>
                  </pic:blipFill>
                  <pic:spPr bwMode="auto">
                    <a:xfrm>
                      <a:off x="0" y="0"/>
                      <a:ext cx="609600" cy="689610"/>
                    </a:xfrm>
                    <a:prstGeom prst="rect">
                      <a:avLst/>
                    </a:prstGeom>
                    <a:noFill/>
                  </pic:spPr>
                </pic:pic>
              </a:graphicData>
            </a:graphic>
            <wp14:sizeRelH relativeFrom="page">
              <wp14:pctWidth>0</wp14:pctWidth>
            </wp14:sizeRelH>
            <wp14:sizeRelV relativeFrom="page">
              <wp14:pctHeight>0</wp14:pctHeight>
            </wp14:sizeRelV>
          </wp:anchor>
        </w:drawing>
      </w:r>
    </w:p>
    <w:p w:rsidR="00B1208A" w:rsidRDefault="00B1208A" w:rsidP="00B1208A">
      <w:pPr>
        <w:pStyle w:val="a7"/>
        <w:jc w:val="center"/>
        <w:rPr>
          <w:color w:val="000066"/>
          <w:sz w:val="28"/>
          <w:szCs w:val="28"/>
          <w:rtl/>
          <w:lang w:eastAsia="en-US"/>
        </w:rPr>
      </w:pPr>
    </w:p>
    <w:p w:rsidR="00B1208A" w:rsidRDefault="001607DF" w:rsidP="00B1208A">
      <w:pPr>
        <w:pStyle w:val="a3"/>
        <w:ind w:left="-14"/>
        <w:rPr>
          <w:rtl/>
        </w:rPr>
      </w:pPr>
      <w:r>
        <w:rPr>
          <w:noProof/>
          <w:rtl/>
        </w:rPr>
        <mc:AlternateContent>
          <mc:Choice Requires="wps">
            <w:drawing>
              <wp:anchor distT="0" distB="0" distL="114300" distR="114300" simplePos="0" relativeHeight="251658240" behindDoc="0" locked="1" layoutInCell="1" allowOverlap="1">
                <wp:simplePos x="0" y="0"/>
                <wp:positionH relativeFrom="column">
                  <wp:posOffset>229235</wp:posOffset>
                </wp:positionH>
                <wp:positionV relativeFrom="paragraph">
                  <wp:posOffset>1383665</wp:posOffset>
                </wp:positionV>
                <wp:extent cx="3657600" cy="1485900"/>
                <wp:effectExtent l="0" t="127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3D0" w:rsidRPr="002C16E4" w:rsidRDefault="006223D0" w:rsidP="00006F97">
                            <w:pPr>
                              <w:jc w:val="center"/>
                              <w:rPr>
                                <w:b/>
                                <w:bCs/>
                                <w:sz w:val="36"/>
                                <w:szCs w:val="36"/>
                                <w:rtl/>
                                <w:lang w:eastAsia="en-US"/>
                              </w:rPr>
                            </w:pPr>
                            <w:r w:rsidRPr="002C16E4">
                              <w:rPr>
                                <w:rFonts w:hint="cs"/>
                                <w:b/>
                                <w:bCs/>
                                <w:sz w:val="36"/>
                                <w:szCs w:val="36"/>
                                <w:rtl/>
                                <w:lang w:eastAsia="en-US"/>
                              </w:rPr>
                              <w:t>מדיניות וחקיקה בנושא הפלרת מי</w:t>
                            </w:r>
                            <w:r>
                              <w:rPr>
                                <w:rFonts w:hint="cs"/>
                                <w:b/>
                                <w:bCs/>
                                <w:sz w:val="36"/>
                                <w:szCs w:val="36"/>
                                <w:rtl/>
                                <w:lang w:eastAsia="en-US"/>
                              </w:rPr>
                              <w:t xml:space="preserve"> </w:t>
                            </w:r>
                            <w:r w:rsidRPr="002C16E4">
                              <w:rPr>
                                <w:rFonts w:hint="cs"/>
                                <w:b/>
                                <w:bCs/>
                                <w:sz w:val="36"/>
                                <w:szCs w:val="36"/>
                                <w:rtl/>
                                <w:lang w:eastAsia="en-US"/>
                              </w:rPr>
                              <w:t>שת</w:t>
                            </w:r>
                            <w:r>
                              <w:rPr>
                                <w:rFonts w:hint="cs"/>
                                <w:b/>
                                <w:bCs/>
                                <w:sz w:val="36"/>
                                <w:szCs w:val="36"/>
                                <w:rtl/>
                                <w:lang w:eastAsia="en-US"/>
                              </w:rPr>
                              <w:t>י</w:t>
                            </w:r>
                            <w:r w:rsidRPr="002C16E4">
                              <w:rPr>
                                <w:rFonts w:hint="cs"/>
                                <w:b/>
                                <w:bCs/>
                                <w:sz w:val="36"/>
                                <w:szCs w:val="36"/>
                                <w:rtl/>
                                <w:lang w:eastAsia="en-US"/>
                              </w:rPr>
                              <w:t>יה</w:t>
                            </w:r>
                          </w:p>
                          <w:p w:rsidR="006223D0" w:rsidRPr="002C16E4" w:rsidRDefault="006223D0" w:rsidP="00241A5B">
                            <w:pPr>
                              <w:jc w:val="center"/>
                              <w:rPr>
                                <w:b/>
                                <w:bCs/>
                                <w:sz w:val="36"/>
                                <w:szCs w:val="36"/>
                                <w:rtl/>
                                <w:lang w:eastAsia="en-US"/>
                              </w:rPr>
                            </w:pPr>
                            <w:r>
                              <w:rPr>
                                <w:rFonts w:hint="eastAsia"/>
                                <w:b/>
                                <w:bCs/>
                                <w:sz w:val="36"/>
                                <w:szCs w:val="36"/>
                                <w:rtl/>
                                <w:lang w:eastAsia="en-US"/>
                              </w:rPr>
                              <w:t>–</w:t>
                            </w:r>
                            <w:r>
                              <w:rPr>
                                <w:rFonts w:hint="cs"/>
                                <w:b/>
                                <w:bCs/>
                                <w:sz w:val="36"/>
                                <w:szCs w:val="36"/>
                                <w:rtl/>
                                <w:lang w:eastAsia="en-US"/>
                              </w:rPr>
                              <w:t xml:space="preserve"> </w:t>
                            </w:r>
                            <w:r w:rsidRPr="002C16E4">
                              <w:rPr>
                                <w:rFonts w:hint="cs"/>
                                <w:b/>
                                <w:bCs/>
                                <w:sz w:val="36"/>
                                <w:szCs w:val="36"/>
                                <w:rtl/>
                                <w:lang w:eastAsia="en-US"/>
                              </w:rPr>
                              <w:t>סקירה משווה</w:t>
                            </w:r>
                            <w:r>
                              <w:rPr>
                                <w:rFonts w:hint="cs"/>
                                <w:b/>
                                <w:bCs/>
                                <w:sz w:val="36"/>
                                <w:szCs w:val="36"/>
                                <w:rtl/>
                                <w:lang w:eastAsia="en-US"/>
                              </w:rPr>
                              <w:t xml:space="preserve"> </w:t>
                            </w:r>
                            <w:r>
                              <w:rPr>
                                <w:rFonts w:hint="eastAsia"/>
                                <w:b/>
                                <w:bCs/>
                                <w:sz w:val="36"/>
                                <w:szCs w:val="36"/>
                                <w:rtl/>
                                <w:lang w:eastAsia="en-US"/>
                              </w:rPr>
                              <w:t>–</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8.05pt;margin-top:108.95pt;width:4in;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" filled="f" stroked="f">
                <v:textbox inset=",,,1mm">
                  <w:txbxContent>
                    <w:p w:rsidR="006223D0" w:rsidRPr="002C16E4" w:rsidRDefault="006223D0" w:rsidP="00006F97">
                      <w:pPr>
                        <w:jc w:val="center"/>
                        <w:rPr>
                          <w:b/>
                          <w:bCs/>
                          <w:sz w:val="36"/>
                          <w:szCs w:val="36"/>
                          <w:rtl/>
                          <w:lang w:eastAsia="en-US"/>
                        </w:rPr>
                      </w:pPr>
                      <w:r w:rsidRPr="002C16E4">
                        <w:rPr>
                          <w:rFonts w:hint="cs"/>
                          <w:b/>
                          <w:bCs/>
                          <w:sz w:val="36"/>
                          <w:szCs w:val="36"/>
                          <w:rtl/>
                          <w:lang w:eastAsia="en-US"/>
                        </w:rPr>
                        <w:t>מדיניות וחקיקה בנושא הפלרת מי</w:t>
                      </w:r>
                      <w:r>
                        <w:rPr>
                          <w:rFonts w:hint="cs"/>
                          <w:b/>
                          <w:bCs/>
                          <w:sz w:val="36"/>
                          <w:szCs w:val="36"/>
                          <w:rtl/>
                          <w:lang w:eastAsia="en-US"/>
                        </w:rPr>
                        <w:t xml:space="preserve"> </w:t>
                      </w:r>
                      <w:r w:rsidRPr="002C16E4">
                        <w:rPr>
                          <w:rFonts w:hint="cs"/>
                          <w:b/>
                          <w:bCs/>
                          <w:sz w:val="36"/>
                          <w:szCs w:val="36"/>
                          <w:rtl/>
                          <w:lang w:eastAsia="en-US"/>
                        </w:rPr>
                        <w:t>שת</w:t>
                      </w:r>
                      <w:r>
                        <w:rPr>
                          <w:rFonts w:hint="cs"/>
                          <w:b/>
                          <w:bCs/>
                          <w:sz w:val="36"/>
                          <w:szCs w:val="36"/>
                          <w:rtl/>
                          <w:lang w:eastAsia="en-US"/>
                        </w:rPr>
                        <w:t>י</w:t>
                      </w:r>
                      <w:r w:rsidRPr="002C16E4">
                        <w:rPr>
                          <w:rFonts w:hint="cs"/>
                          <w:b/>
                          <w:bCs/>
                          <w:sz w:val="36"/>
                          <w:szCs w:val="36"/>
                          <w:rtl/>
                          <w:lang w:eastAsia="en-US"/>
                        </w:rPr>
                        <w:t>יה</w:t>
                      </w:r>
                    </w:p>
                    <w:p w:rsidR="006223D0" w:rsidRPr="002C16E4" w:rsidRDefault="006223D0" w:rsidP="00241A5B">
                      <w:pPr>
                        <w:jc w:val="center"/>
                        <w:rPr>
                          <w:b/>
                          <w:bCs/>
                          <w:sz w:val="36"/>
                          <w:szCs w:val="36"/>
                          <w:rtl/>
                          <w:lang w:eastAsia="en-US"/>
                        </w:rPr>
                      </w:pPr>
                      <w:r>
                        <w:rPr>
                          <w:rFonts w:hint="eastAsia"/>
                          <w:b/>
                          <w:bCs/>
                          <w:sz w:val="36"/>
                          <w:szCs w:val="36"/>
                          <w:rtl/>
                          <w:lang w:eastAsia="en-US"/>
                        </w:rPr>
                        <w:t>–</w:t>
                      </w:r>
                      <w:r>
                        <w:rPr>
                          <w:rFonts w:hint="cs"/>
                          <w:b/>
                          <w:bCs/>
                          <w:sz w:val="36"/>
                          <w:szCs w:val="36"/>
                          <w:rtl/>
                          <w:lang w:eastAsia="en-US"/>
                        </w:rPr>
                        <w:t xml:space="preserve"> </w:t>
                      </w:r>
                      <w:r w:rsidRPr="002C16E4">
                        <w:rPr>
                          <w:rFonts w:hint="cs"/>
                          <w:b/>
                          <w:bCs/>
                          <w:sz w:val="36"/>
                          <w:szCs w:val="36"/>
                          <w:rtl/>
                          <w:lang w:eastAsia="en-US"/>
                        </w:rPr>
                        <w:t>סקירה משווה</w:t>
                      </w:r>
                      <w:r>
                        <w:rPr>
                          <w:rFonts w:hint="cs"/>
                          <w:b/>
                          <w:bCs/>
                          <w:sz w:val="36"/>
                          <w:szCs w:val="36"/>
                          <w:rtl/>
                          <w:lang w:eastAsia="en-US"/>
                        </w:rPr>
                        <w:t xml:space="preserve"> </w:t>
                      </w:r>
                      <w:r>
                        <w:rPr>
                          <w:rFonts w:hint="eastAsia"/>
                          <w:b/>
                          <w:bCs/>
                          <w:sz w:val="36"/>
                          <w:szCs w:val="36"/>
                          <w:rtl/>
                          <w:lang w:eastAsia="en-US"/>
                        </w:rPr>
                        <w:t>–</w:t>
                      </w:r>
                    </w:p>
                  </w:txbxContent>
                </v:textbox>
                <w10:anchorlock/>
              </v:shape>
            </w:pict>
          </mc:Fallback>
        </mc:AlternateContent>
      </w: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jc w:val="center"/>
        <w:rPr>
          <w:b/>
          <w:bCs/>
          <w:sz w:val="40"/>
          <w:szCs w:val="40"/>
          <w:rtl/>
        </w:rPr>
      </w:pPr>
    </w:p>
    <w:p w:rsidR="00B1208A" w:rsidRDefault="00B1208A" w:rsidP="00B1208A">
      <w:pPr>
        <w:pStyle w:val="a3"/>
        <w:ind w:left="-14"/>
        <w:jc w:val="center"/>
        <w:rPr>
          <w:b/>
          <w:bCs/>
          <w:sz w:val="32"/>
          <w:szCs w:val="32"/>
          <w:rtl/>
        </w:rPr>
      </w:pPr>
    </w:p>
    <w:p w:rsidR="00B1208A" w:rsidRDefault="00B1208A" w:rsidP="00B1208A">
      <w:pPr>
        <w:pStyle w:val="a3"/>
        <w:ind w:left="-14"/>
        <w:jc w:val="center"/>
        <w:rPr>
          <w:b/>
          <w:bCs/>
          <w:sz w:val="32"/>
          <w:szCs w:val="32"/>
          <w:rtl/>
        </w:rPr>
      </w:pPr>
    </w:p>
    <w:p w:rsidR="00B1208A" w:rsidRDefault="00B1208A" w:rsidP="00B1208A">
      <w:pPr>
        <w:pStyle w:val="a3"/>
        <w:ind w:left="-14"/>
        <w:jc w:val="center"/>
        <w:rPr>
          <w:b/>
          <w:bCs/>
          <w:sz w:val="32"/>
          <w:szCs w:val="32"/>
          <w:rtl/>
        </w:rPr>
      </w:pP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rPr>
          <w:rtl/>
        </w:rPr>
      </w:pPr>
    </w:p>
    <w:p w:rsidR="00B1208A" w:rsidRDefault="00B1208A" w:rsidP="00B1208A">
      <w:pPr>
        <w:pStyle w:val="a3"/>
        <w:ind w:left="-14"/>
        <w:jc w:val="right"/>
        <w:rPr>
          <w:rtl/>
        </w:rPr>
      </w:pPr>
    </w:p>
    <w:p w:rsidR="00B1208A" w:rsidRDefault="00B1208A" w:rsidP="00B1208A">
      <w:pPr>
        <w:pStyle w:val="a3"/>
        <w:ind w:left="-14"/>
        <w:jc w:val="right"/>
        <w:rPr>
          <w:rtl/>
        </w:rPr>
      </w:pPr>
    </w:p>
    <w:p w:rsidR="00B1208A" w:rsidRPr="00D944CA" w:rsidRDefault="00B1208A" w:rsidP="00B1208A">
      <w:pPr>
        <w:rPr>
          <w:lang w:eastAsia="en-US"/>
        </w:rPr>
      </w:pPr>
    </w:p>
    <w:tbl>
      <w:tblPr>
        <w:tblpPr w:leftFromText="180" w:rightFromText="180" w:vertAnchor="text" w:horzAnchor="page" w:tblpX="547" w:tblpY="942"/>
        <w:bidiVisual/>
        <w:tblW w:w="0" w:type="auto"/>
        <w:tblLayout w:type="fixed"/>
        <w:tblCellMar>
          <w:left w:w="0" w:type="dxa"/>
          <w:right w:w="0" w:type="dxa"/>
        </w:tblCellMar>
        <w:tblLook w:val="0000" w:firstRow="0" w:lastRow="0" w:firstColumn="0" w:lastColumn="0" w:noHBand="0" w:noVBand="0"/>
      </w:tblPr>
      <w:tblGrid>
        <w:gridCol w:w="5040"/>
        <w:gridCol w:w="2332"/>
      </w:tblGrid>
      <w:tr w:rsidR="0031673B" w:rsidRPr="00B80C6B" w:rsidTr="0031673B">
        <w:tc>
          <w:tcPr>
            <w:tcW w:w="5040" w:type="dxa"/>
            <w:vAlign w:val="bottom"/>
          </w:tcPr>
          <w:p w:rsidR="0031673B" w:rsidRPr="002C16E4" w:rsidRDefault="0031673B" w:rsidP="0031673B">
            <w:pPr>
              <w:pStyle w:val="4"/>
              <w:spacing w:line="312" w:lineRule="auto"/>
              <w:rPr>
                <w:b/>
                <w:bCs/>
                <w:sz w:val="26"/>
                <w:szCs w:val="26"/>
                <w:rtl/>
                <w:lang w:eastAsia="en-US"/>
              </w:rPr>
            </w:pPr>
            <w:r w:rsidRPr="002C16E4">
              <w:rPr>
                <w:rFonts w:hint="cs"/>
                <w:b/>
                <w:bCs/>
                <w:sz w:val="26"/>
                <w:szCs w:val="26"/>
                <w:rtl/>
                <w:lang w:eastAsia="en-US"/>
              </w:rPr>
              <w:t>כתיבה: דינה צדוק, עו"ד, ושירי בס ספקטור</w:t>
            </w:r>
          </w:p>
          <w:p w:rsidR="0031673B" w:rsidRDefault="0031673B" w:rsidP="0031673B">
            <w:pPr>
              <w:pStyle w:val="3"/>
              <w:spacing w:before="60" w:after="60" w:line="360" w:lineRule="auto"/>
              <w:rPr>
                <w:rtl/>
                <w:lang w:eastAsia="en-US"/>
              </w:rPr>
            </w:pPr>
            <w:r w:rsidRPr="00B80C6B">
              <w:rPr>
                <w:rFonts w:hint="cs"/>
                <w:rtl/>
                <w:lang w:eastAsia="en-US"/>
              </w:rPr>
              <w:t xml:space="preserve">אישור: שרון סופר, ראש צוות </w:t>
            </w:r>
          </w:p>
          <w:p w:rsidR="0031673B" w:rsidRPr="00B80C6B" w:rsidRDefault="0031673B" w:rsidP="0031673B">
            <w:pPr>
              <w:pStyle w:val="3"/>
              <w:spacing w:before="60" w:after="60" w:line="360" w:lineRule="auto"/>
              <w:rPr>
                <w:lang w:eastAsia="en-US"/>
              </w:rPr>
            </w:pPr>
            <w:r>
              <w:rPr>
                <w:rFonts w:hint="cs"/>
                <w:rtl/>
                <w:lang w:eastAsia="en-US"/>
              </w:rPr>
              <w:t>עריכה לשונית: מערכת "דברי הכנסת"</w:t>
            </w:r>
          </w:p>
        </w:tc>
        <w:tc>
          <w:tcPr>
            <w:tcW w:w="2332" w:type="dxa"/>
            <w:vAlign w:val="bottom"/>
          </w:tcPr>
          <w:p w:rsidR="0031673B" w:rsidRPr="00B80C6B" w:rsidRDefault="0031673B" w:rsidP="0031673B">
            <w:pPr>
              <w:jc w:val="center"/>
              <w:rPr>
                <w:rtl/>
                <w:lang w:eastAsia="en-US"/>
              </w:rPr>
            </w:pPr>
            <w:r>
              <w:rPr>
                <w:rFonts w:hint="cs"/>
                <w:rtl/>
                <w:lang w:eastAsia="en-US"/>
              </w:rPr>
              <w:t>י"ב בכסלו תשע"ב</w:t>
            </w:r>
          </w:p>
          <w:p w:rsidR="0031673B" w:rsidRDefault="0031673B" w:rsidP="0031673B">
            <w:pPr>
              <w:jc w:val="center"/>
              <w:rPr>
                <w:rtl/>
                <w:lang w:eastAsia="en-US"/>
              </w:rPr>
            </w:pPr>
            <w:r w:rsidRPr="00B80C6B">
              <w:rPr>
                <w:rtl/>
                <w:lang w:eastAsia="en-US"/>
              </w:rPr>
              <w:fldChar w:fldCharType="begin"/>
            </w:r>
            <w:r w:rsidRPr="00B80C6B">
              <w:rPr>
                <w:rtl/>
                <w:lang w:eastAsia="en-US"/>
              </w:rPr>
              <w:instrText xml:space="preserve"> </w:instrText>
            </w:r>
            <w:r w:rsidRPr="00B80C6B">
              <w:rPr>
                <w:rFonts w:hint="cs"/>
                <w:lang w:eastAsia="en-US"/>
              </w:rPr>
              <w:instrText>CREATEDATE  \@ "dd MMMM yyyy"  \* MERGEFORMAT</w:instrText>
            </w:r>
            <w:r w:rsidRPr="00B80C6B">
              <w:rPr>
                <w:rtl/>
                <w:lang w:eastAsia="en-US"/>
              </w:rPr>
              <w:instrText xml:space="preserve"> </w:instrText>
            </w:r>
            <w:r w:rsidRPr="00B80C6B">
              <w:rPr>
                <w:rtl/>
                <w:lang w:eastAsia="en-US"/>
              </w:rPr>
              <w:fldChar w:fldCharType="separate"/>
            </w:r>
            <w:r w:rsidRPr="00B80C6B">
              <w:rPr>
                <w:noProof/>
                <w:rtl/>
                <w:lang w:eastAsia="en-US"/>
              </w:rPr>
              <w:t>‏</w:t>
            </w:r>
            <w:r>
              <w:rPr>
                <w:rFonts w:hint="cs"/>
                <w:noProof/>
                <w:rtl/>
                <w:lang w:eastAsia="en-US"/>
              </w:rPr>
              <w:t>8</w:t>
            </w:r>
            <w:r w:rsidRPr="00B80C6B">
              <w:rPr>
                <w:noProof/>
                <w:rtl/>
                <w:lang w:eastAsia="en-US"/>
              </w:rPr>
              <w:t xml:space="preserve"> </w:t>
            </w:r>
            <w:r>
              <w:rPr>
                <w:rFonts w:hint="cs"/>
                <w:noProof/>
                <w:rtl/>
                <w:lang w:eastAsia="en-US"/>
              </w:rPr>
              <w:t>בדצמבר</w:t>
            </w:r>
            <w:r w:rsidRPr="00B80C6B">
              <w:rPr>
                <w:noProof/>
                <w:rtl/>
                <w:lang w:eastAsia="en-US"/>
              </w:rPr>
              <w:t xml:space="preserve"> 2011</w:t>
            </w:r>
            <w:r w:rsidRPr="00B80C6B">
              <w:rPr>
                <w:rtl/>
                <w:lang w:eastAsia="en-US"/>
              </w:rPr>
              <w:fldChar w:fldCharType="end"/>
            </w:r>
          </w:p>
          <w:p w:rsidR="0031673B" w:rsidRPr="00B80C6B" w:rsidRDefault="0031673B" w:rsidP="0031673B">
            <w:pPr>
              <w:jc w:val="center"/>
              <w:rPr>
                <w:lang w:eastAsia="en-US"/>
              </w:rPr>
            </w:pPr>
            <w:r>
              <w:rPr>
                <w:rFonts w:hint="cs"/>
                <w:rtl/>
                <w:lang w:eastAsia="en-US"/>
              </w:rPr>
              <w:t>עודכן: 14 במרס 2016</w:t>
            </w:r>
          </w:p>
        </w:tc>
      </w:tr>
    </w:tbl>
    <w:p w:rsidR="00B1208A" w:rsidRPr="00B80C6B" w:rsidRDefault="00B1208A" w:rsidP="00B1208A">
      <w:pPr>
        <w:rPr>
          <w:lang w:eastAsia="en-US"/>
        </w:rPr>
      </w:pPr>
    </w:p>
    <w:p w:rsidR="00C84C4E" w:rsidRDefault="00C84C4E" w:rsidP="00C84C4E">
      <w:pPr>
        <w:pStyle w:val="1"/>
        <w:numPr>
          <w:ilvl w:val="0"/>
          <w:numId w:val="0"/>
        </w:numPr>
        <w:rPr>
          <w:rtl/>
          <w:lang w:eastAsia="en-US"/>
        </w:rPr>
      </w:pPr>
    </w:p>
    <w:p w:rsidR="00EC6E0D" w:rsidRDefault="00B1208A" w:rsidP="00C84C4E">
      <w:pPr>
        <w:pStyle w:val="1"/>
        <w:numPr>
          <w:ilvl w:val="0"/>
          <w:numId w:val="0"/>
        </w:numPr>
      </w:pPr>
      <w:r w:rsidRPr="00B80C6B">
        <w:rPr>
          <w:rtl/>
          <w:lang w:eastAsia="en-US"/>
        </w:rPr>
        <w:tab/>
      </w:r>
    </w:p>
    <w:p w:rsidR="002C16E4" w:rsidRPr="00BE1701" w:rsidRDefault="002C16E4" w:rsidP="00320E0F">
      <w:pPr>
        <w:pStyle w:val="1"/>
        <w:rPr>
          <w:rtl/>
        </w:rPr>
      </w:pPr>
      <w:r>
        <w:rPr>
          <w:highlight w:val="lightGray"/>
          <w:rtl/>
        </w:rPr>
        <w:br w:type="page"/>
      </w:r>
      <w:r w:rsidRPr="00BE1701">
        <w:rPr>
          <w:rFonts w:hint="cs"/>
          <w:rtl/>
        </w:rPr>
        <w:t>מבוא</w:t>
      </w:r>
    </w:p>
    <w:p w:rsidR="00320E0F" w:rsidRDefault="002C16E4" w:rsidP="009008DC">
      <w:pPr>
        <w:pStyle w:val="a3"/>
        <w:rPr>
          <w:rtl/>
        </w:rPr>
      </w:pPr>
      <w:r>
        <w:rPr>
          <w:rFonts w:hint="cs"/>
          <w:rtl/>
        </w:rPr>
        <w:t xml:space="preserve">מסמך זה נכתב לבקשתם של חה"כ </w:t>
      </w:r>
      <w:smartTag w:uri="urn:schemas-microsoft-com:office:smarttags" w:element="PersonName">
        <w:r>
          <w:rPr>
            <w:rFonts w:hint="cs"/>
            <w:rtl/>
          </w:rPr>
          <w:t>מגלי והבה</w:t>
        </w:r>
      </w:smartTag>
      <w:r>
        <w:rPr>
          <w:rFonts w:hint="cs"/>
          <w:rtl/>
        </w:rPr>
        <w:t xml:space="preserve"> וחה"כ רחל אדטו</w:t>
      </w:r>
      <w:r w:rsidR="001D06BB">
        <w:rPr>
          <w:rFonts w:hint="cs"/>
          <w:rtl/>
        </w:rPr>
        <w:t xml:space="preserve"> בשנת 2011</w:t>
      </w:r>
      <w:r>
        <w:rPr>
          <w:rFonts w:hint="cs"/>
          <w:rtl/>
        </w:rPr>
        <w:t>, ועניינו סקירה משווה של מדיניות וחקיקה בנושא הוספת פלואור</w:t>
      </w:r>
      <w:r w:rsidR="00241A5B">
        <w:rPr>
          <w:rFonts w:hint="cs"/>
          <w:rtl/>
        </w:rPr>
        <w:t>יד</w:t>
      </w:r>
      <w:r>
        <w:rPr>
          <w:rFonts w:hint="cs"/>
          <w:rtl/>
        </w:rPr>
        <w:t xml:space="preserve"> למי</w:t>
      </w:r>
      <w:r w:rsidR="00E350FB">
        <w:rPr>
          <w:rFonts w:hint="cs"/>
          <w:rtl/>
        </w:rPr>
        <w:t xml:space="preserve"> </w:t>
      </w:r>
      <w:r>
        <w:rPr>
          <w:rFonts w:hint="cs"/>
          <w:rtl/>
        </w:rPr>
        <w:t>השתי</w:t>
      </w:r>
      <w:r w:rsidR="00E350FB">
        <w:rPr>
          <w:rFonts w:hint="cs"/>
          <w:rtl/>
        </w:rPr>
        <w:t>י</w:t>
      </w:r>
      <w:r>
        <w:rPr>
          <w:rFonts w:hint="cs"/>
          <w:rtl/>
        </w:rPr>
        <w:t>ה באופן מלאכותי (הפלרת מי</w:t>
      </w:r>
      <w:r w:rsidR="00E350FB">
        <w:rPr>
          <w:rFonts w:hint="cs"/>
          <w:rtl/>
        </w:rPr>
        <w:t xml:space="preserve"> </w:t>
      </w:r>
      <w:r>
        <w:rPr>
          <w:rFonts w:hint="cs"/>
          <w:rtl/>
        </w:rPr>
        <w:t>שת</w:t>
      </w:r>
      <w:r w:rsidR="00E350FB">
        <w:rPr>
          <w:rFonts w:hint="cs"/>
          <w:rtl/>
        </w:rPr>
        <w:t>י</w:t>
      </w:r>
      <w:r>
        <w:rPr>
          <w:rFonts w:hint="cs"/>
          <w:rtl/>
        </w:rPr>
        <w:t xml:space="preserve">יה). </w:t>
      </w:r>
      <w:r w:rsidR="00E350FB">
        <w:rPr>
          <w:rFonts w:hint="cs"/>
          <w:rtl/>
        </w:rPr>
        <w:t>ב</w:t>
      </w:r>
      <w:r>
        <w:rPr>
          <w:rFonts w:hint="cs"/>
          <w:rtl/>
        </w:rPr>
        <w:t xml:space="preserve">סקירה </w:t>
      </w:r>
      <w:r w:rsidR="00E350FB">
        <w:rPr>
          <w:rFonts w:hint="cs"/>
          <w:rtl/>
        </w:rPr>
        <w:t>נכללות</w:t>
      </w:r>
      <w:r>
        <w:rPr>
          <w:rFonts w:hint="cs"/>
          <w:rtl/>
        </w:rPr>
        <w:t xml:space="preserve"> </w:t>
      </w:r>
      <w:r w:rsidR="00E768EF">
        <w:rPr>
          <w:rFonts w:hint="cs"/>
          <w:rtl/>
        </w:rPr>
        <w:t>דוגמאות ל</w:t>
      </w:r>
      <w:r>
        <w:rPr>
          <w:rFonts w:hint="cs"/>
          <w:rtl/>
        </w:rPr>
        <w:t>מדינות המתירות הפלרה, בדרך כלל בכפוף להחלטת הרשות המקומית</w:t>
      </w:r>
      <w:r w:rsidR="006223D0">
        <w:rPr>
          <w:rFonts w:hint="cs"/>
          <w:rtl/>
        </w:rPr>
        <w:t xml:space="preserve"> (האיחוד האירופי, אנגליה, ניו-זילנד, ארצות הברית, גרמניה, ואוסטרליה)</w:t>
      </w:r>
      <w:r>
        <w:rPr>
          <w:rFonts w:hint="cs"/>
          <w:rtl/>
        </w:rPr>
        <w:t xml:space="preserve">, מדינות </w:t>
      </w:r>
      <w:r w:rsidR="009008DC">
        <w:rPr>
          <w:rFonts w:hint="cs"/>
          <w:rtl/>
        </w:rPr>
        <w:t>שאינן מתירות</w:t>
      </w:r>
      <w:r>
        <w:rPr>
          <w:rFonts w:hint="cs"/>
          <w:rtl/>
        </w:rPr>
        <w:t xml:space="preserve"> הפלרת מי</w:t>
      </w:r>
      <w:r w:rsidR="00E350FB">
        <w:rPr>
          <w:rFonts w:hint="cs"/>
          <w:rtl/>
        </w:rPr>
        <w:t xml:space="preserve"> </w:t>
      </w:r>
      <w:r>
        <w:rPr>
          <w:rFonts w:hint="cs"/>
          <w:rtl/>
        </w:rPr>
        <w:t xml:space="preserve">שתייה בשטחן </w:t>
      </w:r>
      <w:r w:rsidR="006223D0">
        <w:rPr>
          <w:rFonts w:hint="cs"/>
          <w:rtl/>
        </w:rPr>
        <w:t xml:space="preserve">(שבדיה, צ'כיה והולנד) </w:t>
      </w:r>
      <w:r>
        <w:rPr>
          <w:rFonts w:hint="cs"/>
          <w:rtl/>
        </w:rPr>
        <w:t>ומדינות המחייבות הוספת פלואור</w:t>
      </w:r>
      <w:r w:rsidR="00241A5B">
        <w:rPr>
          <w:rFonts w:hint="cs"/>
          <w:rtl/>
        </w:rPr>
        <w:t>יד</w:t>
      </w:r>
      <w:r>
        <w:rPr>
          <w:rFonts w:hint="cs"/>
          <w:rtl/>
        </w:rPr>
        <w:t xml:space="preserve"> למים</w:t>
      </w:r>
      <w:r w:rsidR="006223D0">
        <w:rPr>
          <w:rFonts w:hint="cs"/>
          <w:rtl/>
        </w:rPr>
        <w:t xml:space="preserve"> (אירלנד</w:t>
      </w:r>
      <w:r w:rsidR="001D06BB">
        <w:rPr>
          <w:rFonts w:hint="cs"/>
          <w:rtl/>
        </w:rPr>
        <w:t>)</w:t>
      </w:r>
      <w:r>
        <w:rPr>
          <w:rFonts w:hint="cs"/>
          <w:rtl/>
        </w:rPr>
        <w:t xml:space="preserve">. נוסף </w:t>
      </w:r>
      <w:r w:rsidR="00E350FB">
        <w:rPr>
          <w:rFonts w:hint="cs"/>
          <w:rtl/>
        </w:rPr>
        <w:t>על כך מובא ב</w:t>
      </w:r>
      <w:r>
        <w:rPr>
          <w:rFonts w:hint="cs"/>
          <w:rtl/>
        </w:rPr>
        <w:t>סקירה מידע על ריכוז הפלואור</w:t>
      </w:r>
      <w:r w:rsidR="00241A5B">
        <w:rPr>
          <w:rFonts w:hint="cs"/>
          <w:rtl/>
        </w:rPr>
        <w:t>יד</w:t>
      </w:r>
      <w:r>
        <w:rPr>
          <w:rFonts w:hint="cs"/>
          <w:rtl/>
        </w:rPr>
        <w:t xml:space="preserve"> המרבי המותר במי</w:t>
      </w:r>
      <w:r w:rsidR="00006F97">
        <w:rPr>
          <w:rFonts w:hint="cs"/>
          <w:rtl/>
        </w:rPr>
        <w:t xml:space="preserve"> </w:t>
      </w:r>
      <w:r>
        <w:rPr>
          <w:rFonts w:hint="cs"/>
          <w:rtl/>
        </w:rPr>
        <w:t>שת</w:t>
      </w:r>
      <w:r w:rsidR="00E350FB">
        <w:rPr>
          <w:rFonts w:hint="cs"/>
          <w:rtl/>
        </w:rPr>
        <w:t>י</w:t>
      </w:r>
      <w:r>
        <w:rPr>
          <w:rFonts w:hint="cs"/>
          <w:rtl/>
        </w:rPr>
        <w:t xml:space="preserve">יה במדינות </w:t>
      </w:r>
      <w:r w:rsidR="00E350FB">
        <w:rPr>
          <w:rFonts w:hint="cs"/>
          <w:rtl/>
        </w:rPr>
        <w:t>ש</w:t>
      </w:r>
      <w:r>
        <w:rPr>
          <w:rFonts w:hint="cs"/>
          <w:rtl/>
        </w:rPr>
        <w:t>בהן היה מידע זמין על כך. נציין כי מסמך זה אינו עוסק בהשלכות הבריאותיות והסביבתיות של הוספת פלואור</w:t>
      </w:r>
      <w:r w:rsidR="00241A5B">
        <w:rPr>
          <w:rFonts w:hint="cs"/>
          <w:rtl/>
        </w:rPr>
        <w:t>יד</w:t>
      </w:r>
      <w:r>
        <w:rPr>
          <w:rFonts w:hint="cs"/>
          <w:rtl/>
        </w:rPr>
        <w:t xml:space="preserve"> למי</w:t>
      </w:r>
      <w:r w:rsidR="00E350FB">
        <w:rPr>
          <w:rFonts w:hint="cs"/>
          <w:rtl/>
        </w:rPr>
        <w:t xml:space="preserve"> </w:t>
      </w:r>
      <w:r>
        <w:rPr>
          <w:rFonts w:hint="cs"/>
          <w:rtl/>
        </w:rPr>
        <w:t>השת</w:t>
      </w:r>
      <w:r w:rsidR="00E350FB">
        <w:rPr>
          <w:rFonts w:hint="cs"/>
          <w:rtl/>
        </w:rPr>
        <w:t>י</w:t>
      </w:r>
      <w:r>
        <w:rPr>
          <w:rFonts w:hint="cs"/>
          <w:rtl/>
        </w:rPr>
        <w:t>יה</w:t>
      </w:r>
      <w:r w:rsidR="00E350FB">
        <w:rPr>
          <w:rFonts w:hint="cs"/>
          <w:rtl/>
        </w:rPr>
        <w:t>,</w:t>
      </w:r>
      <w:r>
        <w:rPr>
          <w:rStyle w:val="a6"/>
          <w:rtl/>
        </w:rPr>
        <w:footnoteReference w:id="1"/>
      </w:r>
      <w:r>
        <w:rPr>
          <w:rFonts w:hint="cs"/>
          <w:rtl/>
        </w:rPr>
        <w:t xml:space="preserve"> או במדיניות ההפלרה בישראל. </w:t>
      </w:r>
    </w:p>
    <w:p w:rsidR="00320E0F" w:rsidRDefault="001D06BB" w:rsidP="00320E0F">
      <w:pPr>
        <w:pStyle w:val="a3"/>
        <w:rPr>
          <w:rtl/>
        </w:rPr>
      </w:pPr>
      <w:r>
        <w:rPr>
          <w:rFonts w:hint="cs"/>
          <w:rtl/>
        </w:rPr>
        <w:t xml:space="preserve">המסמך עודכן במרס 2016 לבקשת ועדת הפנים והגנת הסביבה, </w:t>
      </w:r>
      <w:r w:rsidRPr="00304DE3">
        <w:rPr>
          <w:rFonts w:hint="cs"/>
          <w:rtl/>
        </w:rPr>
        <w:t xml:space="preserve">לקראת דיון </w:t>
      </w:r>
      <w:r w:rsidR="00304DE3" w:rsidRPr="00304DE3">
        <w:rPr>
          <w:rFonts w:hint="cs"/>
          <w:rtl/>
        </w:rPr>
        <w:t>ב</w:t>
      </w:r>
      <w:r w:rsidR="00304DE3" w:rsidRPr="00320E0F">
        <w:rPr>
          <w:rtl/>
        </w:rPr>
        <w:t xml:space="preserve">תקנות בריאות העם (איכותם התברואית של מי שתיה ומיתקני מי שתיה) </w:t>
      </w:r>
      <w:r w:rsidR="00304DE3">
        <w:rPr>
          <w:rtl/>
        </w:rPr>
        <w:t>–</w:t>
      </w:r>
      <w:r w:rsidR="00304DE3" w:rsidRPr="00320E0F">
        <w:rPr>
          <w:rtl/>
        </w:rPr>
        <w:t xml:space="preserve"> הפלרה</w:t>
      </w:r>
      <w:r w:rsidR="00304DE3">
        <w:rPr>
          <w:rFonts w:hint="cs"/>
          <w:rtl/>
        </w:rPr>
        <w:t>.</w:t>
      </w:r>
      <w:r w:rsidR="003041C4">
        <w:rPr>
          <w:rFonts w:hint="cs"/>
          <w:rtl/>
        </w:rPr>
        <w:t xml:space="preserve"> </w:t>
      </w:r>
      <w:r w:rsidR="00425571" w:rsidRPr="00320E0F">
        <w:rPr>
          <w:rFonts w:hint="eastAsia"/>
          <w:b/>
          <w:bCs/>
          <w:rtl/>
        </w:rPr>
        <w:t>השינוי</w:t>
      </w:r>
      <w:r w:rsidR="00425571" w:rsidRPr="00320E0F">
        <w:rPr>
          <w:b/>
          <w:bCs/>
          <w:rtl/>
        </w:rPr>
        <w:t xml:space="preserve"> העיקרי שמצאנו </w:t>
      </w:r>
      <w:r w:rsidR="0050369F">
        <w:rPr>
          <w:rFonts w:hint="cs"/>
          <w:b/>
          <w:bCs/>
          <w:rtl/>
        </w:rPr>
        <w:t xml:space="preserve">במדינות אותן סקרנו </w:t>
      </w:r>
      <w:r w:rsidR="00425571" w:rsidRPr="00320E0F">
        <w:rPr>
          <w:b/>
          <w:bCs/>
          <w:rtl/>
        </w:rPr>
        <w:t xml:space="preserve">ביחס לשנת </w:t>
      </w:r>
      <w:r w:rsidR="0050369F">
        <w:rPr>
          <w:rFonts w:hint="cs"/>
          <w:b/>
          <w:bCs/>
          <w:rtl/>
        </w:rPr>
        <w:t xml:space="preserve"> </w:t>
      </w:r>
      <w:r w:rsidR="00425571" w:rsidRPr="00320E0F">
        <w:rPr>
          <w:b/>
          <w:bCs/>
          <w:rtl/>
        </w:rPr>
        <w:t xml:space="preserve">2011, היה במדינת קווינסלנד באוסטרליה, </w:t>
      </w:r>
      <w:r w:rsidR="00425571" w:rsidRPr="00320E0F">
        <w:rPr>
          <w:rFonts w:hint="eastAsia"/>
          <w:b/>
          <w:bCs/>
          <w:rtl/>
        </w:rPr>
        <w:t>בה</w:t>
      </w:r>
      <w:r w:rsidR="00425571" w:rsidRPr="00320E0F">
        <w:rPr>
          <w:b/>
          <w:bCs/>
          <w:rtl/>
        </w:rPr>
        <w:t xml:space="preserve"> </w:t>
      </w:r>
      <w:r w:rsidR="00425571" w:rsidRPr="00320E0F">
        <w:rPr>
          <w:rFonts w:hint="eastAsia"/>
          <w:b/>
          <w:bCs/>
          <w:rtl/>
        </w:rPr>
        <w:t>בוטלה</w:t>
      </w:r>
      <w:r w:rsidR="00425571" w:rsidRPr="00320E0F">
        <w:rPr>
          <w:b/>
          <w:bCs/>
          <w:rtl/>
        </w:rPr>
        <w:t xml:space="preserve"> חובת הוספת פלואוריד למים</w:t>
      </w:r>
      <w:r w:rsidR="00425571">
        <w:rPr>
          <w:rFonts w:hint="cs"/>
          <w:rtl/>
        </w:rPr>
        <w:t xml:space="preserve">. </w:t>
      </w:r>
      <w:r w:rsidR="00F036CE">
        <w:rPr>
          <w:rFonts w:hint="cs"/>
          <w:rtl/>
        </w:rPr>
        <w:t>נוסף על כך</w:t>
      </w:r>
      <w:r w:rsidR="00425571">
        <w:rPr>
          <w:rFonts w:hint="cs"/>
          <w:rtl/>
        </w:rPr>
        <w:t xml:space="preserve">, </w:t>
      </w:r>
      <w:r w:rsidR="00425571" w:rsidRPr="00320E0F">
        <w:rPr>
          <w:rFonts w:hint="cs"/>
          <w:b/>
          <w:bCs/>
          <w:rtl/>
        </w:rPr>
        <w:t>בארצות הברית אומצה באופן סופי המלצת שירותי בריאות הציבור, לפיה הריכוז האופטימלי של פלואור המוסף למי השתייה באופן מלאכותי הוא 0.7 מ"ג לליטר. באנגליה הועברה סמכות ההחלטה בנושא הפלרת מי-שתייה לידי הרשות המקומית.</w:t>
      </w:r>
      <w:r w:rsidR="00425571">
        <w:rPr>
          <w:rFonts w:hint="cs"/>
          <w:rtl/>
        </w:rPr>
        <w:t xml:space="preserve"> נציין כי לא עלה בידנו למצוא מידע עדכני בנושא מדיני</w:t>
      </w:r>
      <w:r w:rsidR="007C22FD">
        <w:rPr>
          <w:rFonts w:hint="cs"/>
          <w:rtl/>
        </w:rPr>
        <w:t xml:space="preserve">ות ההפלרה בגרמניה, </w:t>
      </w:r>
      <w:r w:rsidR="00F036CE">
        <w:rPr>
          <w:rFonts w:hint="cs"/>
          <w:rtl/>
        </w:rPr>
        <w:t>ב</w:t>
      </w:r>
      <w:r w:rsidR="007C22FD">
        <w:rPr>
          <w:rFonts w:hint="cs"/>
          <w:rtl/>
        </w:rPr>
        <w:t>צ'כיה ו</w:t>
      </w:r>
      <w:r w:rsidR="00F036CE">
        <w:rPr>
          <w:rFonts w:hint="cs"/>
          <w:rtl/>
        </w:rPr>
        <w:t>ב</w:t>
      </w:r>
      <w:r w:rsidR="007C22FD">
        <w:rPr>
          <w:rFonts w:hint="cs"/>
          <w:rtl/>
        </w:rPr>
        <w:t>הולנד, מכאן שהמידע שמוצג ביחס אליהן נכון לשנת 2011.</w:t>
      </w:r>
      <w:r w:rsidR="00F036CE" w:rsidRPr="00F036CE">
        <w:rPr>
          <w:rFonts w:hint="cs"/>
          <w:rtl/>
        </w:rPr>
        <w:t xml:space="preserve"> </w:t>
      </w:r>
      <w:r w:rsidR="00F036CE">
        <w:rPr>
          <w:rFonts w:hint="cs"/>
          <w:rtl/>
        </w:rPr>
        <w:t>לא מצאנו שינוי מהותי במדיניותן של מדינות אחרות שנסקרו במסמך בנושא הפלרת מי-שתייה.</w:t>
      </w:r>
      <w:r w:rsidR="00320E0F">
        <w:rPr>
          <w:rFonts w:hint="cs"/>
          <w:rtl/>
        </w:rPr>
        <w:t xml:space="preserve"> </w:t>
      </w:r>
    </w:p>
    <w:p w:rsidR="00320E0F" w:rsidRDefault="00320E0F" w:rsidP="00320E0F">
      <w:pPr>
        <w:pStyle w:val="a3"/>
        <w:rPr>
          <w:rtl/>
        </w:rPr>
      </w:pPr>
    </w:p>
    <w:p w:rsidR="002C16E4" w:rsidRDefault="002C16E4" w:rsidP="00320E0F">
      <w:pPr>
        <w:pStyle w:val="1"/>
      </w:pPr>
      <w:r>
        <w:rPr>
          <w:rFonts w:hint="cs"/>
          <w:rtl/>
        </w:rPr>
        <w:t>מדיניות המתירה הפלרה</w:t>
      </w:r>
    </w:p>
    <w:p w:rsidR="002C16E4" w:rsidRDefault="002C16E4" w:rsidP="00241A5B">
      <w:pPr>
        <w:pStyle w:val="a3"/>
        <w:rPr>
          <w:rtl/>
        </w:rPr>
      </w:pPr>
      <w:r w:rsidRPr="005214B4">
        <w:rPr>
          <w:rFonts w:hint="cs"/>
          <w:b/>
          <w:bCs/>
          <w:rtl/>
        </w:rPr>
        <w:t xml:space="preserve">בחלק ניכר מהמדינות שנבדקו לא מצאנו בחקיקה או ברמת המדיניות הוראה מחייבת </w:t>
      </w:r>
      <w:r w:rsidRPr="005214B4">
        <w:rPr>
          <w:b/>
          <w:bCs/>
          <w:rtl/>
        </w:rPr>
        <w:t>–</w:t>
      </w:r>
      <w:r w:rsidRPr="005214B4">
        <w:rPr>
          <w:rFonts w:hint="cs"/>
          <w:b/>
          <w:bCs/>
          <w:rtl/>
        </w:rPr>
        <w:t xml:space="preserve"> לחיוב או לשלילה </w:t>
      </w:r>
      <w:r w:rsidRPr="005214B4">
        <w:rPr>
          <w:b/>
          <w:bCs/>
          <w:rtl/>
        </w:rPr>
        <w:t>–</w:t>
      </w:r>
      <w:r w:rsidRPr="005214B4">
        <w:rPr>
          <w:rFonts w:hint="cs"/>
          <w:b/>
          <w:bCs/>
          <w:rtl/>
        </w:rPr>
        <w:t xml:space="preserve"> בעניין ההפלרה</w:t>
      </w:r>
      <w:r w:rsidRPr="00055187">
        <w:rPr>
          <w:rFonts w:hint="cs"/>
          <w:rtl/>
        </w:rPr>
        <w:t xml:space="preserve">. בכל המדינות </w:t>
      </w:r>
      <w:r>
        <w:rPr>
          <w:rFonts w:hint="cs"/>
          <w:rtl/>
        </w:rPr>
        <w:t xml:space="preserve">שנסקרו </w:t>
      </w:r>
      <w:r w:rsidR="00E350FB">
        <w:rPr>
          <w:rFonts w:hint="cs"/>
          <w:rtl/>
        </w:rPr>
        <w:t xml:space="preserve">יש </w:t>
      </w:r>
      <w:r w:rsidRPr="00055187">
        <w:rPr>
          <w:rFonts w:hint="cs"/>
          <w:rtl/>
        </w:rPr>
        <w:t>תקן איכות מים מחייב או המלצה רשמית של משרד הבריאות בדבר ריכוז מקסימלי של פלואור</w:t>
      </w:r>
      <w:r w:rsidR="00241A5B">
        <w:rPr>
          <w:rFonts w:hint="cs"/>
          <w:rtl/>
        </w:rPr>
        <w:t>יד</w:t>
      </w:r>
      <w:r w:rsidRPr="00055187">
        <w:rPr>
          <w:rFonts w:hint="cs"/>
          <w:rtl/>
        </w:rPr>
        <w:t xml:space="preserve"> במי שתייה. ר</w:t>
      </w:r>
      <w:r w:rsidR="00E350FB">
        <w:rPr>
          <w:rFonts w:hint="cs"/>
          <w:rtl/>
        </w:rPr>
        <w:t>ו</w:t>
      </w:r>
      <w:r w:rsidRPr="00055187">
        <w:rPr>
          <w:rFonts w:hint="cs"/>
          <w:rtl/>
        </w:rPr>
        <w:t>ב המדינות שיוצגו בפרק זה מאפשרות להוסיף פלואור</w:t>
      </w:r>
      <w:r w:rsidR="00241A5B">
        <w:rPr>
          <w:rFonts w:hint="cs"/>
          <w:rtl/>
        </w:rPr>
        <w:t>יד</w:t>
      </w:r>
      <w:r w:rsidRPr="00055187">
        <w:rPr>
          <w:rFonts w:hint="cs"/>
          <w:rtl/>
        </w:rPr>
        <w:t xml:space="preserve"> למי</w:t>
      </w:r>
      <w:r w:rsidR="00E350FB">
        <w:rPr>
          <w:rFonts w:hint="cs"/>
          <w:rtl/>
        </w:rPr>
        <w:t xml:space="preserve"> </w:t>
      </w:r>
      <w:r w:rsidRPr="00055187">
        <w:rPr>
          <w:rFonts w:hint="cs"/>
          <w:rtl/>
        </w:rPr>
        <w:t>השתיי</w:t>
      </w:r>
      <w:r w:rsidR="00B342F2">
        <w:rPr>
          <w:rFonts w:hint="cs"/>
          <w:rtl/>
        </w:rPr>
        <w:t>ה בכפוף להחלטה ברמה המקומית</w:t>
      </w:r>
      <w:r w:rsidRPr="00055187">
        <w:rPr>
          <w:rFonts w:hint="cs"/>
          <w:rtl/>
        </w:rPr>
        <w:t>. בחלק מהמדינות (כגון ארצות</w:t>
      </w:r>
      <w:r w:rsidR="00E350FB">
        <w:rPr>
          <w:rFonts w:hint="cs"/>
          <w:rtl/>
        </w:rPr>
        <w:t>-</w:t>
      </w:r>
      <w:r w:rsidRPr="00055187">
        <w:rPr>
          <w:rFonts w:hint="cs"/>
          <w:rtl/>
        </w:rPr>
        <w:t>הברית, אנגליה, ניו-זילנד</w:t>
      </w:r>
      <w:r>
        <w:rPr>
          <w:rFonts w:hint="cs"/>
          <w:rtl/>
        </w:rPr>
        <w:t xml:space="preserve"> ואוסטרליה</w:t>
      </w:r>
      <w:r w:rsidRPr="00055187">
        <w:rPr>
          <w:rFonts w:hint="cs"/>
          <w:rtl/>
        </w:rPr>
        <w:t xml:space="preserve">), </w:t>
      </w:r>
      <w:r w:rsidR="00E350FB">
        <w:rPr>
          <w:rFonts w:hint="cs"/>
          <w:rtl/>
        </w:rPr>
        <w:t xml:space="preserve">יש </w:t>
      </w:r>
      <w:r w:rsidRPr="00055187">
        <w:rPr>
          <w:rFonts w:hint="cs"/>
          <w:rtl/>
        </w:rPr>
        <w:t xml:space="preserve">רשויות מקומיות </w:t>
      </w:r>
      <w:r w:rsidR="00E350FB">
        <w:rPr>
          <w:rFonts w:hint="cs"/>
          <w:rtl/>
        </w:rPr>
        <w:t>ה</w:t>
      </w:r>
      <w:r w:rsidRPr="00055187">
        <w:rPr>
          <w:rFonts w:hint="cs"/>
          <w:rtl/>
        </w:rPr>
        <w:t xml:space="preserve">מוסיפות </w:t>
      </w:r>
      <w:r w:rsidR="00241A5B">
        <w:rPr>
          <w:rFonts w:hint="cs"/>
          <w:rtl/>
        </w:rPr>
        <w:t>פלואוריד</w:t>
      </w:r>
      <w:r w:rsidRPr="00055187">
        <w:rPr>
          <w:rFonts w:hint="cs"/>
          <w:rtl/>
        </w:rPr>
        <w:t xml:space="preserve"> למי</w:t>
      </w:r>
      <w:r w:rsidR="003815B9">
        <w:rPr>
          <w:rFonts w:hint="cs"/>
          <w:rtl/>
        </w:rPr>
        <w:t xml:space="preserve"> </w:t>
      </w:r>
      <w:r w:rsidRPr="00055187">
        <w:rPr>
          <w:rFonts w:hint="cs"/>
          <w:rtl/>
        </w:rPr>
        <w:t>השתייה בהסתמך על ההיתר שניתן להן. בחלק</w:t>
      </w:r>
      <w:r w:rsidR="00E72AD2">
        <w:rPr>
          <w:rFonts w:hint="cs"/>
          <w:rtl/>
        </w:rPr>
        <w:t xml:space="preserve"> מהמדינות</w:t>
      </w:r>
      <w:r w:rsidRPr="00055187">
        <w:rPr>
          <w:rFonts w:hint="cs"/>
          <w:rtl/>
        </w:rPr>
        <w:t xml:space="preserve"> (לדוגמ</w:t>
      </w:r>
      <w:r w:rsidR="003815B9">
        <w:rPr>
          <w:rFonts w:hint="cs"/>
          <w:rtl/>
        </w:rPr>
        <w:t>ה</w:t>
      </w:r>
      <w:r w:rsidRPr="00055187">
        <w:rPr>
          <w:rFonts w:hint="cs"/>
          <w:rtl/>
        </w:rPr>
        <w:t xml:space="preserve"> גרמניה), על אף ההיתר </w:t>
      </w:r>
      <w:r w:rsidR="003815B9">
        <w:rPr>
          <w:rFonts w:hint="cs"/>
          <w:rtl/>
        </w:rPr>
        <w:t xml:space="preserve">אין שום </w:t>
      </w:r>
      <w:r w:rsidRPr="00055187">
        <w:rPr>
          <w:rFonts w:hint="cs"/>
          <w:rtl/>
        </w:rPr>
        <w:t xml:space="preserve">רשות מקומית </w:t>
      </w:r>
      <w:r w:rsidR="003815B9">
        <w:rPr>
          <w:rFonts w:hint="cs"/>
          <w:rtl/>
        </w:rPr>
        <w:t>ה</w:t>
      </w:r>
      <w:r w:rsidRPr="00055187">
        <w:rPr>
          <w:rFonts w:hint="cs"/>
          <w:rtl/>
        </w:rPr>
        <w:t xml:space="preserve">מפלירה את מי השתייה בתחומה. </w:t>
      </w:r>
    </w:p>
    <w:p w:rsidR="002C16E4" w:rsidRDefault="002C16E4" w:rsidP="002C16E4">
      <w:pPr>
        <w:pStyle w:val="a3"/>
        <w:rPr>
          <w:rtl/>
        </w:rPr>
      </w:pPr>
      <w:r w:rsidRPr="00055187">
        <w:rPr>
          <w:rFonts w:hint="cs"/>
          <w:rtl/>
        </w:rPr>
        <w:t>בפרק זה נסקור את המדיניות הקבועה בכמה מהמדינות האלה.</w:t>
      </w:r>
    </w:p>
    <w:p w:rsidR="0031673B" w:rsidRDefault="0031673B" w:rsidP="002C16E4">
      <w:pPr>
        <w:pStyle w:val="a3"/>
        <w:rPr>
          <w:rtl/>
        </w:rPr>
      </w:pPr>
    </w:p>
    <w:p w:rsidR="0031673B" w:rsidRDefault="0031673B" w:rsidP="002C16E4">
      <w:pPr>
        <w:pStyle w:val="a3"/>
        <w:rPr>
          <w:rtl/>
        </w:rPr>
      </w:pPr>
    </w:p>
    <w:p w:rsidR="0031673B" w:rsidRDefault="0031673B" w:rsidP="002C16E4">
      <w:pPr>
        <w:pStyle w:val="a3"/>
        <w:rPr>
          <w:rtl/>
        </w:rPr>
      </w:pPr>
    </w:p>
    <w:p w:rsidR="0031673B" w:rsidRDefault="0031673B" w:rsidP="002C16E4">
      <w:pPr>
        <w:pStyle w:val="a3"/>
        <w:rPr>
          <w:rtl/>
        </w:rPr>
      </w:pPr>
    </w:p>
    <w:p w:rsidR="0031673B" w:rsidRDefault="0031673B" w:rsidP="002C16E4">
      <w:pPr>
        <w:pStyle w:val="a3"/>
        <w:rPr>
          <w:rtl/>
        </w:rPr>
      </w:pPr>
    </w:p>
    <w:p w:rsidR="0031673B" w:rsidRDefault="0031673B" w:rsidP="002C16E4">
      <w:pPr>
        <w:pStyle w:val="a3"/>
        <w:rPr>
          <w:rtl/>
        </w:rPr>
      </w:pPr>
    </w:p>
    <w:p w:rsidR="002C16E4" w:rsidRDefault="002C16E4" w:rsidP="002C16E4">
      <w:pPr>
        <w:pStyle w:val="11"/>
        <w:spacing w:before="120"/>
        <w:ind w:right="0"/>
        <w:rPr>
          <w:rtl/>
        </w:rPr>
      </w:pPr>
      <w:r>
        <w:rPr>
          <w:rFonts w:hint="cs"/>
          <w:rtl/>
        </w:rPr>
        <w:t>האיחוד האירופי</w:t>
      </w:r>
    </w:p>
    <w:p w:rsidR="002C16E4" w:rsidRDefault="002C16E4" w:rsidP="00241A5B">
      <w:pPr>
        <w:pStyle w:val="a3"/>
        <w:rPr>
          <w:rtl/>
        </w:rPr>
      </w:pPr>
      <w:r>
        <w:rPr>
          <w:rFonts w:hint="cs"/>
          <w:b/>
          <w:bCs/>
          <w:rtl/>
        </w:rPr>
        <w:t xml:space="preserve">בשנים האחרונות </w:t>
      </w:r>
      <w:r w:rsidRPr="000C5012">
        <w:rPr>
          <w:rFonts w:hint="cs"/>
          <w:b/>
          <w:bCs/>
          <w:rtl/>
        </w:rPr>
        <w:t xml:space="preserve">הופיעו דיווחים </w:t>
      </w:r>
      <w:r>
        <w:rPr>
          <w:rFonts w:hint="cs"/>
          <w:b/>
          <w:bCs/>
          <w:rtl/>
        </w:rPr>
        <w:t xml:space="preserve">רבים </w:t>
      </w:r>
      <w:r w:rsidRPr="000C5012">
        <w:rPr>
          <w:rFonts w:hint="cs"/>
          <w:b/>
          <w:bCs/>
          <w:rtl/>
        </w:rPr>
        <w:t>ש</w:t>
      </w:r>
      <w:r>
        <w:rPr>
          <w:rFonts w:hint="cs"/>
          <w:b/>
          <w:bCs/>
          <w:rtl/>
        </w:rPr>
        <w:t xml:space="preserve">העריכו </w:t>
      </w:r>
      <w:r w:rsidRPr="000C5012">
        <w:rPr>
          <w:rFonts w:hint="cs"/>
          <w:b/>
          <w:bCs/>
          <w:rtl/>
        </w:rPr>
        <w:t>כי תיאסר הפלרה של מי השתייה באירופה</w:t>
      </w:r>
      <w:r>
        <w:rPr>
          <w:rFonts w:hint="cs"/>
          <w:b/>
          <w:bCs/>
          <w:rtl/>
        </w:rPr>
        <w:t>.</w:t>
      </w:r>
      <w:r>
        <w:rPr>
          <w:rStyle w:val="a6"/>
          <w:rtl/>
        </w:rPr>
        <w:footnoteReference w:id="2"/>
      </w:r>
      <w:r>
        <w:rPr>
          <w:rFonts w:hint="cs"/>
          <w:rtl/>
        </w:rPr>
        <w:t xml:space="preserve"> הערכה זו נבעה מפסיקה של </w:t>
      </w:r>
      <w:r w:rsidRPr="005214B4">
        <w:rPr>
          <w:rFonts w:hint="cs"/>
          <w:rtl/>
        </w:rPr>
        <w:t>בית-המשפט העליון של האיחוד האירופי ביוני 2005.</w:t>
      </w:r>
      <w:r w:rsidR="00B342F2" w:rsidRPr="005214B4">
        <w:rPr>
          <w:rStyle w:val="a6"/>
          <w:rtl/>
        </w:rPr>
        <w:footnoteReference w:id="3"/>
      </w:r>
      <w:r w:rsidRPr="005214B4">
        <w:rPr>
          <w:rFonts w:hint="cs"/>
          <w:rtl/>
        </w:rPr>
        <w:t xml:space="preserve"> לפי פסק</w:t>
      </w:r>
      <w:r w:rsidR="003815B9">
        <w:rPr>
          <w:rFonts w:hint="cs"/>
          <w:rtl/>
        </w:rPr>
        <w:t>-</w:t>
      </w:r>
      <w:r w:rsidRPr="005214B4">
        <w:rPr>
          <w:rFonts w:hint="cs"/>
          <w:rtl/>
        </w:rPr>
        <w:t>הדין, מוצר המשווק במדינת המקור שלו כמאכל (</w:t>
      </w:r>
      <w:r w:rsidRPr="005214B4">
        <w:rPr>
          <w:spacing w:val="-4"/>
        </w:rPr>
        <w:t>foodstuff</w:t>
      </w:r>
      <w:r w:rsidRPr="005214B4">
        <w:rPr>
          <w:rFonts w:hint="cs"/>
          <w:rtl/>
        </w:rPr>
        <w:t>) או תוסף תזונה (</w:t>
      </w:r>
      <w:r w:rsidRPr="005214B4">
        <w:rPr>
          <w:spacing w:val="-4"/>
        </w:rPr>
        <w:t>food</w:t>
      </w:r>
      <w:r w:rsidRPr="005214B4">
        <w:t xml:space="preserve"> </w:t>
      </w:r>
      <w:r w:rsidRPr="005214B4">
        <w:rPr>
          <w:spacing w:val="-4"/>
        </w:rPr>
        <w:t>additive</w:t>
      </w:r>
      <w:r w:rsidRPr="005214B4">
        <w:rPr>
          <w:rFonts w:hint="cs"/>
          <w:rtl/>
        </w:rPr>
        <w:t xml:space="preserve">), </w:t>
      </w:r>
      <w:r w:rsidR="00E72AD2">
        <w:rPr>
          <w:rFonts w:hint="cs"/>
          <w:rtl/>
        </w:rPr>
        <w:t>ו</w:t>
      </w:r>
      <w:r w:rsidRPr="005214B4">
        <w:rPr>
          <w:rFonts w:hint="cs"/>
          <w:rtl/>
        </w:rPr>
        <w:t xml:space="preserve">גם </w:t>
      </w:r>
      <w:r w:rsidR="003815B9">
        <w:rPr>
          <w:rFonts w:hint="cs"/>
          <w:rtl/>
        </w:rPr>
        <w:t>תואם את ה</w:t>
      </w:r>
      <w:r w:rsidRPr="005214B4">
        <w:rPr>
          <w:rFonts w:hint="cs"/>
          <w:rtl/>
        </w:rPr>
        <w:t>הגדרה של מוצר רפואי (</w:t>
      </w:r>
      <w:r w:rsidRPr="005214B4">
        <w:rPr>
          <w:spacing w:val="-4"/>
        </w:rPr>
        <w:t>medicinal</w:t>
      </w:r>
      <w:r w:rsidRPr="005214B4">
        <w:t xml:space="preserve"> </w:t>
      </w:r>
      <w:r w:rsidRPr="005214B4">
        <w:rPr>
          <w:spacing w:val="-4"/>
        </w:rPr>
        <w:t>product</w:t>
      </w:r>
      <w:r w:rsidRPr="005214B4">
        <w:rPr>
          <w:rFonts w:hint="cs"/>
          <w:rtl/>
        </w:rPr>
        <w:t xml:space="preserve">) לפי דיני האיחוד </w:t>
      </w:r>
      <w:r w:rsidRPr="005214B4">
        <w:rPr>
          <w:rtl/>
        </w:rPr>
        <w:t>–</w:t>
      </w:r>
      <w:r w:rsidRPr="005214B4">
        <w:rPr>
          <w:rFonts w:hint="cs"/>
          <w:rtl/>
        </w:rPr>
        <w:t xml:space="preserve"> יחול עליו הדין בדבר מוצרים רפואיים; כלומר, יתר מדינות האיחוד </w:t>
      </w:r>
      <w:r w:rsidR="00241A5B">
        <w:rPr>
          <w:rFonts w:hint="cs"/>
          <w:rtl/>
        </w:rPr>
        <w:t xml:space="preserve">יכולות לייבאו </w:t>
      </w:r>
      <w:r w:rsidRPr="005214B4">
        <w:rPr>
          <w:rFonts w:hint="cs"/>
          <w:rtl/>
        </w:rPr>
        <w:t xml:space="preserve">רק בכפוף לאישורי שיווק מחמירים יותר החלים על מוצרים רפואיים. ההערכה היתה כי </w:t>
      </w:r>
      <w:r w:rsidR="003815B9">
        <w:rPr>
          <w:rFonts w:hint="cs"/>
          <w:rtl/>
        </w:rPr>
        <w:t xml:space="preserve">מאחר </w:t>
      </w:r>
      <w:r w:rsidRPr="005214B4">
        <w:rPr>
          <w:rFonts w:hint="cs"/>
          <w:rtl/>
        </w:rPr>
        <w:t>שמוצרי</w:t>
      </w:r>
      <w:r>
        <w:rPr>
          <w:rFonts w:hint="cs"/>
          <w:rtl/>
        </w:rPr>
        <w:t xml:space="preserve"> מזון רבים </w:t>
      </w:r>
      <w:r w:rsidR="00B342F2">
        <w:rPr>
          <w:rFonts w:hint="cs"/>
          <w:rtl/>
        </w:rPr>
        <w:t xml:space="preserve">מכילים </w:t>
      </w:r>
      <w:r>
        <w:rPr>
          <w:rFonts w:hint="cs"/>
          <w:rtl/>
        </w:rPr>
        <w:t>מי שת</w:t>
      </w:r>
      <w:r w:rsidR="003815B9">
        <w:rPr>
          <w:rFonts w:hint="cs"/>
          <w:rtl/>
        </w:rPr>
        <w:t>י</w:t>
      </w:r>
      <w:r>
        <w:rPr>
          <w:rFonts w:hint="cs"/>
          <w:rtl/>
        </w:rPr>
        <w:t>יה</w:t>
      </w:r>
      <w:r w:rsidR="00E72AD2">
        <w:rPr>
          <w:rFonts w:hint="cs"/>
          <w:rtl/>
        </w:rPr>
        <w:t xml:space="preserve">, מוצרים אלו שמקורם במדינות שמוסיפות </w:t>
      </w:r>
      <w:r w:rsidR="00241A5B">
        <w:rPr>
          <w:rFonts w:hint="cs"/>
          <w:rtl/>
        </w:rPr>
        <w:t>פלואוריד</w:t>
      </w:r>
      <w:r w:rsidR="00E72AD2">
        <w:rPr>
          <w:rFonts w:hint="cs"/>
          <w:rtl/>
        </w:rPr>
        <w:t xml:space="preserve"> למים </w:t>
      </w:r>
      <w:r w:rsidR="003815B9">
        <w:rPr>
          <w:rFonts w:hint="cs"/>
          <w:rtl/>
        </w:rPr>
        <w:t xml:space="preserve"> </w:t>
      </w:r>
      <w:r>
        <w:rPr>
          <w:rFonts w:hint="cs"/>
          <w:rtl/>
        </w:rPr>
        <w:t>יסווגו, בעקבות הפסיקה, כמוצרים רפואיים, הסחר בהם בין מדינות האיחוד יוכפף להוראות מחמירות ו</w:t>
      </w:r>
      <w:r w:rsidR="003815B9">
        <w:rPr>
          <w:rFonts w:hint="cs"/>
          <w:rtl/>
        </w:rPr>
        <w:t xml:space="preserve">בסופו של דבר </w:t>
      </w:r>
      <w:r>
        <w:rPr>
          <w:rFonts w:hint="cs"/>
          <w:rtl/>
        </w:rPr>
        <w:t xml:space="preserve">יהיה בכך כדי לגרום למדינות לאסור הפלרה של מי השתייה. </w:t>
      </w:r>
    </w:p>
    <w:p w:rsidR="002C16E4" w:rsidRDefault="002C16E4" w:rsidP="003815B9">
      <w:pPr>
        <w:pStyle w:val="a3"/>
        <w:rPr>
          <w:rtl/>
        </w:rPr>
      </w:pPr>
      <w:r w:rsidRPr="000C5012">
        <w:rPr>
          <w:rFonts w:hint="cs"/>
          <w:b/>
          <w:bCs/>
          <w:rtl/>
        </w:rPr>
        <w:t xml:space="preserve">למעשה, </w:t>
      </w:r>
      <w:r>
        <w:rPr>
          <w:rFonts w:hint="cs"/>
          <w:b/>
          <w:bCs/>
          <w:rtl/>
        </w:rPr>
        <w:t xml:space="preserve">כלל </w:t>
      </w:r>
      <w:r w:rsidRPr="002522FB">
        <w:rPr>
          <w:rFonts w:hint="cs"/>
          <w:b/>
          <w:bCs/>
          <w:u w:val="single"/>
          <w:rtl/>
        </w:rPr>
        <w:t>לא נקבע איסור על הפלרת מי שתייה בפסיקה או בעקבותיה</w:t>
      </w:r>
      <w:r>
        <w:rPr>
          <w:rFonts w:hint="cs"/>
          <w:rtl/>
        </w:rPr>
        <w:t>. יתרה מ</w:t>
      </w:r>
      <w:r w:rsidR="003815B9">
        <w:rPr>
          <w:rFonts w:hint="cs"/>
          <w:rtl/>
        </w:rPr>
        <w:t>זו</w:t>
      </w:r>
      <w:r>
        <w:rPr>
          <w:rFonts w:hint="cs"/>
          <w:rtl/>
        </w:rPr>
        <w:t xml:space="preserve">, בתשובה </w:t>
      </w:r>
      <w:r w:rsidR="003815B9">
        <w:rPr>
          <w:rFonts w:hint="cs"/>
          <w:rtl/>
        </w:rPr>
        <w:t xml:space="preserve">על </w:t>
      </w:r>
      <w:r>
        <w:rPr>
          <w:rFonts w:hint="cs"/>
          <w:rtl/>
        </w:rPr>
        <w:t>שאילתא שהוגשה בפרלמנט האירופי באוגוסט 2008 (</w:t>
      </w:r>
      <w:r w:rsidR="003815B9">
        <w:rPr>
          <w:rFonts w:hint="cs"/>
          <w:rtl/>
        </w:rPr>
        <w:t xml:space="preserve">ואף </w:t>
      </w:r>
      <w:r w:rsidR="00E72AD2">
        <w:rPr>
          <w:rFonts w:hint="cs"/>
          <w:rtl/>
        </w:rPr>
        <w:t>ב</w:t>
      </w:r>
      <w:r>
        <w:rPr>
          <w:rFonts w:hint="cs"/>
          <w:rtl/>
        </w:rPr>
        <w:t xml:space="preserve">תשובות </w:t>
      </w:r>
      <w:r w:rsidR="003815B9">
        <w:rPr>
          <w:rFonts w:hint="cs"/>
          <w:rtl/>
        </w:rPr>
        <w:t xml:space="preserve">על </w:t>
      </w:r>
      <w:r>
        <w:rPr>
          <w:rFonts w:hint="cs"/>
          <w:rtl/>
        </w:rPr>
        <w:t>שאילתות נוספות בנושא</w:t>
      </w:r>
      <w:r w:rsidR="003815B9">
        <w:rPr>
          <w:rFonts w:hint="cs"/>
          <w:rtl/>
        </w:rPr>
        <w:t xml:space="preserve"> זה</w:t>
      </w:r>
      <w:r>
        <w:rPr>
          <w:rFonts w:hint="cs"/>
          <w:rtl/>
        </w:rPr>
        <w:t xml:space="preserve">), </w:t>
      </w:r>
      <w:r w:rsidR="003815B9">
        <w:rPr>
          <w:rFonts w:hint="cs"/>
          <w:b/>
          <w:bCs/>
          <w:rtl/>
        </w:rPr>
        <w:t>ה</w:t>
      </w:r>
      <w:r w:rsidRPr="00F16106">
        <w:rPr>
          <w:rFonts w:hint="cs"/>
          <w:b/>
          <w:bCs/>
          <w:rtl/>
        </w:rPr>
        <w:t>דגישה נציבות האיחוד כי</w:t>
      </w:r>
      <w:r>
        <w:rPr>
          <w:rFonts w:hint="cs"/>
          <w:rtl/>
        </w:rPr>
        <w:t xml:space="preserve"> </w:t>
      </w:r>
      <w:r w:rsidRPr="00CE23CD">
        <w:rPr>
          <w:rFonts w:hint="cs"/>
          <w:b/>
          <w:bCs/>
          <w:rtl/>
        </w:rPr>
        <w:t xml:space="preserve">מי שתייה מופלרים </w:t>
      </w:r>
      <w:r w:rsidRPr="00CE23CD">
        <w:rPr>
          <w:rFonts w:hint="cs"/>
          <w:rtl/>
        </w:rPr>
        <w:t xml:space="preserve">(בריכוזים הדומים לריכוזים טבעיים) </w:t>
      </w:r>
      <w:r w:rsidRPr="00F16106">
        <w:rPr>
          <w:rFonts w:hint="cs"/>
          <w:b/>
          <w:bCs/>
          <w:u w:val="single"/>
          <w:rtl/>
        </w:rPr>
        <w:t>לא ייחשבו</w:t>
      </w:r>
      <w:r>
        <w:rPr>
          <w:rFonts w:hint="cs"/>
          <w:b/>
          <w:bCs/>
          <w:rtl/>
        </w:rPr>
        <w:t xml:space="preserve"> </w:t>
      </w:r>
      <w:r w:rsidRPr="00CE23CD">
        <w:rPr>
          <w:rFonts w:hint="cs"/>
          <w:b/>
          <w:bCs/>
          <w:rtl/>
        </w:rPr>
        <w:t>מוצר רפואי לפי דיני האיחוד</w:t>
      </w:r>
      <w:r>
        <w:rPr>
          <w:rFonts w:hint="cs"/>
          <w:rtl/>
        </w:rPr>
        <w:t>.</w:t>
      </w:r>
      <w:r>
        <w:rPr>
          <w:rStyle w:val="a6"/>
          <w:rtl/>
        </w:rPr>
        <w:footnoteReference w:id="4"/>
      </w:r>
      <w:r>
        <w:rPr>
          <w:rFonts w:hint="cs"/>
          <w:rtl/>
        </w:rPr>
        <w:t xml:space="preserve"> </w:t>
      </w:r>
    </w:p>
    <w:p w:rsidR="0031673B" w:rsidRDefault="002C16E4" w:rsidP="0031673B">
      <w:pPr>
        <w:pStyle w:val="a3"/>
        <w:rPr>
          <w:rtl/>
        </w:rPr>
      </w:pPr>
      <w:r>
        <w:rPr>
          <w:rFonts w:hint="cs"/>
          <w:rtl/>
        </w:rPr>
        <w:t>אשר לריכוז ה</w:t>
      </w:r>
      <w:r w:rsidR="00241A5B">
        <w:rPr>
          <w:rFonts w:hint="cs"/>
          <w:rtl/>
        </w:rPr>
        <w:t>פלואוריד</w:t>
      </w:r>
      <w:r>
        <w:rPr>
          <w:rFonts w:hint="cs"/>
          <w:rtl/>
        </w:rPr>
        <w:t xml:space="preserve"> במי</w:t>
      </w:r>
      <w:r w:rsidR="003815B9">
        <w:rPr>
          <w:rFonts w:hint="cs"/>
          <w:rtl/>
        </w:rPr>
        <w:t xml:space="preserve"> </w:t>
      </w:r>
      <w:r>
        <w:rPr>
          <w:rFonts w:hint="cs"/>
          <w:rtl/>
        </w:rPr>
        <w:t>השתי</w:t>
      </w:r>
      <w:r w:rsidR="003815B9">
        <w:rPr>
          <w:rFonts w:hint="cs"/>
          <w:rtl/>
        </w:rPr>
        <w:t>י</w:t>
      </w:r>
      <w:r>
        <w:rPr>
          <w:rFonts w:hint="cs"/>
          <w:rtl/>
        </w:rPr>
        <w:t xml:space="preserve">ה, יצוין כי באיחוד האירופי התקבלה בנובמבר 1998 </w:t>
      </w:r>
      <w:bookmarkStart w:id="0" w:name="דירקטיבה"/>
      <w:r w:rsidRPr="000755EA">
        <w:rPr>
          <w:rFonts w:hint="cs"/>
          <w:b/>
          <w:bCs/>
          <w:rtl/>
        </w:rPr>
        <w:t>דירקטיבה</w:t>
      </w:r>
      <w:r>
        <w:rPr>
          <w:rStyle w:val="a6"/>
          <w:rtl/>
        </w:rPr>
        <w:footnoteReference w:id="5"/>
      </w:r>
      <w:r>
        <w:rPr>
          <w:rFonts w:hint="cs"/>
          <w:rtl/>
        </w:rPr>
        <w:t xml:space="preserve"> </w:t>
      </w:r>
      <w:r w:rsidRPr="000755EA">
        <w:rPr>
          <w:rFonts w:hint="cs"/>
          <w:b/>
          <w:bCs/>
          <w:rtl/>
        </w:rPr>
        <w:t>בדבר איכות המים המיועדים לשתיי</w:t>
      </w:r>
      <w:r w:rsidR="003815B9">
        <w:rPr>
          <w:rFonts w:hint="cs"/>
          <w:b/>
          <w:bCs/>
          <w:rtl/>
        </w:rPr>
        <w:t>ה</w:t>
      </w:r>
      <w:r w:rsidRPr="000755EA">
        <w:rPr>
          <w:rFonts w:hint="cs"/>
          <w:b/>
          <w:bCs/>
          <w:rtl/>
        </w:rPr>
        <w:t xml:space="preserve"> </w:t>
      </w:r>
      <w:r w:rsidR="003815B9">
        <w:rPr>
          <w:rFonts w:hint="cs"/>
          <w:b/>
          <w:bCs/>
          <w:rtl/>
        </w:rPr>
        <w:t>ל</w:t>
      </w:r>
      <w:r w:rsidRPr="000755EA">
        <w:rPr>
          <w:rFonts w:hint="cs"/>
          <w:b/>
          <w:bCs/>
          <w:rtl/>
        </w:rPr>
        <w:t>בני</w:t>
      </w:r>
      <w:r w:rsidR="003815B9">
        <w:rPr>
          <w:rFonts w:hint="cs"/>
          <w:b/>
          <w:bCs/>
          <w:rtl/>
        </w:rPr>
        <w:t>-</w:t>
      </w:r>
      <w:r w:rsidRPr="000755EA">
        <w:rPr>
          <w:rFonts w:hint="cs"/>
          <w:b/>
          <w:bCs/>
          <w:rtl/>
        </w:rPr>
        <w:t>אדם</w:t>
      </w:r>
      <w:bookmarkEnd w:id="0"/>
      <w:r>
        <w:rPr>
          <w:rFonts w:hint="cs"/>
          <w:rtl/>
        </w:rPr>
        <w:t>.</w:t>
      </w:r>
      <w:r>
        <w:rPr>
          <w:rStyle w:val="a6"/>
          <w:rtl/>
        </w:rPr>
        <w:footnoteReference w:id="6"/>
      </w:r>
      <w:r>
        <w:rPr>
          <w:rFonts w:hint="cs"/>
          <w:rtl/>
        </w:rPr>
        <w:t xml:space="preserve"> הדירקטיבה (שנכנסה לתוקף בדצמבר 2003) אינה קובעת מדיניות בדבר הפלרה של מי שתייה אך דורשת מהמדינות החברות לקבוע סטנדרטים לאיכות מי השתייה </w:t>
      </w:r>
      <w:r w:rsidR="00E72AD2">
        <w:rPr>
          <w:rFonts w:hint="cs"/>
          <w:rtl/>
        </w:rPr>
        <w:t xml:space="preserve">שהם </w:t>
      </w:r>
      <w:r>
        <w:rPr>
          <w:rFonts w:hint="cs"/>
          <w:rtl/>
        </w:rPr>
        <w:t xml:space="preserve">חמורים </w:t>
      </w:r>
      <w:r w:rsidR="003815B9">
        <w:rPr>
          <w:rFonts w:hint="cs"/>
          <w:rtl/>
        </w:rPr>
        <w:t xml:space="preserve">בהוראותיהם </w:t>
      </w:r>
      <w:r>
        <w:rPr>
          <w:rFonts w:hint="cs"/>
          <w:rtl/>
        </w:rPr>
        <w:t xml:space="preserve">לפחות כמו אלה הקבועים בתוספת לדירקטיבה, ובין השאר עליהן </w:t>
      </w:r>
      <w:r w:rsidRPr="00D34525">
        <w:rPr>
          <w:rFonts w:hint="cs"/>
          <w:b/>
          <w:bCs/>
          <w:rtl/>
        </w:rPr>
        <w:t>לקבוע ריכוז מרבי ל</w:t>
      </w:r>
      <w:r w:rsidR="00241A5B">
        <w:rPr>
          <w:rFonts w:hint="cs"/>
          <w:b/>
          <w:bCs/>
          <w:rtl/>
        </w:rPr>
        <w:t>פלואוריד</w:t>
      </w:r>
      <w:r w:rsidRPr="00D34525">
        <w:rPr>
          <w:rFonts w:hint="cs"/>
          <w:b/>
          <w:bCs/>
          <w:rtl/>
        </w:rPr>
        <w:t xml:space="preserve"> במי השתייה שלא יעלה על 1.5 מ"ג לליטר</w:t>
      </w:r>
      <w:r>
        <w:rPr>
          <w:rFonts w:hint="cs"/>
          <w:rtl/>
        </w:rPr>
        <w:t>.</w:t>
      </w:r>
      <w:r>
        <w:rPr>
          <w:rStyle w:val="a6"/>
          <w:rtl/>
        </w:rPr>
        <w:footnoteReference w:id="7"/>
      </w:r>
      <w:r>
        <w:rPr>
          <w:rFonts w:hint="cs"/>
          <w:rtl/>
        </w:rPr>
        <w:t xml:space="preserve"> </w:t>
      </w:r>
    </w:p>
    <w:p w:rsidR="002C16E4" w:rsidRDefault="002C16E4" w:rsidP="0031673B">
      <w:pPr>
        <w:pStyle w:val="a3"/>
        <w:rPr>
          <w:rtl/>
        </w:rPr>
      </w:pPr>
      <w:r>
        <w:rPr>
          <w:rFonts w:hint="cs"/>
          <w:rtl/>
        </w:rPr>
        <w:t>אשר לריכוז ה</w:t>
      </w:r>
      <w:r w:rsidR="00241A5B">
        <w:rPr>
          <w:rFonts w:hint="cs"/>
          <w:rtl/>
        </w:rPr>
        <w:t>פלואוריד</w:t>
      </w:r>
      <w:r>
        <w:rPr>
          <w:rFonts w:hint="cs"/>
          <w:rtl/>
        </w:rPr>
        <w:t xml:space="preserve"> המרבי המותר במי השתייה באיחוד, </w:t>
      </w:r>
      <w:r w:rsidRPr="002522FB">
        <w:rPr>
          <w:rFonts w:hint="cs"/>
          <w:rtl/>
        </w:rPr>
        <w:t>בסקירה שפרסמה הוועדה המדעית לסיכוני בריאות וסביבה של נציבות האיחוד במאי 2011</w:t>
      </w:r>
      <w:r>
        <w:rPr>
          <w:rStyle w:val="a6"/>
          <w:rtl/>
        </w:rPr>
        <w:footnoteReference w:id="8"/>
      </w:r>
      <w:r>
        <w:rPr>
          <w:rFonts w:hint="cs"/>
          <w:rtl/>
        </w:rPr>
        <w:t xml:space="preserve"> </w:t>
      </w:r>
      <w:r w:rsidRPr="004B598E">
        <w:rPr>
          <w:rFonts w:hint="cs"/>
          <w:b/>
          <w:bCs/>
          <w:u w:val="single"/>
          <w:rtl/>
        </w:rPr>
        <w:t>לא נקבעה</w:t>
      </w:r>
      <w:r w:rsidRPr="00EA243F">
        <w:rPr>
          <w:rFonts w:hint="cs"/>
          <w:b/>
          <w:bCs/>
          <w:rtl/>
        </w:rPr>
        <w:t xml:space="preserve"> המלצה להוריד את ריכוז </w:t>
      </w:r>
      <w:r>
        <w:rPr>
          <w:rFonts w:hint="cs"/>
          <w:b/>
          <w:bCs/>
          <w:rtl/>
        </w:rPr>
        <w:t>ה</w:t>
      </w:r>
      <w:r w:rsidR="00241A5B">
        <w:rPr>
          <w:rFonts w:hint="cs"/>
          <w:b/>
          <w:bCs/>
          <w:rtl/>
        </w:rPr>
        <w:t>פלואוריד</w:t>
      </w:r>
      <w:r>
        <w:rPr>
          <w:rFonts w:hint="cs"/>
          <w:b/>
          <w:bCs/>
          <w:rtl/>
        </w:rPr>
        <w:t xml:space="preserve"> </w:t>
      </w:r>
      <w:r w:rsidRPr="00EA243F">
        <w:rPr>
          <w:rFonts w:hint="cs"/>
          <w:b/>
          <w:bCs/>
          <w:rtl/>
        </w:rPr>
        <w:t>המרבי המותר</w:t>
      </w:r>
      <w:r>
        <w:rPr>
          <w:rFonts w:hint="cs"/>
          <w:rtl/>
        </w:rPr>
        <w:t xml:space="preserve"> במי השתייה.</w:t>
      </w:r>
      <w:r>
        <w:rPr>
          <w:rStyle w:val="a6"/>
          <w:rtl/>
        </w:rPr>
        <w:footnoteReference w:id="9"/>
      </w:r>
      <w:r>
        <w:rPr>
          <w:rFonts w:hint="cs"/>
          <w:rtl/>
        </w:rPr>
        <w:t xml:space="preserve"> </w:t>
      </w:r>
    </w:p>
    <w:p w:rsidR="002C16E4" w:rsidRDefault="002C16E4" w:rsidP="002C16E4">
      <w:pPr>
        <w:pStyle w:val="a3"/>
        <w:rPr>
          <w:rtl/>
        </w:rPr>
      </w:pPr>
    </w:p>
    <w:p w:rsidR="002C16E4" w:rsidRDefault="002C16E4" w:rsidP="002C16E4">
      <w:pPr>
        <w:pStyle w:val="11"/>
        <w:spacing w:before="120"/>
        <w:ind w:right="0"/>
        <w:rPr>
          <w:rtl/>
        </w:rPr>
      </w:pPr>
      <w:r>
        <w:rPr>
          <w:rFonts w:hint="cs"/>
          <w:rtl/>
        </w:rPr>
        <w:t>אנגליה</w:t>
      </w:r>
    </w:p>
    <w:p w:rsidR="00255843" w:rsidRDefault="002C16E4" w:rsidP="00581831">
      <w:r>
        <w:rPr>
          <w:rFonts w:hint="cs"/>
          <w:rtl/>
        </w:rPr>
        <w:t xml:space="preserve">ההחלטות באנגליה בדבר הוספת </w:t>
      </w:r>
      <w:r w:rsidR="00241A5B">
        <w:rPr>
          <w:rFonts w:hint="cs"/>
          <w:rtl/>
        </w:rPr>
        <w:t>פלואוריד</w:t>
      </w:r>
      <w:r>
        <w:rPr>
          <w:rFonts w:hint="cs"/>
          <w:rtl/>
        </w:rPr>
        <w:t xml:space="preserve"> למי</w:t>
      </w:r>
      <w:r w:rsidR="00006F97">
        <w:rPr>
          <w:rFonts w:hint="cs"/>
          <w:rtl/>
        </w:rPr>
        <w:t xml:space="preserve"> </w:t>
      </w:r>
      <w:r>
        <w:rPr>
          <w:rFonts w:hint="cs"/>
          <w:rtl/>
        </w:rPr>
        <w:t>השתי</w:t>
      </w:r>
      <w:r w:rsidR="00006F97">
        <w:rPr>
          <w:rFonts w:hint="cs"/>
          <w:rtl/>
        </w:rPr>
        <w:t>י</w:t>
      </w:r>
      <w:r>
        <w:rPr>
          <w:rFonts w:hint="cs"/>
          <w:rtl/>
        </w:rPr>
        <w:t xml:space="preserve">ה </w:t>
      </w:r>
      <w:r w:rsidR="003815B9">
        <w:rPr>
          <w:rFonts w:hint="cs"/>
          <w:rtl/>
        </w:rPr>
        <w:t xml:space="preserve">מתקבלות </w:t>
      </w:r>
      <w:r>
        <w:rPr>
          <w:rFonts w:hint="cs"/>
          <w:rtl/>
        </w:rPr>
        <w:t xml:space="preserve">ברמה המקומית. </w:t>
      </w:r>
      <w:r w:rsidR="00255843">
        <w:rPr>
          <w:rFonts w:hint="cs"/>
          <w:rtl/>
        </w:rPr>
        <w:t xml:space="preserve">עד אפריל 2013, </w:t>
      </w:r>
      <w:r>
        <w:rPr>
          <w:rFonts w:hint="cs"/>
          <w:rtl/>
        </w:rPr>
        <w:t xml:space="preserve">הגופים </w:t>
      </w:r>
      <w:r w:rsidR="00255843">
        <w:rPr>
          <w:rFonts w:hint="cs"/>
          <w:rtl/>
        </w:rPr>
        <w:t xml:space="preserve">שערכו </w:t>
      </w:r>
      <w:r>
        <w:rPr>
          <w:rFonts w:hint="cs"/>
          <w:rtl/>
        </w:rPr>
        <w:t xml:space="preserve">את התכנון האסטרטגי בתחום הבריאות </w:t>
      </w:r>
      <w:r w:rsidR="00255843">
        <w:rPr>
          <w:rFonts w:hint="cs"/>
          <w:rtl/>
        </w:rPr>
        <w:t xml:space="preserve">היו </w:t>
      </w:r>
      <w:r>
        <w:rPr>
          <w:rFonts w:hint="cs"/>
          <w:rtl/>
        </w:rPr>
        <w:t>רשויות מקומיות לאסטרטגיית בריאות (</w:t>
      </w:r>
      <w:r>
        <w:t>SHAs</w:t>
      </w:r>
      <w:r w:rsidR="003815B9">
        <w:rPr>
          <w:rFonts w:hint="cs"/>
          <w:rtl/>
        </w:rPr>
        <w:t xml:space="preserve"> </w:t>
      </w:r>
      <w:r w:rsidR="003815B9">
        <w:rPr>
          <w:rFonts w:hint="eastAsia"/>
          <w:rtl/>
        </w:rPr>
        <w:t>–</w:t>
      </w:r>
      <w:r>
        <w:t>Strategic Health Authorities</w:t>
      </w:r>
      <w:r>
        <w:rPr>
          <w:rFonts w:hint="cs"/>
          <w:rtl/>
        </w:rPr>
        <w:t xml:space="preserve">). הרשויות המקומיות </w:t>
      </w:r>
      <w:r w:rsidR="00255843">
        <w:rPr>
          <w:rFonts w:hint="cs"/>
          <w:rtl/>
        </w:rPr>
        <w:t xml:space="preserve">היו </w:t>
      </w:r>
      <w:r>
        <w:rPr>
          <w:rFonts w:hint="cs"/>
          <w:rtl/>
        </w:rPr>
        <w:t xml:space="preserve">רשאיות להציע לרשויות לאסטרטגיית בריאות להוסיף </w:t>
      </w:r>
      <w:r w:rsidR="00241A5B">
        <w:rPr>
          <w:rFonts w:hint="cs"/>
          <w:rtl/>
        </w:rPr>
        <w:t>פלואוריד</w:t>
      </w:r>
      <w:r>
        <w:rPr>
          <w:rFonts w:hint="cs"/>
          <w:rtl/>
        </w:rPr>
        <w:t xml:space="preserve"> למי השתי</w:t>
      </w:r>
      <w:r w:rsidR="003815B9">
        <w:rPr>
          <w:rFonts w:hint="cs"/>
          <w:rtl/>
        </w:rPr>
        <w:t>י</w:t>
      </w:r>
      <w:r>
        <w:rPr>
          <w:rFonts w:hint="cs"/>
          <w:rtl/>
        </w:rPr>
        <w:t>ה בתחומן.</w:t>
      </w:r>
      <w:r>
        <w:rPr>
          <w:rStyle w:val="a6"/>
          <w:rtl/>
        </w:rPr>
        <w:footnoteReference w:id="10"/>
      </w:r>
      <w:r w:rsidR="00255843">
        <w:rPr>
          <w:rFonts w:hint="cs"/>
          <w:rtl/>
        </w:rPr>
        <w:t xml:space="preserve"> </w:t>
      </w:r>
      <w:r w:rsidR="00255843" w:rsidRPr="008E293F">
        <w:rPr>
          <w:rFonts w:hint="eastAsia"/>
          <w:b/>
          <w:bCs/>
          <w:rtl/>
        </w:rPr>
        <w:t>במסגרת</w:t>
      </w:r>
      <w:r w:rsidR="00255843" w:rsidRPr="008E293F">
        <w:rPr>
          <w:b/>
          <w:bCs/>
          <w:rtl/>
        </w:rPr>
        <w:t xml:space="preserve"> רפורמה בשירותי הבריאות באנגליה, </w:t>
      </w:r>
      <w:r w:rsidR="00581831" w:rsidRPr="008E293F">
        <w:rPr>
          <w:rFonts w:hint="eastAsia"/>
          <w:b/>
          <w:bCs/>
          <w:rtl/>
        </w:rPr>
        <w:t>בוטלו</w:t>
      </w:r>
      <w:r w:rsidR="00255843" w:rsidRPr="008E293F">
        <w:rPr>
          <w:b/>
          <w:bCs/>
          <w:rtl/>
        </w:rPr>
        <w:t xml:space="preserve"> באפריל 2013 הרשויות לאסטרטגיית בריאות, והסמכות </w:t>
      </w:r>
      <w:r w:rsidR="00255843" w:rsidRPr="008E293F">
        <w:rPr>
          <w:rFonts w:hint="eastAsia"/>
          <w:b/>
          <w:bCs/>
          <w:rtl/>
        </w:rPr>
        <w:t>להציע</w:t>
      </w:r>
      <w:r w:rsidR="00255843" w:rsidRPr="008E293F">
        <w:rPr>
          <w:b/>
          <w:bCs/>
          <w:rtl/>
        </w:rPr>
        <w:t xml:space="preserve"> שינויים במדיניות ההפלרה המקומית ולהתייעצות עם הציבור בנושא הפלרת מי שתיה </w:t>
      </w:r>
      <w:r w:rsidR="00255843" w:rsidRPr="008E293F">
        <w:rPr>
          <w:rFonts w:hint="eastAsia"/>
          <w:b/>
          <w:bCs/>
          <w:rtl/>
        </w:rPr>
        <w:t>עברה</w:t>
      </w:r>
      <w:r w:rsidR="00255843" w:rsidRPr="008E293F">
        <w:rPr>
          <w:b/>
          <w:bCs/>
          <w:rtl/>
        </w:rPr>
        <w:t xml:space="preserve"> </w:t>
      </w:r>
      <w:r w:rsidR="00255843" w:rsidRPr="008E293F">
        <w:rPr>
          <w:rFonts w:hint="eastAsia"/>
          <w:b/>
          <w:bCs/>
          <w:rtl/>
        </w:rPr>
        <w:t>לידי</w:t>
      </w:r>
      <w:r w:rsidR="00255843" w:rsidRPr="008E293F">
        <w:rPr>
          <w:b/>
          <w:bCs/>
          <w:rtl/>
        </w:rPr>
        <w:t xml:space="preserve"> </w:t>
      </w:r>
      <w:r w:rsidR="00255843" w:rsidRPr="008E293F">
        <w:rPr>
          <w:rFonts w:hint="eastAsia"/>
          <w:b/>
          <w:bCs/>
          <w:rtl/>
        </w:rPr>
        <w:t>הרשויות</w:t>
      </w:r>
      <w:r w:rsidR="00255843" w:rsidRPr="008E293F">
        <w:rPr>
          <w:b/>
          <w:bCs/>
          <w:rtl/>
        </w:rPr>
        <w:t xml:space="preserve"> </w:t>
      </w:r>
      <w:r w:rsidR="00255843" w:rsidRPr="008E293F">
        <w:rPr>
          <w:rFonts w:hint="eastAsia"/>
          <w:b/>
          <w:bCs/>
          <w:rtl/>
        </w:rPr>
        <w:t>המקומיות</w:t>
      </w:r>
      <w:r w:rsidR="00255843" w:rsidRPr="008E293F">
        <w:rPr>
          <w:rtl/>
        </w:rPr>
        <w:t>.</w:t>
      </w:r>
      <w:r w:rsidR="009B3ABB">
        <w:rPr>
          <w:rStyle w:val="a6"/>
          <w:rtl/>
        </w:rPr>
        <w:footnoteReference w:id="11"/>
      </w:r>
      <w:r w:rsidR="00255843">
        <w:rPr>
          <w:rFonts w:hint="cs"/>
          <w:rtl/>
        </w:rPr>
        <w:t xml:space="preserve"> </w:t>
      </w:r>
    </w:p>
    <w:p w:rsidR="002C16E4" w:rsidRPr="00255843" w:rsidRDefault="002C16E4" w:rsidP="00255843">
      <w:pPr>
        <w:pStyle w:val="a3"/>
        <w:rPr>
          <w:rtl/>
        </w:rPr>
      </w:pPr>
    </w:p>
    <w:p w:rsidR="002C16E4" w:rsidRDefault="002C16E4" w:rsidP="00083CBB">
      <w:pPr>
        <w:pStyle w:val="a3"/>
        <w:rPr>
          <w:rtl/>
        </w:rPr>
      </w:pPr>
      <w:r>
        <w:rPr>
          <w:rFonts w:hint="cs"/>
          <w:rtl/>
        </w:rPr>
        <w:t>מדיניות ההפלרה באנגליה עוגנה בחוק הפלרת מים (</w:t>
      </w:r>
      <w:r>
        <w:t>Water [Fluoridation] Act 1985</w:t>
      </w:r>
      <w:r>
        <w:rPr>
          <w:rFonts w:hint="cs"/>
          <w:rtl/>
        </w:rPr>
        <w:t xml:space="preserve">), אשר מוזג בשלב מאוחר יותר עם חוק המים בתעשייה </w:t>
      </w:r>
      <w:r>
        <w:t>(Water Industry Act 1991)</w:t>
      </w:r>
      <w:r>
        <w:rPr>
          <w:rFonts w:hint="cs"/>
          <w:rtl/>
        </w:rPr>
        <w:t xml:space="preserve">. על-פי סעיף 87 לחוק, בכפוף לבקשת </w:t>
      </w:r>
      <w:r w:rsidR="00083CBB">
        <w:rPr>
          <w:rFonts w:hint="cs"/>
          <w:rtl/>
        </w:rPr>
        <w:t>ה</w:t>
      </w:r>
      <w:r>
        <w:rPr>
          <w:rFonts w:hint="cs"/>
          <w:rtl/>
        </w:rPr>
        <w:t xml:space="preserve">רשויות </w:t>
      </w:r>
      <w:r w:rsidR="00083CBB">
        <w:rPr>
          <w:rFonts w:hint="cs"/>
          <w:rtl/>
        </w:rPr>
        <w:t>הרלוונטיות</w:t>
      </w:r>
      <w:r>
        <w:rPr>
          <w:rFonts w:hint="cs"/>
          <w:rtl/>
        </w:rPr>
        <w:t>, חברות המים "רשאיות להגדיל את תכולת ה</w:t>
      </w:r>
      <w:r w:rsidR="00241A5B">
        <w:rPr>
          <w:rFonts w:hint="cs"/>
          <w:rtl/>
        </w:rPr>
        <w:t>פלואוריד</w:t>
      </w:r>
      <w:r>
        <w:rPr>
          <w:rFonts w:hint="cs"/>
          <w:rtl/>
        </w:rPr>
        <w:t xml:space="preserve"> במים המסופקים על ידן באזור ספציפי". יש לציין כי </w:t>
      </w:r>
      <w:r w:rsidR="009B4D7B">
        <w:rPr>
          <w:rFonts w:hint="cs"/>
          <w:rtl/>
        </w:rPr>
        <w:t>שום</w:t>
      </w:r>
      <w:r>
        <w:rPr>
          <w:rFonts w:hint="cs"/>
          <w:rtl/>
        </w:rPr>
        <w:t xml:space="preserve"> ת</w:t>
      </w:r>
      <w:r w:rsidR="009B4D7B">
        <w:rPr>
          <w:rFonts w:hint="cs"/>
          <w:rtl/>
        </w:rPr>
        <w:t>ו</w:t>
      </w:r>
      <w:r>
        <w:rPr>
          <w:rFonts w:hint="cs"/>
          <w:rtl/>
        </w:rPr>
        <w:t xml:space="preserve">כנית להוספת </w:t>
      </w:r>
      <w:r w:rsidR="00241A5B">
        <w:rPr>
          <w:rFonts w:hint="cs"/>
          <w:rtl/>
        </w:rPr>
        <w:t>פלואוריד</w:t>
      </w:r>
      <w:r>
        <w:rPr>
          <w:rFonts w:hint="cs"/>
          <w:rtl/>
        </w:rPr>
        <w:t xml:space="preserve"> למי</w:t>
      </w:r>
      <w:r w:rsidR="00006F97">
        <w:rPr>
          <w:rFonts w:hint="cs"/>
          <w:rtl/>
        </w:rPr>
        <w:t xml:space="preserve"> </w:t>
      </w:r>
      <w:r>
        <w:rPr>
          <w:rFonts w:hint="cs"/>
          <w:rtl/>
        </w:rPr>
        <w:t>השתי</w:t>
      </w:r>
      <w:r w:rsidR="00006F97">
        <w:rPr>
          <w:rFonts w:hint="cs"/>
          <w:rtl/>
        </w:rPr>
        <w:t>י</w:t>
      </w:r>
      <w:r>
        <w:rPr>
          <w:rFonts w:hint="cs"/>
          <w:rtl/>
        </w:rPr>
        <w:t xml:space="preserve">ה לא יושמה בעקבות חוק זה, שכן חברות המים המקומיות סברו כי אין ביכולתן </w:t>
      </w:r>
      <w:r w:rsidR="009B4D7B">
        <w:rPr>
          <w:rFonts w:hint="cs"/>
          <w:rtl/>
        </w:rPr>
        <w:t xml:space="preserve">להחליט החלטה </w:t>
      </w:r>
      <w:r>
        <w:rPr>
          <w:rFonts w:hint="cs"/>
          <w:rtl/>
        </w:rPr>
        <w:t xml:space="preserve">בנושא </w:t>
      </w:r>
      <w:r w:rsidR="009B4D7B">
        <w:rPr>
          <w:rFonts w:hint="cs"/>
          <w:rtl/>
        </w:rPr>
        <w:t>ש</w:t>
      </w:r>
      <w:r>
        <w:rPr>
          <w:rFonts w:hint="cs"/>
          <w:rtl/>
        </w:rPr>
        <w:t xml:space="preserve">בתחום בריאות הציבור. נציגי חברות המים קידמו שינוי בחקיקה </w:t>
      </w:r>
      <w:r w:rsidR="009B4D7B">
        <w:rPr>
          <w:rFonts w:hint="cs"/>
          <w:rtl/>
        </w:rPr>
        <w:t>ו</w:t>
      </w:r>
      <w:r>
        <w:rPr>
          <w:rFonts w:hint="cs"/>
          <w:rtl/>
        </w:rPr>
        <w:t xml:space="preserve">לפיו מערכת הבריאות הממלכתית </w:t>
      </w:r>
      <w:r w:rsidRPr="00241A5B">
        <w:rPr>
          <w:rFonts w:hint="cs"/>
          <w:rtl/>
        </w:rPr>
        <w:t xml:space="preserve">תהא </w:t>
      </w:r>
      <w:r w:rsidR="009B4D7B" w:rsidRPr="00241A5B">
        <w:rPr>
          <w:rFonts w:hint="cs"/>
          <w:rtl/>
        </w:rPr>
        <w:t>המוסמכת</w:t>
      </w:r>
      <w:r w:rsidRPr="00241A5B">
        <w:rPr>
          <w:rFonts w:hint="cs"/>
          <w:rtl/>
        </w:rPr>
        <w:t xml:space="preserve"> </w:t>
      </w:r>
      <w:r w:rsidR="009B4D7B" w:rsidRPr="00241A5B">
        <w:rPr>
          <w:rFonts w:hint="cs"/>
          <w:rtl/>
        </w:rPr>
        <w:t>להחליט</w:t>
      </w:r>
      <w:r w:rsidR="009B4D7B">
        <w:rPr>
          <w:rFonts w:hint="cs"/>
          <w:rtl/>
        </w:rPr>
        <w:t xml:space="preserve"> </w:t>
      </w:r>
      <w:r>
        <w:rPr>
          <w:rFonts w:hint="cs"/>
          <w:rtl/>
        </w:rPr>
        <w:t xml:space="preserve">בתחום זה. </w:t>
      </w:r>
    </w:p>
    <w:p w:rsidR="002C16E4" w:rsidRDefault="002C16E4" w:rsidP="00241A5B">
      <w:pPr>
        <w:pStyle w:val="a3"/>
        <w:rPr>
          <w:rtl/>
        </w:rPr>
      </w:pPr>
      <w:r>
        <w:rPr>
          <w:rFonts w:hint="cs"/>
          <w:rtl/>
        </w:rPr>
        <w:t xml:space="preserve">תקן הריכוז המרבי של </w:t>
      </w:r>
      <w:r w:rsidR="00241A5B">
        <w:rPr>
          <w:rFonts w:hint="cs"/>
          <w:rtl/>
        </w:rPr>
        <w:t>פלואוריד</w:t>
      </w:r>
      <w:r>
        <w:rPr>
          <w:rFonts w:hint="cs"/>
          <w:rtl/>
        </w:rPr>
        <w:t xml:space="preserve"> במי</w:t>
      </w:r>
      <w:r w:rsidR="009B4D7B">
        <w:rPr>
          <w:rFonts w:hint="cs"/>
          <w:rtl/>
        </w:rPr>
        <w:t xml:space="preserve"> </w:t>
      </w:r>
      <w:r>
        <w:rPr>
          <w:rFonts w:hint="cs"/>
          <w:rtl/>
        </w:rPr>
        <w:t>השתי</w:t>
      </w:r>
      <w:r w:rsidR="009B4D7B">
        <w:rPr>
          <w:rFonts w:hint="cs"/>
          <w:rtl/>
        </w:rPr>
        <w:t>י</w:t>
      </w:r>
      <w:r>
        <w:rPr>
          <w:rFonts w:hint="cs"/>
          <w:rtl/>
        </w:rPr>
        <w:t xml:space="preserve">ה באנגליה </w:t>
      </w:r>
      <w:r w:rsidR="009B4D7B">
        <w:rPr>
          <w:rFonts w:hint="cs"/>
          <w:rtl/>
        </w:rPr>
        <w:t>הוא</w:t>
      </w:r>
      <w:r>
        <w:rPr>
          <w:rFonts w:hint="cs"/>
          <w:rtl/>
        </w:rPr>
        <w:t xml:space="preserve"> 1.5 מ"ג לליטר, </w:t>
      </w:r>
      <w:r w:rsidR="009B4D7B">
        <w:rPr>
          <w:rFonts w:hint="cs"/>
          <w:rtl/>
        </w:rPr>
        <w:t>כמו</w:t>
      </w:r>
      <w:r>
        <w:rPr>
          <w:rFonts w:hint="cs"/>
          <w:rtl/>
        </w:rPr>
        <w:t xml:space="preserve"> </w:t>
      </w:r>
      <w:r w:rsidR="009B4D7B">
        <w:rPr>
          <w:rFonts w:hint="cs"/>
          <w:rtl/>
        </w:rPr>
        <w:t>ה</w:t>
      </w:r>
      <w:r>
        <w:rPr>
          <w:rFonts w:hint="cs"/>
          <w:rtl/>
        </w:rPr>
        <w:t xml:space="preserve">תקן שהוגדר </w:t>
      </w:r>
      <w:r w:rsidRPr="00241A5B">
        <w:rPr>
          <w:rFonts w:hint="cs"/>
          <w:rtl/>
        </w:rPr>
        <w:t xml:space="preserve">בדירקטיבה האירופית. </w:t>
      </w:r>
      <w:r w:rsidR="009B4D7B" w:rsidRPr="00241A5B">
        <w:rPr>
          <w:rFonts w:hint="cs"/>
          <w:rtl/>
        </w:rPr>
        <w:t>הריכוז הרצוי</w:t>
      </w:r>
      <w:r w:rsidRPr="00241A5B">
        <w:rPr>
          <w:rFonts w:hint="cs"/>
          <w:rtl/>
        </w:rPr>
        <w:t xml:space="preserve"> בת</w:t>
      </w:r>
      <w:r w:rsidR="009B4D7B" w:rsidRPr="00241A5B">
        <w:rPr>
          <w:rFonts w:hint="cs"/>
          <w:rtl/>
        </w:rPr>
        <w:t>ו</w:t>
      </w:r>
      <w:r w:rsidRPr="00241A5B">
        <w:rPr>
          <w:rFonts w:hint="cs"/>
          <w:rtl/>
        </w:rPr>
        <w:t>כניות</w:t>
      </w:r>
      <w:r>
        <w:rPr>
          <w:rFonts w:hint="cs"/>
          <w:rtl/>
        </w:rPr>
        <w:t xml:space="preserve"> להוספה מלאכותית של </w:t>
      </w:r>
      <w:r w:rsidR="00241A5B">
        <w:rPr>
          <w:rFonts w:hint="cs"/>
          <w:rtl/>
        </w:rPr>
        <w:t>פלואוריד</w:t>
      </w:r>
      <w:r>
        <w:rPr>
          <w:rFonts w:hint="cs"/>
          <w:rtl/>
        </w:rPr>
        <w:t xml:space="preserve"> למי</w:t>
      </w:r>
      <w:r w:rsidR="00006F97">
        <w:rPr>
          <w:rFonts w:hint="cs"/>
          <w:rtl/>
        </w:rPr>
        <w:t xml:space="preserve"> </w:t>
      </w:r>
      <w:r>
        <w:rPr>
          <w:rFonts w:hint="cs"/>
          <w:rtl/>
        </w:rPr>
        <w:t>השתי</w:t>
      </w:r>
      <w:r w:rsidR="00006F97">
        <w:rPr>
          <w:rFonts w:hint="cs"/>
          <w:rtl/>
        </w:rPr>
        <w:t>י</w:t>
      </w:r>
      <w:r>
        <w:rPr>
          <w:rFonts w:hint="cs"/>
          <w:rtl/>
        </w:rPr>
        <w:t xml:space="preserve">ה </w:t>
      </w:r>
      <w:r w:rsidR="009B4D7B">
        <w:rPr>
          <w:rFonts w:hint="cs"/>
          <w:rtl/>
        </w:rPr>
        <w:t>הוא</w:t>
      </w:r>
      <w:r>
        <w:rPr>
          <w:rFonts w:hint="cs"/>
          <w:rtl/>
        </w:rPr>
        <w:t xml:space="preserve"> 1 מ"ג לליטר.</w:t>
      </w:r>
      <w:r>
        <w:rPr>
          <w:rStyle w:val="a6"/>
          <w:rtl/>
        </w:rPr>
        <w:footnoteReference w:id="12"/>
      </w:r>
    </w:p>
    <w:p w:rsidR="002C16E4" w:rsidRPr="0073046C" w:rsidRDefault="002C16E4" w:rsidP="002C16E4">
      <w:pPr>
        <w:pStyle w:val="a3"/>
        <w:rPr>
          <w:rtl/>
        </w:rPr>
      </w:pPr>
    </w:p>
    <w:p w:rsidR="002C16E4" w:rsidRPr="0028029D" w:rsidRDefault="002C16E4" w:rsidP="009B4D7B">
      <w:pPr>
        <w:pStyle w:val="11"/>
        <w:spacing w:before="120"/>
        <w:ind w:right="0"/>
        <w:rPr>
          <w:rtl/>
        </w:rPr>
      </w:pPr>
      <w:r>
        <w:rPr>
          <w:rFonts w:hint="cs"/>
          <w:rtl/>
        </w:rPr>
        <w:t>ניו</w:t>
      </w:r>
      <w:r w:rsidR="009B4D7B">
        <w:rPr>
          <w:rFonts w:hint="cs"/>
          <w:rtl/>
        </w:rPr>
        <w:t>-</w:t>
      </w:r>
      <w:r>
        <w:rPr>
          <w:rFonts w:hint="cs"/>
          <w:rtl/>
        </w:rPr>
        <w:t>זילנד</w:t>
      </w:r>
    </w:p>
    <w:p w:rsidR="002C16E4" w:rsidRDefault="002C16E4" w:rsidP="00006F97">
      <w:pPr>
        <w:pStyle w:val="a3"/>
        <w:rPr>
          <w:rtl/>
        </w:rPr>
      </w:pPr>
      <w:r>
        <w:rPr>
          <w:rFonts w:hint="cs"/>
          <w:rtl/>
        </w:rPr>
        <w:t>מי</w:t>
      </w:r>
      <w:r w:rsidR="009B4D7B">
        <w:rPr>
          <w:rFonts w:hint="cs"/>
          <w:rtl/>
        </w:rPr>
        <w:t xml:space="preserve"> </w:t>
      </w:r>
      <w:r>
        <w:rPr>
          <w:rFonts w:hint="cs"/>
          <w:rtl/>
        </w:rPr>
        <w:t>השתי</w:t>
      </w:r>
      <w:r w:rsidR="009B4D7B">
        <w:rPr>
          <w:rFonts w:hint="cs"/>
          <w:rtl/>
        </w:rPr>
        <w:t>י</w:t>
      </w:r>
      <w:r>
        <w:rPr>
          <w:rFonts w:hint="cs"/>
          <w:rtl/>
        </w:rPr>
        <w:t>ה בניו-זילנד דלים ב</w:t>
      </w:r>
      <w:r w:rsidR="00241A5B">
        <w:rPr>
          <w:rFonts w:hint="cs"/>
          <w:rtl/>
        </w:rPr>
        <w:t>פלואוריד</w:t>
      </w:r>
      <w:r>
        <w:rPr>
          <w:rFonts w:hint="cs"/>
          <w:rtl/>
        </w:rPr>
        <w:t xml:space="preserve"> באופן טבעי. ריכוז ה</w:t>
      </w:r>
      <w:r w:rsidR="00241A5B">
        <w:rPr>
          <w:rFonts w:hint="cs"/>
          <w:rtl/>
        </w:rPr>
        <w:t>פלואוריד</w:t>
      </w:r>
      <w:r>
        <w:rPr>
          <w:rFonts w:hint="cs"/>
          <w:rtl/>
        </w:rPr>
        <w:t xml:space="preserve"> </w:t>
      </w:r>
      <w:r w:rsidR="009B4D7B">
        <w:rPr>
          <w:rFonts w:hint="cs"/>
          <w:rtl/>
        </w:rPr>
        <w:t>בהם הוא</w:t>
      </w:r>
      <w:r>
        <w:rPr>
          <w:rFonts w:hint="cs"/>
          <w:rtl/>
        </w:rPr>
        <w:t xml:space="preserve"> </w:t>
      </w:r>
      <w:r w:rsidR="009B4D7B">
        <w:rPr>
          <w:rFonts w:hint="cs"/>
          <w:rtl/>
        </w:rPr>
        <w:t>0.1–0.3</w:t>
      </w:r>
      <w:r>
        <w:t xml:space="preserve"> </w:t>
      </w:r>
      <w:r>
        <w:rPr>
          <w:rFonts w:hint="cs"/>
          <w:rtl/>
        </w:rPr>
        <w:t>מ"ג לליטר</w:t>
      </w:r>
      <w:r w:rsidR="009B4D7B">
        <w:rPr>
          <w:rFonts w:hint="cs"/>
          <w:rtl/>
        </w:rPr>
        <w:t xml:space="preserve">, </w:t>
      </w:r>
      <w:r>
        <w:rPr>
          <w:rFonts w:hint="cs"/>
          <w:rtl/>
        </w:rPr>
        <w:t xml:space="preserve"> </w:t>
      </w:r>
      <w:r w:rsidR="009B4D7B">
        <w:rPr>
          <w:rFonts w:hint="cs"/>
          <w:rtl/>
        </w:rPr>
        <w:t>ו</w:t>
      </w:r>
      <w:r>
        <w:rPr>
          <w:rFonts w:hint="cs"/>
          <w:rtl/>
        </w:rPr>
        <w:t xml:space="preserve">הריכוז </w:t>
      </w:r>
      <w:r w:rsidR="009B4D7B">
        <w:rPr>
          <w:rFonts w:hint="cs"/>
          <w:rtl/>
        </w:rPr>
        <w:t>המיטבי ש</w:t>
      </w:r>
      <w:r>
        <w:rPr>
          <w:rFonts w:hint="cs"/>
          <w:rtl/>
        </w:rPr>
        <w:t xml:space="preserve">משרד הבריאות </w:t>
      </w:r>
      <w:r w:rsidR="009B4D7B">
        <w:rPr>
          <w:rFonts w:hint="cs"/>
          <w:rtl/>
        </w:rPr>
        <w:t>ממליץ עליו הוא</w:t>
      </w:r>
      <w:r>
        <w:rPr>
          <w:rFonts w:hint="cs"/>
          <w:rtl/>
        </w:rPr>
        <w:t xml:space="preserve"> </w:t>
      </w:r>
      <w:r w:rsidR="009B4D7B">
        <w:rPr>
          <w:rFonts w:hint="cs"/>
          <w:rtl/>
        </w:rPr>
        <w:t>0.7–1</w:t>
      </w:r>
      <w:r>
        <w:rPr>
          <w:rFonts w:hint="cs"/>
          <w:rtl/>
        </w:rPr>
        <w:t xml:space="preserve"> מ"ג לליטר. על-פי החוק בניו-זילנד, </w:t>
      </w:r>
      <w:r w:rsidR="009B4D7B">
        <w:rPr>
          <w:rFonts w:hint="cs"/>
          <w:rtl/>
        </w:rPr>
        <w:t>ה</w:t>
      </w:r>
      <w:r>
        <w:rPr>
          <w:rFonts w:hint="cs"/>
          <w:rtl/>
        </w:rPr>
        <w:t xml:space="preserve">סמכות </w:t>
      </w:r>
      <w:r w:rsidR="009B4D7B">
        <w:rPr>
          <w:rFonts w:hint="cs"/>
          <w:rtl/>
        </w:rPr>
        <w:t xml:space="preserve">להחליט </w:t>
      </w:r>
      <w:r>
        <w:rPr>
          <w:rFonts w:hint="cs"/>
          <w:rtl/>
        </w:rPr>
        <w:t xml:space="preserve">בדבר הוספת </w:t>
      </w:r>
      <w:r w:rsidR="00241A5B">
        <w:rPr>
          <w:rFonts w:hint="cs"/>
          <w:rtl/>
        </w:rPr>
        <w:t>פלואוריד</w:t>
      </w:r>
      <w:r>
        <w:rPr>
          <w:rFonts w:hint="cs"/>
          <w:rtl/>
        </w:rPr>
        <w:t xml:space="preserve"> למי</w:t>
      </w:r>
      <w:r w:rsidR="009B4D7B">
        <w:rPr>
          <w:rFonts w:hint="cs"/>
          <w:rtl/>
        </w:rPr>
        <w:t xml:space="preserve"> </w:t>
      </w:r>
      <w:r>
        <w:rPr>
          <w:rFonts w:hint="cs"/>
          <w:rtl/>
        </w:rPr>
        <w:t>השת</w:t>
      </w:r>
      <w:r w:rsidR="009B4D7B">
        <w:rPr>
          <w:rFonts w:hint="cs"/>
          <w:rtl/>
        </w:rPr>
        <w:t>י</w:t>
      </w:r>
      <w:r>
        <w:rPr>
          <w:rFonts w:hint="cs"/>
          <w:rtl/>
        </w:rPr>
        <w:t xml:space="preserve">יה </w:t>
      </w:r>
      <w:r w:rsidR="009B4D7B">
        <w:rPr>
          <w:rFonts w:hint="cs"/>
          <w:rtl/>
        </w:rPr>
        <w:t>היא של</w:t>
      </w:r>
      <w:r>
        <w:rPr>
          <w:rFonts w:hint="cs"/>
          <w:rtl/>
        </w:rPr>
        <w:t xml:space="preserve"> הרשויות המקומיות, </w:t>
      </w:r>
      <w:r w:rsidR="009B4D7B">
        <w:rPr>
          <w:rFonts w:hint="cs"/>
          <w:rtl/>
        </w:rPr>
        <w:t xml:space="preserve">ואילו </w:t>
      </w:r>
      <w:r>
        <w:rPr>
          <w:rFonts w:hint="cs"/>
          <w:rtl/>
        </w:rPr>
        <w:t xml:space="preserve">לשכות הבריאות המחוזיות אחראיות להגנה על בריאות התושבים </w:t>
      </w:r>
      <w:r w:rsidR="00834E6F">
        <w:rPr>
          <w:rFonts w:hint="cs"/>
          <w:rtl/>
        </w:rPr>
        <w:t xml:space="preserve">המתגוררים </w:t>
      </w:r>
      <w:r>
        <w:rPr>
          <w:rFonts w:hint="cs"/>
          <w:rtl/>
        </w:rPr>
        <w:t>בשטח השיפוט שלהן. על לשכות הבריאות המחוזיות לייעץ לרשויות המקומיות בנושא הפלרת מי</w:t>
      </w:r>
      <w:r w:rsidR="009B4D7B">
        <w:rPr>
          <w:rFonts w:hint="cs"/>
          <w:rtl/>
        </w:rPr>
        <w:t xml:space="preserve"> </w:t>
      </w:r>
      <w:r>
        <w:rPr>
          <w:rFonts w:hint="cs"/>
          <w:rtl/>
        </w:rPr>
        <w:t>השתי</w:t>
      </w:r>
      <w:r w:rsidR="009B4D7B">
        <w:rPr>
          <w:rFonts w:hint="cs"/>
          <w:rtl/>
        </w:rPr>
        <w:t>י</w:t>
      </w:r>
      <w:r>
        <w:rPr>
          <w:rFonts w:hint="cs"/>
          <w:rtl/>
        </w:rPr>
        <w:t>ה</w:t>
      </w:r>
      <w:r w:rsidR="009B4D7B">
        <w:rPr>
          <w:rFonts w:hint="cs"/>
          <w:rtl/>
        </w:rPr>
        <w:t>,</w:t>
      </w:r>
      <w:r>
        <w:rPr>
          <w:rFonts w:hint="cs"/>
          <w:rtl/>
        </w:rPr>
        <w:t xml:space="preserve"> אם יש בכך צורך. </w:t>
      </w:r>
    </w:p>
    <w:p w:rsidR="002C16E4" w:rsidRDefault="002C16E4" w:rsidP="00D242CB">
      <w:pPr>
        <w:pStyle w:val="a3"/>
        <w:rPr>
          <w:rtl/>
        </w:rPr>
      </w:pPr>
      <w:r>
        <w:rPr>
          <w:rFonts w:hint="cs"/>
          <w:rtl/>
        </w:rPr>
        <w:t>בשל ריכוז ה</w:t>
      </w:r>
      <w:r w:rsidR="00241A5B">
        <w:rPr>
          <w:rFonts w:hint="cs"/>
          <w:rtl/>
        </w:rPr>
        <w:t>פלואוריד</w:t>
      </w:r>
      <w:r>
        <w:rPr>
          <w:rFonts w:hint="cs"/>
          <w:rtl/>
        </w:rPr>
        <w:t xml:space="preserve"> הנמוך באופן טבעי, רשויות מקומיות רבות מוסיפות </w:t>
      </w:r>
      <w:r w:rsidR="00241A5B">
        <w:rPr>
          <w:rFonts w:hint="cs"/>
          <w:rtl/>
        </w:rPr>
        <w:t>פלואוריד</w:t>
      </w:r>
      <w:r>
        <w:rPr>
          <w:rFonts w:hint="cs"/>
          <w:rtl/>
        </w:rPr>
        <w:t xml:space="preserve"> למי השתי</w:t>
      </w:r>
      <w:r w:rsidR="00006F97">
        <w:rPr>
          <w:rFonts w:hint="cs"/>
          <w:rtl/>
        </w:rPr>
        <w:t>י</w:t>
      </w:r>
      <w:r>
        <w:rPr>
          <w:rFonts w:hint="cs"/>
          <w:rtl/>
        </w:rPr>
        <w:t xml:space="preserve">ה. בשנות ה-90, </w:t>
      </w:r>
      <w:r w:rsidR="00834E6F">
        <w:rPr>
          <w:rFonts w:hint="cs"/>
          <w:rtl/>
        </w:rPr>
        <w:t xml:space="preserve">הוסיפו </w:t>
      </w:r>
      <w:r w:rsidR="00241A5B">
        <w:rPr>
          <w:rFonts w:hint="cs"/>
          <w:rtl/>
        </w:rPr>
        <w:t>פלואוריד</w:t>
      </w:r>
      <w:r w:rsidR="00834E6F">
        <w:rPr>
          <w:rFonts w:hint="cs"/>
          <w:rtl/>
        </w:rPr>
        <w:t xml:space="preserve"> למי השתייה </w:t>
      </w:r>
      <w:r>
        <w:rPr>
          <w:rFonts w:hint="cs"/>
          <w:rtl/>
        </w:rPr>
        <w:t>84 חברות</w:t>
      </w:r>
      <w:r w:rsidR="00834E6F">
        <w:rPr>
          <w:rFonts w:hint="cs"/>
          <w:rtl/>
        </w:rPr>
        <w:t>,</w:t>
      </w:r>
      <w:r>
        <w:rPr>
          <w:rFonts w:hint="cs"/>
          <w:rtl/>
        </w:rPr>
        <w:t xml:space="preserve"> המספקות מים לכ-50% מהאוכלוסי</w:t>
      </w:r>
      <w:r w:rsidR="00834E6F">
        <w:rPr>
          <w:rFonts w:hint="cs"/>
          <w:rtl/>
        </w:rPr>
        <w:t>י</w:t>
      </w:r>
      <w:r>
        <w:rPr>
          <w:rFonts w:hint="cs"/>
          <w:rtl/>
        </w:rPr>
        <w:t xml:space="preserve">ה. כ-44% </w:t>
      </w:r>
      <w:r w:rsidR="00834E6F">
        <w:rPr>
          <w:rFonts w:hint="cs"/>
          <w:rtl/>
        </w:rPr>
        <w:t xml:space="preserve">מהן </w:t>
      </w:r>
      <w:r>
        <w:rPr>
          <w:rFonts w:hint="cs"/>
          <w:rtl/>
        </w:rPr>
        <w:t xml:space="preserve">הוסיפו </w:t>
      </w:r>
      <w:r w:rsidR="00241A5B">
        <w:rPr>
          <w:rFonts w:hint="cs"/>
          <w:rtl/>
        </w:rPr>
        <w:t>פלואוריד</w:t>
      </w:r>
      <w:r>
        <w:rPr>
          <w:rFonts w:hint="cs"/>
          <w:rtl/>
        </w:rPr>
        <w:t xml:space="preserve"> </w:t>
      </w:r>
      <w:r w:rsidR="007339E1">
        <w:rPr>
          <w:rFonts w:hint="cs"/>
          <w:rtl/>
        </w:rPr>
        <w:t>בריכוזים הנמוכים מהרמה המומלצת.</w:t>
      </w:r>
      <w:r w:rsidR="007339E1">
        <w:rPr>
          <w:rStyle w:val="a6"/>
          <w:rtl/>
        </w:rPr>
        <w:footnoteReference w:id="13"/>
      </w:r>
      <w:r w:rsidR="007339E1">
        <w:rPr>
          <w:rFonts w:hint="cs"/>
          <w:rtl/>
        </w:rPr>
        <w:t xml:space="preserve"> </w:t>
      </w:r>
      <w:r w:rsidR="007339E1" w:rsidRPr="0031673B">
        <w:rPr>
          <w:rFonts w:hint="eastAsia"/>
          <w:b/>
          <w:bCs/>
          <w:rtl/>
        </w:rPr>
        <w:t>בדוח</w:t>
      </w:r>
      <w:r w:rsidR="007339E1" w:rsidRPr="0031673B">
        <w:rPr>
          <w:b/>
          <w:bCs/>
          <w:rtl/>
        </w:rPr>
        <w:t xml:space="preserve"> אשר פורסם באוגוסט 2014 על-ידי לשכת המדען הראשי במשרד ראש הממשלה בניו-זילנד, בנושא ההשפעות הבריאותיות של הפלרת מי-שתייה, </w:t>
      </w:r>
      <w:r w:rsidR="007339E1" w:rsidRPr="0031673B">
        <w:rPr>
          <w:rFonts w:hint="eastAsia"/>
          <w:b/>
          <w:bCs/>
          <w:rtl/>
        </w:rPr>
        <w:t>צויין</w:t>
      </w:r>
      <w:r w:rsidR="007339E1" w:rsidRPr="0031673B">
        <w:rPr>
          <w:b/>
          <w:bCs/>
          <w:rtl/>
        </w:rPr>
        <w:t xml:space="preserve"> כי </w:t>
      </w:r>
      <w:r w:rsidR="007339E1" w:rsidRPr="0031673B">
        <w:rPr>
          <w:rFonts w:hint="eastAsia"/>
          <w:b/>
          <w:bCs/>
          <w:rtl/>
        </w:rPr>
        <w:t>כ</w:t>
      </w:r>
      <w:r w:rsidR="007339E1" w:rsidRPr="0031673B">
        <w:rPr>
          <w:b/>
          <w:bCs/>
          <w:rtl/>
        </w:rPr>
        <w:t xml:space="preserve">-56% </w:t>
      </w:r>
      <w:r w:rsidR="007339E1" w:rsidRPr="0031673B">
        <w:rPr>
          <w:rFonts w:hint="eastAsia"/>
          <w:b/>
          <w:bCs/>
          <w:rtl/>
        </w:rPr>
        <w:t>מהאוכלוסייה</w:t>
      </w:r>
      <w:r w:rsidR="007339E1" w:rsidRPr="0031673B">
        <w:rPr>
          <w:b/>
          <w:bCs/>
          <w:rtl/>
        </w:rPr>
        <w:t xml:space="preserve"> </w:t>
      </w:r>
      <w:r w:rsidR="007339E1" w:rsidRPr="0031673B">
        <w:rPr>
          <w:rFonts w:hint="eastAsia"/>
          <w:b/>
          <w:bCs/>
          <w:rtl/>
        </w:rPr>
        <w:t>צורכת</w:t>
      </w:r>
      <w:r w:rsidR="007339E1" w:rsidRPr="0031673B">
        <w:rPr>
          <w:b/>
          <w:bCs/>
          <w:rtl/>
        </w:rPr>
        <w:t xml:space="preserve"> </w:t>
      </w:r>
      <w:r w:rsidR="007339E1" w:rsidRPr="0031673B">
        <w:rPr>
          <w:rFonts w:hint="eastAsia"/>
          <w:b/>
          <w:bCs/>
          <w:rtl/>
        </w:rPr>
        <w:t>מים</w:t>
      </w:r>
      <w:r w:rsidR="007339E1" w:rsidRPr="0031673B">
        <w:rPr>
          <w:b/>
          <w:bCs/>
          <w:rtl/>
        </w:rPr>
        <w:t xml:space="preserve"> </w:t>
      </w:r>
      <w:r w:rsidR="007339E1" w:rsidRPr="0031673B">
        <w:rPr>
          <w:rFonts w:hint="eastAsia"/>
          <w:b/>
          <w:bCs/>
          <w:rtl/>
        </w:rPr>
        <w:t>אשר</w:t>
      </w:r>
      <w:r w:rsidR="007339E1" w:rsidRPr="0031673B">
        <w:rPr>
          <w:b/>
          <w:bCs/>
          <w:rtl/>
        </w:rPr>
        <w:t xml:space="preserve"> </w:t>
      </w:r>
      <w:r w:rsidR="007339E1" w:rsidRPr="0031673B">
        <w:rPr>
          <w:rFonts w:hint="eastAsia"/>
          <w:b/>
          <w:bCs/>
          <w:rtl/>
        </w:rPr>
        <w:t>ריכוז</w:t>
      </w:r>
      <w:r w:rsidR="007339E1" w:rsidRPr="0031673B">
        <w:rPr>
          <w:b/>
          <w:bCs/>
          <w:rtl/>
        </w:rPr>
        <w:t xml:space="preserve"> </w:t>
      </w:r>
      <w:r w:rsidR="007339E1" w:rsidRPr="0031673B">
        <w:rPr>
          <w:rFonts w:hint="eastAsia"/>
          <w:b/>
          <w:bCs/>
          <w:rtl/>
        </w:rPr>
        <w:t>הפלואוריד</w:t>
      </w:r>
      <w:r w:rsidR="007339E1" w:rsidRPr="0031673B">
        <w:rPr>
          <w:b/>
          <w:bCs/>
          <w:rtl/>
        </w:rPr>
        <w:t xml:space="preserve"> </w:t>
      </w:r>
      <w:r w:rsidR="007339E1" w:rsidRPr="0031673B">
        <w:rPr>
          <w:rFonts w:hint="eastAsia"/>
          <w:b/>
          <w:bCs/>
          <w:rtl/>
        </w:rPr>
        <w:t>בהם</w:t>
      </w:r>
      <w:r w:rsidR="007339E1" w:rsidRPr="0031673B">
        <w:rPr>
          <w:b/>
          <w:bCs/>
          <w:rtl/>
        </w:rPr>
        <w:t xml:space="preserve"> </w:t>
      </w:r>
      <w:r w:rsidR="007339E1" w:rsidRPr="008E293F">
        <w:rPr>
          <w:rFonts w:hint="eastAsia"/>
          <w:b/>
          <w:bCs/>
          <w:rtl/>
        </w:rPr>
        <w:t>הוא</w:t>
      </w:r>
      <w:r w:rsidR="007339E1" w:rsidRPr="008E293F">
        <w:rPr>
          <w:b/>
          <w:bCs/>
          <w:rtl/>
        </w:rPr>
        <w:t xml:space="preserve"> </w:t>
      </w:r>
      <w:r w:rsidR="007339E1" w:rsidRPr="008E293F">
        <w:rPr>
          <w:rFonts w:hint="eastAsia"/>
          <w:b/>
          <w:bCs/>
          <w:rtl/>
        </w:rPr>
        <w:t>ברמה</w:t>
      </w:r>
      <w:r w:rsidR="007339E1" w:rsidRPr="008E293F">
        <w:rPr>
          <w:b/>
          <w:bCs/>
          <w:rtl/>
        </w:rPr>
        <w:t xml:space="preserve"> </w:t>
      </w:r>
      <w:r w:rsidR="007339E1" w:rsidRPr="008E293F">
        <w:rPr>
          <w:rFonts w:hint="eastAsia"/>
          <w:b/>
          <w:bCs/>
          <w:rtl/>
        </w:rPr>
        <w:t>המומלצת</w:t>
      </w:r>
      <w:r w:rsidR="007339E1" w:rsidRPr="008E293F">
        <w:rPr>
          <w:b/>
          <w:bCs/>
          <w:rtl/>
        </w:rPr>
        <w:t>.</w:t>
      </w:r>
      <w:r w:rsidR="007339E1">
        <w:rPr>
          <w:rStyle w:val="a6"/>
          <w:rtl/>
        </w:rPr>
        <w:footnoteReference w:id="14"/>
      </w:r>
      <w:r w:rsidR="007339E1">
        <w:rPr>
          <w:rFonts w:hint="cs"/>
          <w:rtl/>
        </w:rPr>
        <w:t xml:space="preserve"> </w:t>
      </w:r>
      <w:r>
        <w:rPr>
          <w:rFonts w:hint="cs"/>
          <w:rtl/>
        </w:rPr>
        <w:t>יש לציין כי באוקטובר 2011 הצביעה מועצת מחוז ניו-פלימות' בעד הפסקת הפלרת מי השתי</w:t>
      </w:r>
      <w:r w:rsidR="00834E6F">
        <w:rPr>
          <w:rFonts w:hint="cs"/>
          <w:rtl/>
        </w:rPr>
        <w:t>י</w:t>
      </w:r>
      <w:r>
        <w:rPr>
          <w:rFonts w:hint="cs"/>
          <w:rtl/>
        </w:rPr>
        <w:t>ה במחוז.</w:t>
      </w:r>
      <w:r>
        <w:rPr>
          <w:rStyle w:val="a6"/>
          <w:rtl/>
        </w:rPr>
        <w:footnoteReference w:id="15"/>
      </w:r>
    </w:p>
    <w:p w:rsidR="002C16E4" w:rsidRDefault="002C16E4" w:rsidP="002C16E4">
      <w:pPr>
        <w:pStyle w:val="a3"/>
        <w:rPr>
          <w:rtl/>
        </w:rPr>
      </w:pPr>
    </w:p>
    <w:p w:rsidR="002C16E4" w:rsidRDefault="002C16E4" w:rsidP="00834E6F">
      <w:pPr>
        <w:pStyle w:val="11"/>
        <w:spacing w:before="120"/>
        <w:ind w:right="0"/>
        <w:rPr>
          <w:rtl/>
        </w:rPr>
      </w:pPr>
      <w:r>
        <w:rPr>
          <w:rFonts w:hint="cs"/>
          <w:rtl/>
        </w:rPr>
        <w:t>ארצות</w:t>
      </w:r>
      <w:r w:rsidR="00834E6F">
        <w:rPr>
          <w:rFonts w:hint="cs"/>
          <w:rtl/>
        </w:rPr>
        <w:t>-</w:t>
      </w:r>
      <w:r>
        <w:rPr>
          <w:rFonts w:hint="cs"/>
          <w:rtl/>
        </w:rPr>
        <w:t xml:space="preserve">הברית </w:t>
      </w:r>
    </w:p>
    <w:p w:rsidR="002C16E4" w:rsidRDefault="002C16E4" w:rsidP="00E72AD2">
      <w:pPr>
        <w:rPr>
          <w:rtl/>
        </w:rPr>
      </w:pPr>
      <w:r>
        <w:rPr>
          <w:rFonts w:hint="cs"/>
          <w:rtl/>
        </w:rPr>
        <w:t>על-פי נתוני המרכז לבקרה ולמניעת מחלות (</w:t>
      </w:r>
      <w:r>
        <w:rPr>
          <w:rFonts w:hint="cs"/>
        </w:rPr>
        <w:t>C</w:t>
      </w:r>
      <w:r>
        <w:t>DC</w:t>
      </w:r>
      <w:r w:rsidR="00834E6F">
        <w:t xml:space="preserve"> –</w:t>
      </w:r>
      <w:r>
        <w:t xml:space="preserve"> Centers for Disease Control and Prevention</w:t>
      </w:r>
      <w:r>
        <w:rPr>
          <w:rFonts w:hint="cs"/>
          <w:rtl/>
        </w:rPr>
        <w:t xml:space="preserve">), בשנת 2008 </w:t>
      </w:r>
      <w:r w:rsidR="00E72AD2">
        <w:rPr>
          <w:rFonts w:hint="cs"/>
          <w:rtl/>
        </w:rPr>
        <w:t xml:space="preserve">היתה </w:t>
      </w:r>
      <w:r>
        <w:rPr>
          <w:rFonts w:hint="cs"/>
          <w:rtl/>
        </w:rPr>
        <w:t>ל-64.3% מאוכלוסיית ארצות הברית (</w:t>
      </w:r>
      <w:r w:rsidRPr="00E10787">
        <w:rPr>
          <w:rtl/>
        </w:rPr>
        <w:t>195,545,109</w:t>
      </w:r>
      <w:r>
        <w:rPr>
          <w:rFonts w:hint="cs"/>
          <w:rtl/>
        </w:rPr>
        <w:t xml:space="preserve"> אנשים) גיש</w:t>
      </w:r>
      <w:r w:rsidR="00834E6F">
        <w:rPr>
          <w:rFonts w:hint="cs"/>
          <w:rtl/>
        </w:rPr>
        <w:t>ה</w:t>
      </w:r>
      <w:r>
        <w:rPr>
          <w:rFonts w:hint="cs"/>
          <w:rtl/>
        </w:rPr>
        <w:t xml:space="preserve"> למים מופלרים. סמכות ההחלטה בדבר הפלרת מי השתי</w:t>
      </w:r>
      <w:r w:rsidR="00834E6F">
        <w:rPr>
          <w:rFonts w:hint="cs"/>
          <w:rtl/>
        </w:rPr>
        <w:t>י</w:t>
      </w:r>
      <w:r>
        <w:rPr>
          <w:rFonts w:hint="cs"/>
          <w:rtl/>
        </w:rPr>
        <w:t>ה מצויה בידי המדינה (</w:t>
      </w:r>
      <w:r>
        <w:t>state</w:t>
      </w:r>
      <w:r>
        <w:rPr>
          <w:rFonts w:hint="cs"/>
          <w:rtl/>
        </w:rPr>
        <w:t>) או הרשות המקומית.</w:t>
      </w:r>
      <w:r>
        <w:rPr>
          <w:rStyle w:val="a6"/>
          <w:rtl/>
        </w:rPr>
        <w:footnoteReference w:id="16"/>
      </w:r>
    </w:p>
    <w:p w:rsidR="002C16E4" w:rsidRDefault="002C16E4" w:rsidP="006036A4">
      <w:pPr>
        <w:rPr>
          <w:rtl/>
        </w:rPr>
      </w:pPr>
      <w:r>
        <w:rPr>
          <w:rFonts w:hint="cs"/>
          <w:rtl/>
        </w:rPr>
        <w:t>עד יולי 2011 ריכוז ה</w:t>
      </w:r>
      <w:r w:rsidR="00241A5B">
        <w:rPr>
          <w:rFonts w:hint="cs"/>
          <w:rtl/>
        </w:rPr>
        <w:t>פלואוריד</w:t>
      </w:r>
      <w:r>
        <w:rPr>
          <w:rFonts w:hint="cs"/>
          <w:rtl/>
        </w:rPr>
        <w:t xml:space="preserve"> המומלץ על-ידי משרד הבריאות בארצות</w:t>
      </w:r>
      <w:r w:rsidR="00834E6F">
        <w:rPr>
          <w:rFonts w:hint="cs"/>
          <w:rtl/>
        </w:rPr>
        <w:t>-</w:t>
      </w:r>
      <w:r>
        <w:rPr>
          <w:rFonts w:hint="cs"/>
          <w:rtl/>
        </w:rPr>
        <w:t xml:space="preserve">הברית למים מופלרים באופן מלאכותי היה בין 0.7 מ"ג לליטר ל-1.2 מ"ג לליטר. על-פי דוח המרכז לבקרה ולמניעת מחלות, </w:t>
      </w:r>
      <w:r w:rsidR="00834E6F">
        <w:rPr>
          <w:rFonts w:hint="cs"/>
          <w:rtl/>
        </w:rPr>
        <w:t>טווח זה נחשב ל</w:t>
      </w:r>
      <w:r>
        <w:rPr>
          <w:rFonts w:hint="cs"/>
          <w:rtl/>
        </w:rPr>
        <w:t xml:space="preserve">אופטימלי למניעת עששת. ביולי 2011 המליץ משרד הבריאות כי הרמה המרבית של </w:t>
      </w:r>
      <w:r w:rsidR="00241A5B">
        <w:rPr>
          <w:rFonts w:hint="cs"/>
          <w:rtl/>
        </w:rPr>
        <w:t>פלואוריד</w:t>
      </w:r>
      <w:r>
        <w:rPr>
          <w:rFonts w:hint="cs"/>
          <w:rtl/>
        </w:rPr>
        <w:t xml:space="preserve"> במי השת</w:t>
      </w:r>
      <w:r w:rsidR="00834E6F">
        <w:rPr>
          <w:rFonts w:hint="cs"/>
          <w:rtl/>
        </w:rPr>
        <w:t>י</w:t>
      </w:r>
      <w:r>
        <w:rPr>
          <w:rFonts w:hint="cs"/>
          <w:rtl/>
        </w:rPr>
        <w:t>יה ת</w:t>
      </w:r>
      <w:r w:rsidR="00834E6F">
        <w:rPr>
          <w:rFonts w:hint="cs"/>
          <w:rtl/>
        </w:rPr>
        <w:t>היה ה</w:t>
      </w:r>
      <w:r>
        <w:rPr>
          <w:rFonts w:hint="cs"/>
          <w:rtl/>
        </w:rPr>
        <w:t>ריכוז המינימלי של הטווח הנ"ל (כלומר, 0.7 מ"ג לליטר). במקביל, יזמה הסוכנות להגנת הסביבה (</w:t>
      </w:r>
      <w:r>
        <w:t>EPA</w:t>
      </w:r>
      <w:r w:rsidR="00834E6F">
        <w:t xml:space="preserve"> – </w:t>
      </w:r>
      <w:r>
        <w:t>Environmental Protection Agency</w:t>
      </w:r>
      <w:r>
        <w:rPr>
          <w:rFonts w:hint="cs"/>
          <w:rtl/>
        </w:rPr>
        <w:t>) בחינה של ריכוז ה</w:t>
      </w:r>
      <w:r w:rsidR="00241A5B">
        <w:rPr>
          <w:rFonts w:hint="cs"/>
          <w:rtl/>
        </w:rPr>
        <w:t>פלואוריד</w:t>
      </w:r>
      <w:r>
        <w:rPr>
          <w:rFonts w:hint="cs"/>
          <w:rtl/>
        </w:rPr>
        <w:t xml:space="preserve"> המקסימלי המותר במי</w:t>
      </w:r>
      <w:r w:rsidR="00834E6F">
        <w:rPr>
          <w:rFonts w:hint="cs"/>
          <w:rtl/>
        </w:rPr>
        <w:t xml:space="preserve"> </w:t>
      </w:r>
      <w:r>
        <w:rPr>
          <w:rFonts w:hint="cs"/>
          <w:rtl/>
        </w:rPr>
        <w:t>שתי</w:t>
      </w:r>
      <w:r w:rsidR="00006F97">
        <w:rPr>
          <w:rFonts w:hint="cs"/>
          <w:rtl/>
        </w:rPr>
        <w:t>י</w:t>
      </w:r>
      <w:r>
        <w:rPr>
          <w:rFonts w:hint="cs"/>
          <w:rtl/>
        </w:rPr>
        <w:t>ה (כלומר, ריכוז ה</w:t>
      </w:r>
      <w:r w:rsidR="00241A5B">
        <w:rPr>
          <w:rFonts w:hint="cs"/>
          <w:rtl/>
        </w:rPr>
        <w:t>פלואוריד</w:t>
      </w:r>
      <w:r>
        <w:rPr>
          <w:rFonts w:hint="cs"/>
          <w:rtl/>
        </w:rPr>
        <w:t xml:space="preserve"> במים, אם ממקורות טבעיים ואם ממקורות מלאכותיים, </w:t>
      </w:r>
      <w:r w:rsidR="00834E6F">
        <w:rPr>
          <w:rFonts w:hint="cs"/>
          <w:rtl/>
        </w:rPr>
        <w:t xml:space="preserve">שמעבר לו </w:t>
      </w:r>
      <w:r>
        <w:rPr>
          <w:rFonts w:hint="cs"/>
          <w:rtl/>
        </w:rPr>
        <w:t>מים ייחשבו לא</w:t>
      </w:r>
      <w:r w:rsidR="00834E6F">
        <w:rPr>
          <w:rFonts w:hint="cs"/>
          <w:rtl/>
        </w:rPr>
        <w:t xml:space="preserve"> </w:t>
      </w:r>
      <w:r>
        <w:rPr>
          <w:rFonts w:hint="cs"/>
          <w:rtl/>
        </w:rPr>
        <w:t>ראויים לשתייה). השינוי מבוסס על הערכות מדעיות ש</w:t>
      </w:r>
      <w:r w:rsidR="006036A4">
        <w:rPr>
          <w:rFonts w:hint="cs"/>
          <w:rtl/>
        </w:rPr>
        <w:t xml:space="preserve">ל </w:t>
      </w:r>
      <w:r>
        <w:rPr>
          <w:rFonts w:hint="cs"/>
          <w:rtl/>
        </w:rPr>
        <w:t>משרד הבריאות והסוכנות להגנת הסביבה</w:t>
      </w:r>
      <w:r w:rsidR="00E72AD2">
        <w:rPr>
          <w:rFonts w:hint="cs"/>
          <w:rtl/>
        </w:rPr>
        <w:t xml:space="preserve"> שנעשו</w:t>
      </w:r>
      <w:r>
        <w:rPr>
          <w:rFonts w:hint="cs"/>
          <w:rtl/>
        </w:rPr>
        <w:t xml:space="preserve"> במטרה לבחון מה</w:t>
      </w:r>
      <w:r w:rsidR="006036A4">
        <w:rPr>
          <w:rFonts w:hint="cs"/>
          <w:rtl/>
        </w:rPr>
        <w:t>י</w:t>
      </w:r>
      <w:r>
        <w:rPr>
          <w:rFonts w:hint="cs"/>
          <w:rtl/>
        </w:rPr>
        <w:t xml:space="preserve"> נקודת האיזון המיטבית בין היתרונות של מניעת עששת מחד</w:t>
      </w:r>
      <w:r w:rsidR="006036A4">
        <w:rPr>
          <w:rFonts w:hint="cs"/>
          <w:rtl/>
        </w:rPr>
        <w:t xml:space="preserve"> גיסא</w:t>
      </w:r>
      <w:r>
        <w:rPr>
          <w:rFonts w:hint="cs"/>
          <w:rtl/>
        </w:rPr>
        <w:t xml:space="preserve"> והשפעות בריאותיות שליליות מאידך</w:t>
      </w:r>
      <w:r w:rsidR="006036A4">
        <w:rPr>
          <w:rFonts w:hint="cs"/>
          <w:rtl/>
        </w:rPr>
        <w:t xml:space="preserve"> גיסא</w:t>
      </w:r>
      <w:r>
        <w:rPr>
          <w:rFonts w:hint="cs"/>
          <w:rtl/>
        </w:rPr>
        <w:t xml:space="preserve">. </w:t>
      </w:r>
    </w:p>
    <w:p w:rsidR="002C16E4" w:rsidRDefault="002C16E4" w:rsidP="00E72AD2">
      <w:pPr>
        <w:rPr>
          <w:rtl/>
        </w:rPr>
      </w:pPr>
      <w:r>
        <w:rPr>
          <w:rFonts w:hint="cs"/>
          <w:rtl/>
        </w:rPr>
        <w:t>משרד הבריאות והסוכנות להגנת הסביבה נימקו את החלטתם בכך שלאזרחי ארצות</w:t>
      </w:r>
      <w:r w:rsidR="006036A4">
        <w:rPr>
          <w:rFonts w:hint="cs"/>
          <w:rtl/>
        </w:rPr>
        <w:t>-</w:t>
      </w:r>
      <w:r>
        <w:rPr>
          <w:rFonts w:hint="cs"/>
          <w:rtl/>
        </w:rPr>
        <w:t xml:space="preserve">הברית כיום יש גישה למקורות </w:t>
      </w:r>
      <w:r w:rsidR="006036A4">
        <w:rPr>
          <w:rFonts w:hint="cs"/>
          <w:rtl/>
        </w:rPr>
        <w:t xml:space="preserve">רבים </w:t>
      </w:r>
      <w:r>
        <w:rPr>
          <w:rFonts w:hint="cs"/>
          <w:rtl/>
        </w:rPr>
        <w:t xml:space="preserve">של </w:t>
      </w:r>
      <w:r w:rsidR="00241A5B">
        <w:rPr>
          <w:rFonts w:hint="cs"/>
          <w:rtl/>
        </w:rPr>
        <w:t>פלואוריד</w:t>
      </w:r>
      <w:r>
        <w:rPr>
          <w:rFonts w:hint="cs"/>
          <w:rtl/>
        </w:rPr>
        <w:t xml:space="preserve"> </w:t>
      </w:r>
      <w:r w:rsidR="006036A4">
        <w:rPr>
          <w:rFonts w:hint="cs"/>
          <w:rtl/>
        </w:rPr>
        <w:t>ש</w:t>
      </w:r>
      <w:r>
        <w:rPr>
          <w:rFonts w:hint="cs"/>
          <w:rtl/>
        </w:rPr>
        <w:t xml:space="preserve">לא </w:t>
      </w:r>
      <w:r w:rsidR="006036A4">
        <w:rPr>
          <w:rFonts w:hint="cs"/>
          <w:rtl/>
        </w:rPr>
        <w:t xml:space="preserve">היו נגישים להם בתקופה שבה </w:t>
      </w:r>
      <w:r>
        <w:rPr>
          <w:rFonts w:hint="cs"/>
          <w:rtl/>
        </w:rPr>
        <w:t xml:space="preserve"> החלו להוסיף </w:t>
      </w:r>
      <w:r w:rsidR="00241A5B">
        <w:rPr>
          <w:rFonts w:hint="cs"/>
          <w:rtl/>
        </w:rPr>
        <w:t>פלואוריד</w:t>
      </w:r>
      <w:r>
        <w:rPr>
          <w:rFonts w:hint="cs"/>
          <w:rtl/>
        </w:rPr>
        <w:t xml:space="preserve"> למי</w:t>
      </w:r>
      <w:r w:rsidR="006036A4">
        <w:rPr>
          <w:rFonts w:hint="cs"/>
          <w:rtl/>
        </w:rPr>
        <w:t xml:space="preserve"> </w:t>
      </w:r>
      <w:r>
        <w:rPr>
          <w:rFonts w:hint="cs"/>
          <w:rtl/>
        </w:rPr>
        <w:t>השת</w:t>
      </w:r>
      <w:r w:rsidR="006036A4">
        <w:rPr>
          <w:rFonts w:hint="cs"/>
          <w:rtl/>
        </w:rPr>
        <w:t>י</w:t>
      </w:r>
      <w:r>
        <w:rPr>
          <w:rFonts w:hint="cs"/>
          <w:rtl/>
        </w:rPr>
        <w:t xml:space="preserve">יה בשנות ה-40: מוצרי היגיינת השן, תוספי </w:t>
      </w:r>
      <w:r w:rsidR="00241A5B">
        <w:rPr>
          <w:rFonts w:hint="cs"/>
          <w:rtl/>
        </w:rPr>
        <w:t>פלואוריד</w:t>
      </w:r>
      <w:r>
        <w:rPr>
          <w:rFonts w:hint="cs"/>
          <w:rtl/>
        </w:rPr>
        <w:t xml:space="preserve"> במרשם רופא ו</w:t>
      </w:r>
      <w:r w:rsidR="00241A5B">
        <w:rPr>
          <w:rFonts w:hint="cs"/>
          <w:rtl/>
        </w:rPr>
        <w:t>פלואוריד</w:t>
      </w:r>
      <w:r>
        <w:rPr>
          <w:rFonts w:hint="cs"/>
          <w:rtl/>
        </w:rPr>
        <w:t xml:space="preserve"> שניתן במסגרת טיפולי שיניים.</w:t>
      </w:r>
      <w:r>
        <w:rPr>
          <w:rStyle w:val="a6"/>
          <w:rtl/>
        </w:rPr>
        <w:footnoteReference w:id="17"/>
      </w:r>
    </w:p>
    <w:p w:rsidR="00CE46DC" w:rsidRDefault="00CE46DC" w:rsidP="00CE46DC">
      <w:pPr>
        <w:rPr>
          <w:rtl/>
        </w:rPr>
      </w:pPr>
      <w:r w:rsidRPr="0031673B">
        <w:rPr>
          <w:rFonts w:hint="eastAsia"/>
          <w:b/>
          <w:bCs/>
          <w:rtl/>
        </w:rPr>
        <w:t>באפריל</w:t>
      </w:r>
      <w:r w:rsidRPr="0031673B">
        <w:rPr>
          <w:b/>
          <w:bCs/>
          <w:rtl/>
        </w:rPr>
        <w:t xml:space="preserve"> 2015 פרסמו שירותי בריאות הציבור בארצות הברית את ההמלצה הסופית בדבר ריכוז פלואור במי שתייה, ולפיה הריכוז האופטימלי של פלואור המוסף למי השתייה באופן מלאכותי הוא 0.7 </w:t>
      </w:r>
      <w:r w:rsidRPr="0031673B">
        <w:rPr>
          <w:rFonts w:hint="eastAsia"/>
          <w:b/>
          <w:bCs/>
          <w:rtl/>
        </w:rPr>
        <w:t>מג</w:t>
      </w:r>
      <w:r w:rsidRPr="0031673B">
        <w:rPr>
          <w:b/>
          <w:bCs/>
          <w:rtl/>
        </w:rPr>
        <w:t>"ל</w:t>
      </w:r>
      <w:r w:rsidRPr="0031673B">
        <w:rPr>
          <w:rtl/>
        </w:rPr>
        <w:t xml:space="preserve">. בכך שונו ההנחיות הקודמות משנת 1962 אשר המליצו כי ריכוז הפלואור יהיה בטווח של 0.7-1.2 </w:t>
      </w:r>
      <w:r w:rsidRPr="0031673B">
        <w:rPr>
          <w:rFonts w:hint="eastAsia"/>
          <w:rtl/>
        </w:rPr>
        <w:t>מג</w:t>
      </w:r>
      <w:r w:rsidRPr="0031673B">
        <w:rPr>
          <w:rtl/>
        </w:rPr>
        <w:t>"ל.</w:t>
      </w:r>
      <w:r w:rsidRPr="0031673B">
        <w:rPr>
          <w:rStyle w:val="a6"/>
          <w:rtl/>
        </w:rPr>
        <w:footnoteReference w:id="18"/>
      </w:r>
    </w:p>
    <w:p w:rsidR="0050369F" w:rsidRDefault="0050369F" w:rsidP="0050369F">
      <w:pPr>
        <w:rPr>
          <w:rtl/>
        </w:rPr>
      </w:pPr>
      <w:r w:rsidRPr="0042186E">
        <w:rPr>
          <w:rFonts w:asciiTheme="majorBidi" w:hAnsiTheme="majorBidi"/>
          <w:rtl/>
        </w:rPr>
        <w:t>כאמור, סמכות ההסדרה בעניין ההפלרה היא בידי המדינות או הרשויות המקומיות. ואכן, כ-1</w:t>
      </w:r>
      <w:r>
        <w:rPr>
          <w:rFonts w:asciiTheme="majorBidi" w:hAnsiTheme="majorBidi" w:hint="cs"/>
          <w:rtl/>
        </w:rPr>
        <w:t>5</w:t>
      </w:r>
      <w:r w:rsidRPr="0042186E">
        <w:rPr>
          <w:rFonts w:asciiTheme="majorBidi" w:hAnsiTheme="majorBidi"/>
          <w:rtl/>
        </w:rPr>
        <w:t xml:space="preserve"> מדינות בארה"ב מחייבות בחקיקה הפלרה של המים בתחומן, כאשר יש הבדלים ניכרים בין החוקים במדינות השונות. בדרך כלל החובה תחול רק במקורות מים המספקים מים למינימום תושבים, ובחלק מהמדינות יש אפשרות </w:t>
      </w:r>
      <w:r>
        <w:rPr>
          <w:rFonts w:asciiTheme="majorBidi" w:hAnsiTheme="majorBidi" w:hint="cs"/>
          <w:rtl/>
        </w:rPr>
        <w:t>להימנע מ</w:t>
      </w:r>
      <w:r w:rsidRPr="00E96D3A">
        <w:rPr>
          <w:rFonts w:asciiTheme="majorBidi" w:hAnsiTheme="majorBidi" w:hint="cs"/>
          <w:rtl/>
        </w:rPr>
        <w:t>הפלרה</w:t>
      </w:r>
      <w:r w:rsidRPr="00E96D3A">
        <w:rPr>
          <w:rFonts w:asciiTheme="majorBidi" w:hAnsiTheme="majorBidi"/>
          <w:rtl/>
        </w:rPr>
        <w:t xml:space="preserve"> </w:t>
      </w:r>
      <w:r w:rsidRPr="0042186E">
        <w:rPr>
          <w:rFonts w:asciiTheme="majorBidi" w:hAnsiTheme="majorBidi"/>
          <w:rtl/>
        </w:rPr>
        <w:t>אם אחוז מסוים של התושבים מתנגדים. כמה מדינות מבין אלה המחייבות הפלרה מתנות את החובה בהימצאות מקור תקציבי להפלרה, כך שבפועל ההפלרה לא מתקיימת באופן מלא. לפחות שבע מבין המדינות האמורות יצטרכו ככל הנראה להתאים את החקיקה שלהן לתקן החדש. במדינות אחרות יש חקיקה המקנה סמכות לרשויות המקומיות או לרשות המים להחליט באשר להפלרת המים בתחומן</w:t>
      </w:r>
      <w:r>
        <w:rPr>
          <w:rFonts w:asciiTheme="majorBidi" w:hAnsiTheme="majorBidi" w:hint="cs"/>
          <w:rtl/>
        </w:rPr>
        <w:t xml:space="preserve"> ובאחרות ההחלטה תתקבל בהתאם להצבעה על-ידי התושבים.</w:t>
      </w:r>
      <w:r>
        <w:rPr>
          <w:rStyle w:val="a6"/>
          <w:rFonts w:asciiTheme="majorBidi" w:hAnsiTheme="majorBidi"/>
          <w:rtl/>
        </w:rPr>
        <w:footnoteReference w:id="19"/>
      </w:r>
    </w:p>
    <w:p w:rsidR="002C16E4" w:rsidRDefault="002C16E4" w:rsidP="002C16E4">
      <w:pPr>
        <w:rPr>
          <w:rtl/>
        </w:rPr>
      </w:pPr>
    </w:p>
    <w:p w:rsidR="002C16E4" w:rsidRDefault="002C16E4" w:rsidP="002C16E4">
      <w:pPr>
        <w:pStyle w:val="11"/>
        <w:spacing w:before="120"/>
        <w:ind w:right="0"/>
        <w:rPr>
          <w:rtl/>
        </w:rPr>
      </w:pPr>
      <w:r>
        <w:rPr>
          <w:rFonts w:hint="cs"/>
          <w:rtl/>
        </w:rPr>
        <w:t>גרמניה</w:t>
      </w:r>
      <w:r w:rsidR="0076378E">
        <w:rPr>
          <w:rStyle w:val="a6"/>
          <w:rtl/>
        </w:rPr>
        <w:footnoteReference w:id="20"/>
      </w:r>
    </w:p>
    <w:p w:rsidR="002C16E4" w:rsidRDefault="002C16E4" w:rsidP="00AB5645">
      <w:pPr>
        <w:rPr>
          <w:rtl/>
        </w:rPr>
      </w:pPr>
      <w:r>
        <w:rPr>
          <w:rFonts w:hint="cs"/>
          <w:rtl/>
        </w:rPr>
        <w:t xml:space="preserve">על-פי </w:t>
      </w:r>
      <w:r w:rsidR="00AB5645">
        <w:rPr>
          <w:rFonts w:hint="cs"/>
          <w:rtl/>
        </w:rPr>
        <w:t>גורם ב</w:t>
      </w:r>
      <w:r>
        <w:rPr>
          <w:rFonts w:hint="cs"/>
          <w:rtl/>
        </w:rPr>
        <w:t>משרד להגנת הסביבה בגרמניה, ב</w:t>
      </w:r>
      <w:r w:rsidR="006036A4">
        <w:rPr>
          <w:rFonts w:hint="cs"/>
          <w:rtl/>
        </w:rPr>
        <w:t>רוב</w:t>
      </w:r>
      <w:r>
        <w:rPr>
          <w:rFonts w:hint="cs"/>
          <w:rtl/>
        </w:rPr>
        <w:t xml:space="preserve"> מקורות המים בגרמניה ריכוז ה</w:t>
      </w:r>
      <w:r w:rsidR="00241A5B">
        <w:rPr>
          <w:rFonts w:hint="cs"/>
          <w:rtl/>
        </w:rPr>
        <w:t>פלואוריד</w:t>
      </w:r>
      <w:r>
        <w:rPr>
          <w:rFonts w:hint="cs"/>
          <w:rtl/>
        </w:rPr>
        <w:t xml:space="preserve"> באופן טבעי הוא כ-1 מ"ג לליטר</w:t>
      </w:r>
      <w:r w:rsidR="006036A4">
        <w:rPr>
          <w:rFonts w:hint="cs"/>
          <w:rtl/>
        </w:rPr>
        <w:t xml:space="preserve"> –</w:t>
      </w:r>
      <w:r>
        <w:rPr>
          <w:rFonts w:hint="cs"/>
          <w:rtl/>
        </w:rPr>
        <w:t xml:space="preserve"> ריכוז הנחשב, לדברי</w:t>
      </w:r>
      <w:r w:rsidR="006036A4">
        <w:rPr>
          <w:rFonts w:hint="cs"/>
          <w:rtl/>
        </w:rPr>
        <w:t>ו</w:t>
      </w:r>
      <w:r>
        <w:rPr>
          <w:rFonts w:hint="cs"/>
          <w:rtl/>
        </w:rPr>
        <w:t xml:space="preserve">, מיטבי למניעת עששת. מים </w:t>
      </w:r>
      <w:r w:rsidR="006036A4">
        <w:rPr>
          <w:rFonts w:hint="cs"/>
          <w:rtl/>
        </w:rPr>
        <w:t>ש</w:t>
      </w:r>
      <w:r>
        <w:rPr>
          <w:rFonts w:hint="cs"/>
          <w:rtl/>
        </w:rPr>
        <w:t>ריכוז ה</w:t>
      </w:r>
      <w:r w:rsidR="00241A5B">
        <w:rPr>
          <w:rFonts w:hint="cs"/>
          <w:rtl/>
        </w:rPr>
        <w:t>פלואוריד</w:t>
      </w:r>
      <w:r>
        <w:rPr>
          <w:rFonts w:hint="cs"/>
          <w:rtl/>
        </w:rPr>
        <w:t xml:space="preserve"> </w:t>
      </w:r>
      <w:r w:rsidR="006036A4">
        <w:rPr>
          <w:rFonts w:hint="cs"/>
          <w:rtl/>
        </w:rPr>
        <w:t>בהם הוא יותר מ-</w:t>
      </w:r>
      <w:r>
        <w:rPr>
          <w:rFonts w:hint="cs"/>
          <w:rtl/>
        </w:rPr>
        <w:t>1.5 מ"ג לליטר נחשבים לא ראויים לשתייה.</w:t>
      </w:r>
      <w:bookmarkStart w:id="1" w:name="_Ref311106460"/>
      <w:r>
        <w:rPr>
          <w:rStyle w:val="a6"/>
          <w:rtl/>
        </w:rPr>
        <w:footnoteReference w:id="21"/>
      </w:r>
      <w:bookmarkEnd w:id="1"/>
      <w:r>
        <w:rPr>
          <w:rFonts w:hint="cs"/>
          <w:rtl/>
        </w:rPr>
        <w:t xml:space="preserve"> בשנת 1985 פרסם משרד הבריאות הנחיה </w:t>
      </w:r>
      <w:r w:rsidR="00FF3AF3">
        <w:rPr>
          <w:rFonts w:hint="cs"/>
          <w:rtl/>
        </w:rPr>
        <w:t>ש</w:t>
      </w:r>
      <w:r>
        <w:rPr>
          <w:rFonts w:hint="cs"/>
          <w:rtl/>
        </w:rPr>
        <w:t xml:space="preserve">לפיה לא מומלץ להוסיף </w:t>
      </w:r>
      <w:r w:rsidR="00241A5B">
        <w:rPr>
          <w:rFonts w:hint="cs"/>
          <w:rtl/>
        </w:rPr>
        <w:t>פלואוריד</w:t>
      </w:r>
      <w:r>
        <w:rPr>
          <w:rFonts w:hint="cs"/>
          <w:rtl/>
        </w:rPr>
        <w:t xml:space="preserve"> למי</w:t>
      </w:r>
      <w:r w:rsidR="00006F97">
        <w:rPr>
          <w:rFonts w:hint="cs"/>
          <w:rtl/>
        </w:rPr>
        <w:t xml:space="preserve"> </w:t>
      </w:r>
      <w:r>
        <w:rPr>
          <w:rFonts w:hint="cs"/>
          <w:rtl/>
        </w:rPr>
        <w:t>השתי</w:t>
      </w:r>
      <w:r w:rsidR="00006F97">
        <w:rPr>
          <w:rFonts w:hint="cs"/>
          <w:rtl/>
        </w:rPr>
        <w:t>י</w:t>
      </w:r>
      <w:r>
        <w:rPr>
          <w:rFonts w:hint="cs"/>
          <w:rtl/>
        </w:rPr>
        <w:t xml:space="preserve">ה. אולם, אם באזור מסוים יש ריכוז נמוך של </w:t>
      </w:r>
      <w:r w:rsidR="00241A5B">
        <w:rPr>
          <w:rFonts w:hint="cs"/>
          <w:rtl/>
        </w:rPr>
        <w:t>פלואוריד</w:t>
      </w:r>
      <w:r>
        <w:rPr>
          <w:rFonts w:hint="cs"/>
          <w:rtl/>
        </w:rPr>
        <w:t xml:space="preserve"> טבעי, הרשות המקומית או מדינת המחוז </w:t>
      </w:r>
      <w:r w:rsidRPr="009B1AAC">
        <w:rPr>
          <w:rFonts w:hint="cs"/>
          <w:u w:val="single"/>
          <w:rtl/>
        </w:rPr>
        <w:t>רשאיות</w:t>
      </w:r>
      <w:r>
        <w:rPr>
          <w:rFonts w:hint="cs"/>
          <w:rtl/>
        </w:rPr>
        <w:t xml:space="preserve"> להוסיף </w:t>
      </w:r>
      <w:r w:rsidR="00241A5B" w:rsidRPr="00241A5B">
        <w:rPr>
          <w:rFonts w:hint="cs"/>
          <w:rtl/>
        </w:rPr>
        <w:t>פלואוריד</w:t>
      </w:r>
      <w:r w:rsidRPr="00241A5B">
        <w:rPr>
          <w:rFonts w:hint="cs"/>
          <w:rtl/>
        </w:rPr>
        <w:t xml:space="preserve"> עד לריכוז של 1 מ"ג לליטר, ו</w:t>
      </w:r>
      <w:r w:rsidR="00FF3AF3" w:rsidRPr="00241A5B">
        <w:rPr>
          <w:rFonts w:hint="cs"/>
          <w:rtl/>
        </w:rPr>
        <w:t>לאחר שתושבי הקהילות השונות הביעו רצונם לכך</w:t>
      </w:r>
      <w:r w:rsidRPr="00241A5B">
        <w:rPr>
          <w:rFonts w:hint="cs"/>
          <w:rtl/>
        </w:rPr>
        <w:t>. על-פי ההנחיות</w:t>
      </w:r>
      <w:r>
        <w:rPr>
          <w:rFonts w:hint="cs"/>
          <w:rtl/>
        </w:rPr>
        <w:t xml:space="preserve">, יש </w:t>
      </w:r>
      <w:r w:rsidR="00FF3AF3">
        <w:rPr>
          <w:rFonts w:hint="cs"/>
          <w:rtl/>
        </w:rPr>
        <w:t xml:space="preserve">לנקוט </w:t>
      </w:r>
      <w:r>
        <w:rPr>
          <w:rFonts w:hint="cs"/>
          <w:rtl/>
        </w:rPr>
        <w:t xml:space="preserve">צעדים </w:t>
      </w:r>
      <w:r w:rsidR="00FF3AF3">
        <w:rPr>
          <w:rFonts w:hint="cs"/>
          <w:rtl/>
        </w:rPr>
        <w:t xml:space="preserve">כדי </w:t>
      </w:r>
      <w:r>
        <w:rPr>
          <w:rFonts w:hint="cs"/>
          <w:rtl/>
        </w:rPr>
        <w:t>למנוע חלחולם של מים מופלרים למי-התהום. נוסף</w:t>
      </w:r>
      <w:r w:rsidR="00FF3AF3">
        <w:rPr>
          <w:rFonts w:hint="cs"/>
          <w:rtl/>
        </w:rPr>
        <w:t xml:space="preserve"> על כך</w:t>
      </w:r>
      <w:r>
        <w:rPr>
          <w:rFonts w:hint="cs"/>
          <w:rtl/>
        </w:rPr>
        <w:t xml:space="preserve">, יש לערוך ביקורת רפואית לחולי כליות, ולקרוא לציבור </w:t>
      </w:r>
      <w:r w:rsidR="000E7DF4">
        <w:rPr>
          <w:rFonts w:hint="cs"/>
          <w:rtl/>
        </w:rPr>
        <w:t>ל</w:t>
      </w:r>
      <w:r>
        <w:rPr>
          <w:rFonts w:hint="cs"/>
          <w:rtl/>
        </w:rPr>
        <w:t xml:space="preserve">הפסיק להשתמש במקורות אחרים של </w:t>
      </w:r>
      <w:r w:rsidR="00241A5B">
        <w:rPr>
          <w:rFonts w:hint="cs"/>
          <w:rtl/>
        </w:rPr>
        <w:t>פלואוריד</w:t>
      </w:r>
      <w:r>
        <w:rPr>
          <w:rFonts w:hint="cs"/>
          <w:rtl/>
        </w:rPr>
        <w:t>.</w:t>
      </w:r>
      <w:r>
        <w:rPr>
          <w:rStyle w:val="a6"/>
          <w:rtl/>
        </w:rPr>
        <w:footnoteReference w:id="22"/>
      </w:r>
      <w:r>
        <w:rPr>
          <w:rFonts w:hint="cs"/>
          <w:rtl/>
        </w:rPr>
        <w:t xml:space="preserve"> </w:t>
      </w:r>
    </w:p>
    <w:p w:rsidR="002C16E4" w:rsidRDefault="002C16E4" w:rsidP="00241A5B">
      <w:pPr>
        <w:rPr>
          <w:rtl/>
        </w:rPr>
      </w:pPr>
      <w:r w:rsidRPr="00241A5B">
        <w:rPr>
          <w:rFonts w:hint="cs"/>
          <w:rtl/>
        </w:rPr>
        <w:t xml:space="preserve">בהנחיות מצוינות שתי </w:t>
      </w:r>
      <w:r w:rsidR="00241A5B">
        <w:rPr>
          <w:rFonts w:hint="cs"/>
          <w:rtl/>
        </w:rPr>
        <w:t>עמדות</w:t>
      </w:r>
      <w:r w:rsidR="009C3405" w:rsidRPr="00241A5B">
        <w:rPr>
          <w:rFonts w:hint="cs"/>
          <w:rtl/>
        </w:rPr>
        <w:t xml:space="preserve"> </w:t>
      </w:r>
      <w:r w:rsidRPr="00241A5B">
        <w:rPr>
          <w:rFonts w:hint="cs"/>
          <w:rtl/>
        </w:rPr>
        <w:t xml:space="preserve">מרכזיות </w:t>
      </w:r>
      <w:r w:rsidR="009C3405" w:rsidRPr="00241A5B">
        <w:rPr>
          <w:rFonts w:hint="cs"/>
          <w:rtl/>
        </w:rPr>
        <w:t>ש</w:t>
      </w:r>
      <w:r w:rsidRPr="00241A5B">
        <w:rPr>
          <w:rFonts w:hint="cs"/>
          <w:rtl/>
        </w:rPr>
        <w:t>בגינן לא מומלצת הפלרה מלאכותית של מי</w:t>
      </w:r>
      <w:r w:rsidR="009C3405" w:rsidRPr="00241A5B">
        <w:rPr>
          <w:rFonts w:hint="cs"/>
          <w:rtl/>
        </w:rPr>
        <w:t xml:space="preserve"> </w:t>
      </w:r>
      <w:r w:rsidRPr="00241A5B">
        <w:rPr>
          <w:rFonts w:hint="cs"/>
          <w:rtl/>
        </w:rPr>
        <w:t>השת</w:t>
      </w:r>
      <w:r w:rsidR="009C3405" w:rsidRPr="00241A5B">
        <w:rPr>
          <w:rFonts w:hint="cs"/>
          <w:rtl/>
        </w:rPr>
        <w:t>י</w:t>
      </w:r>
      <w:r w:rsidRPr="00241A5B">
        <w:rPr>
          <w:rFonts w:hint="cs"/>
          <w:rtl/>
        </w:rPr>
        <w:t>יה</w:t>
      </w:r>
      <w:r w:rsidR="009C3405" w:rsidRPr="00241A5B">
        <w:rPr>
          <w:rFonts w:hint="cs"/>
          <w:rtl/>
        </w:rPr>
        <w:t>.</w:t>
      </w:r>
      <w:r w:rsidRPr="00241A5B">
        <w:rPr>
          <w:rFonts w:hint="cs"/>
          <w:rtl/>
        </w:rPr>
        <w:t xml:space="preserve"> </w:t>
      </w:r>
      <w:r w:rsidR="00E72AD2" w:rsidRPr="00241A5B">
        <w:rPr>
          <w:rFonts w:hint="cs"/>
          <w:rtl/>
        </w:rPr>
        <w:t>הראשונה</w:t>
      </w:r>
      <w:r w:rsidRPr="00241A5B">
        <w:rPr>
          <w:rFonts w:hint="cs"/>
          <w:rtl/>
        </w:rPr>
        <w:t>,</w:t>
      </w:r>
      <w:r>
        <w:rPr>
          <w:rFonts w:hint="cs"/>
          <w:rtl/>
        </w:rPr>
        <w:t xml:space="preserve"> התפיסה כי מי</w:t>
      </w:r>
      <w:r w:rsidR="009C3405">
        <w:rPr>
          <w:rFonts w:hint="cs"/>
          <w:rtl/>
        </w:rPr>
        <w:t xml:space="preserve"> </w:t>
      </w:r>
      <w:r>
        <w:rPr>
          <w:rFonts w:hint="cs"/>
          <w:rtl/>
        </w:rPr>
        <w:t>שת</w:t>
      </w:r>
      <w:r w:rsidR="009C3405">
        <w:rPr>
          <w:rFonts w:hint="cs"/>
          <w:rtl/>
        </w:rPr>
        <w:t>י</w:t>
      </w:r>
      <w:r>
        <w:rPr>
          <w:rFonts w:hint="cs"/>
          <w:rtl/>
        </w:rPr>
        <w:t>יה אמורים להיות נקיים מתוספות מלאכותיות ולא לשמש אמצעי למתן תרופות. השנ</w:t>
      </w:r>
      <w:r w:rsidR="009C3405">
        <w:rPr>
          <w:rFonts w:hint="cs"/>
          <w:rtl/>
        </w:rPr>
        <w:t>י</w:t>
      </w:r>
      <w:r>
        <w:rPr>
          <w:rFonts w:hint="cs"/>
          <w:rtl/>
        </w:rPr>
        <w:t xml:space="preserve">יה, החשש מפני סיכונים סביבתיים </w:t>
      </w:r>
      <w:r w:rsidR="009C3405">
        <w:rPr>
          <w:rFonts w:hint="cs"/>
          <w:rtl/>
        </w:rPr>
        <w:t xml:space="preserve">הכרוכים </w:t>
      </w:r>
      <w:r w:rsidR="00E72AD2">
        <w:rPr>
          <w:rFonts w:hint="cs"/>
          <w:rtl/>
        </w:rPr>
        <w:t xml:space="preserve"> </w:t>
      </w:r>
      <w:r w:rsidR="009C3405">
        <w:rPr>
          <w:rFonts w:hint="cs"/>
          <w:rtl/>
        </w:rPr>
        <w:t>בחלחול של</w:t>
      </w:r>
      <w:r>
        <w:rPr>
          <w:rFonts w:hint="cs"/>
          <w:rtl/>
        </w:rPr>
        <w:t xml:space="preserve"> מים מופלרים למי-התהום ולמקורות מים טבעיים אחרים.</w:t>
      </w:r>
      <w:r>
        <w:rPr>
          <w:rStyle w:val="a6"/>
          <w:rtl/>
        </w:rPr>
        <w:footnoteReference w:id="23"/>
      </w:r>
    </w:p>
    <w:p w:rsidR="002C16E4" w:rsidRDefault="002C16E4" w:rsidP="00241A5B">
      <w:pPr>
        <w:rPr>
          <w:rtl/>
        </w:rPr>
      </w:pPr>
      <w:r>
        <w:rPr>
          <w:rFonts w:hint="cs"/>
          <w:rtl/>
        </w:rPr>
        <w:t xml:space="preserve">בעקבות ההנחיות שלעיל, אף שהן מאפשרות הוספה מקומית של </w:t>
      </w:r>
      <w:r w:rsidR="00241A5B">
        <w:rPr>
          <w:rFonts w:hint="cs"/>
          <w:rtl/>
        </w:rPr>
        <w:t>פלואוריד</w:t>
      </w:r>
      <w:r>
        <w:rPr>
          <w:rFonts w:hint="cs"/>
          <w:rtl/>
        </w:rPr>
        <w:t xml:space="preserve"> למי</w:t>
      </w:r>
      <w:r w:rsidR="009C3405">
        <w:rPr>
          <w:rFonts w:hint="cs"/>
          <w:rtl/>
        </w:rPr>
        <w:t xml:space="preserve"> </w:t>
      </w:r>
      <w:r>
        <w:rPr>
          <w:rFonts w:hint="cs"/>
          <w:rtl/>
        </w:rPr>
        <w:t>השת</w:t>
      </w:r>
      <w:r w:rsidR="009C3405">
        <w:rPr>
          <w:rFonts w:hint="cs"/>
          <w:rtl/>
        </w:rPr>
        <w:t>י</w:t>
      </w:r>
      <w:r>
        <w:rPr>
          <w:rFonts w:hint="cs"/>
          <w:rtl/>
        </w:rPr>
        <w:t xml:space="preserve">יה במידת הצורך, מאז שנת 1985 לא מוסיפים </w:t>
      </w:r>
      <w:r w:rsidR="00241A5B">
        <w:rPr>
          <w:rFonts w:hint="cs"/>
          <w:rtl/>
        </w:rPr>
        <w:t>פלואוריד</w:t>
      </w:r>
      <w:r>
        <w:rPr>
          <w:rFonts w:hint="cs"/>
          <w:rtl/>
        </w:rPr>
        <w:t xml:space="preserve"> למים באופן מלאכותי במערב גרמניה. תהליך דומה התרחש במזרח גרמניה</w:t>
      </w:r>
      <w:r w:rsidR="009C3405">
        <w:rPr>
          <w:rFonts w:hint="cs"/>
          <w:rtl/>
        </w:rPr>
        <w:t>,</w:t>
      </w:r>
      <w:r>
        <w:rPr>
          <w:rFonts w:hint="cs"/>
          <w:rtl/>
        </w:rPr>
        <w:t xml:space="preserve"> ומאז 1993 לא מוסיפים שם </w:t>
      </w:r>
      <w:r w:rsidR="00241A5B">
        <w:rPr>
          <w:rFonts w:hint="cs"/>
          <w:rtl/>
        </w:rPr>
        <w:t>פלואוריד</w:t>
      </w:r>
      <w:r>
        <w:rPr>
          <w:rFonts w:hint="cs"/>
          <w:rtl/>
        </w:rPr>
        <w:t xml:space="preserve"> למי השת</w:t>
      </w:r>
      <w:r w:rsidR="009C3405">
        <w:rPr>
          <w:rFonts w:hint="cs"/>
          <w:rtl/>
        </w:rPr>
        <w:t>י</w:t>
      </w:r>
      <w:r>
        <w:rPr>
          <w:rFonts w:hint="cs"/>
          <w:rtl/>
        </w:rPr>
        <w:t>יה.</w:t>
      </w:r>
      <w:r w:rsidRPr="00FC4327">
        <w:rPr>
          <w:rFonts w:hint="cs"/>
          <w:rtl/>
        </w:rPr>
        <w:t xml:space="preserve"> </w:t>
      </w:r>
      <w:r>
        <w:rPr>
          <w:rFonts w:hint="cs"/>
          <w:rtl/>
        </w:rPr>
        <w:t xml:space="preserve">העמדה הרשמית בכל רמות הממשל בגרמניה היא </w:t>
      </w:r>
      <w:r w:rsidR="00E72AD2">
        <w:rPr>
          <w:rFonts w:hint="cs"/>
          <w:rtl/>
        </w:rPr>
        <w:t xml:space="preserve">שיש </w:t>
      </w:r>
      <w:r>
        <w:rPr>
          <w:rFonts w:hint="cs"/>
          <w:rtl/>
        </w:rPr>
        <w:t xml:space="preserve">להימנע מהוספה מלאכותית של </w:t>
      </w:r>
      <w:r w:rsidR="00241A5B">
        <w:rPr>
          <w:rFonts w:hint="cs"/>
          <w:rtl/>
        </w:rPr>
        <w:t>פלואוריד</w:t>
      </w:r>
      <w:r>
        <w:rPr>
          <w:rFonts w:hint="cs"/>
          <w:rtl/>
        </w:rPr>
        <w:t xml:space="preserve"> למי</w:t>
      </w:r>
      <w:r w:rsidR="009C3405">
        <w:rPr>
          <w:rFonts w:hint="cs"/>
          <w:rtl/>
        </w:rPr>
        <w:t xml:space="preserve"> </w:t>
      </w:r>
      <w:r>
        <w:rPr>
          <w:rFonts w:hint="cs"/>
          <w:rtl/>
        </w:rPr>
        <w:t>השת</w:t>
      </w:r>
      <w:r w:rsidR="009C3405">
        <w:rPr>
          <w:rFonts w:hint="cs"/>
          <w:rtl/>
        </w:rPr>
        <w:t>י</w:t>
      </w:r>
      <w:r>
        <w:rPr>
          <w:rFonts w:hint="cs"/>
          <w:rtl/>
        </w:rPr>
        <w:t xml:space="preserve">יה ולספק לתושבים </w:t>
      </w:r>
      <w:r w:rsidR="00241A5B">
        <w:rPr>
          <w:rFonts w:hint="cs"/>
          <w:rtl/>
        </w:rPr>
        <w:t>פלואוריד</w:t>
      </w:r>
      <w:r>
        <w:rPr>
          <w:rFonts w:hint="cs"/>
          <w:rtl/>
        </w:rPr>
        <w:t xml:space="preserve"> ברמה הרצויה באמצעים אחרים ובאופן וולונטרי ואינדיבידואלי (הוספת </w:t>
      </w:r>
      <w:r w:rsidR="00241A5B">
        <w:rPr>
          <w:rFonts w:hint="cs"/>
          <w:rtl/>
        </w:rPr>
        <w:t>פלואוריד</w:t>
      </w:r>
      <w:r>
        <w:rPr>
          <w:rFonts w:hint="cs"/>
          <w:rtl/>
        </w:rPr>
        <w:t xml:space="preserve"> למלח, מתן המלצה רפואית ועוד).</w:t>
      </w:r>
    </w:p>
    <w:p w:rsidR="002C16E4" w:rsidRDefault="002C16E4" w:rsidP="002C16E4">
      <w:pPr>
        <w:pStyle w:val="a3"/>
        <w:rPr>
          <w:rtl/>
        </w:rPr>
      </w:pPr>
    </w:p>
    <w:p w:rsidR="002C16E4" w:rsidRDefault="002C16E4" w:rsidP="002C16E4">
      <w:pPr>
        <w:pStyle w:val="11"/>
        <w:spacing w:before="120"/>
        <w:ind w:right="0"/>
      </w:pPr>
      <w:r>
        <w:rPr>
          <w:rFonts w:hint="cs"/>
          <w:rtl/>
        </w:rPr>
        <w:t>אוסטרליה</w:t>
      </w:r>
    </w:p>
    <w:p w:rsidR="002C16E4" w:rsidRPr="00241A5B" w:rsidRDefault="00060CF8" w:rsidP="00060CF8">
      <w:pPr>
        <w:pStyle w:val="111"/>
        <w:spacing w:before="0"/>
        <w:ind w:left="357"/>
        <w:rPr>
          <w:rtl/>
        </w:rPr>
      </w:pPr>
      <w:r w:rsidRPr="00241A5B">
        <w:rPr>
          <w:rFonts w:hint="cs"/>
          <w:rtl/>
        </w:rPr>
        <w:t>ההנחיות הפדרליות</w:t>
      </w:r>
    </w:p>
    <w:p w:rsidR="002C16E4" w:rsidRPr="001D06BB" w:rsidRDefault="002C16E4" w:rsidP="00006F97">
      <w:pPr>
        <w:pStyle w:val="a3"/>
        <w:rPr>
          <w:rtl/>
        </w:rPr>
      </w:pPr>
      <w:r>
        <w:rPr>
          <w:rFonts w:hint="cs"/>
          <w:rtl/>
        </w:rPr>
        <w:t xml:space="preserve">ברמה הפדרלית נקבעו </w:t>
      </w:r>
      <w:r>
        <w:rPr>
          <w:rFonts w:hint="cs"/>
          <w:b/>
          <w:bCs/>
          <w:rtl/>
        </w:rPr>
        <w:t>הנחיות</w:t>
      </w:r>
      <w:r>
        <w:rPr>
          <w:rStyle w:val="a6"/>
          <w:rtl/>
        </w:rPr>
        <w:footnoteReference w:id="24"/>
      </w:r>
      <w:r>
        <w:rPr>
          <w:rFonts w:hint="cs"/>
          <w:rtl/>
        </w:rPr>
        <w:t xml:space="preserve"> שמגדירות מהם מי שתייה באיכות טובה. לפי ההנחיות</w:t>
      </w:r>
      <w:r w:rsidR="009C3405">
        <w:rPr>
          <w:rFonts w:hint="cs"/>
          <w:rtl/>
        </w:rPr>
        <w:t>,</w:t>
      </w:r>
      <w:r>
        <w:rPr>
          <w:rFonts w:hint="cs"/>
          <w:rtl/>
        </w:rPr>
        <w:t xml:space="preserve"> </w:t>
      </w:r>
      <w:r w:rsidRPr="005065F0">
        <w:rPr>
          <w:rFonts w:hint="cs"/>
          <w:b/>
          <w:bCs/>
          <w:rtl/>
        </w:rPr>
        <w:t>ריכוז ה</w:t>
      </w:r>
      <w:r w:rsidR="00241A5B">
        <w:rPr>
          <w:rFonts w:hint="cs"/>
          <w:b/>
          <w:bCs/>
          <w:rtl/>
        </w:rPr>
        <w:t>פלואוריד</w:t>
      </w:r>
      <w:r w:rsidRPr="005065F0">
        <w:rPr>
          <w:rFonts w:hint="cs"/>
          <w:b/>
          <w:bCs/>
          <w:rtl/>
        </w:rPr>
        <w:t xml:space="preserve"> במי השתייה לא יעלה על 1.5 מ"ג לליטר</w:t>
      </w:r>
      <w:r>
        <w:rPr>
          <w:rFonts w:hint="cs"/>
          <w:rtl/>
        </w:rPr>
        <w:t xml:space="preserve">; ערך זה  נקבע בהתחשב בכך שבין ערכי </w:t>
      </w:r>
      <w:r w:rsidR="009C3405">
        <w:rPr>
          <w:rFonts w:hint="cs"/>
          <w:rtl/>
        </w:rPr>
        <w:t>ה</w:t>
      </w:r>
      <w:r w:rsidR="00241A5B">
        <w:rPr>
          <w:rFonts w:hint="cs"/>
          <w:rtl/>
        </w:rPr>
        <w:t>פלואוריד</w:t>
      </w:r>
      <w:r>
        <w:rPr>
          <w:rFonts w:hint="cs"/>
          <w:rtl/>
        </w:rPr>
        <w:t xml:space="preserve"> המועילים לבריאות השיניים </w:t>
      </w:r>
      <w:r w:rsidR="009C3405">
        <w:rPr>
          <w:rFonts w:hint="cs"/>
          <w:rtl/>
        </w:rPr>
        <w:t>ו</w:t>
      </w:r>
      <w:r>
        <w:rPr>
          <w:rFonts w:hint="cs"/>
          <w:rtl/>
        </w:rPr>
        <w:t xml:space="preserve">בין </w:t>
      </w:r>
      <w:r w:rsidR="009C3405">
        <w:rPr>
          <w:rFonts w:hint="cs"/>
          <w:rtl/>
        </w:rPr>
        <w:t xml:space="preserve">הערכים </w:t>
      </w:r>
      <w:r>
        <w:rPr>
          <w:rFonts w:hint="cs"/>
          <w:rtl/>
        </w:rPr>
        <w:t xml:space="preserve">העלולים לסכן את הבריאות יש גבול דק. לפי האמור בהנחיות, הערכים הטיפוסיים של </w:t>
      </w:r>
      <w:r w:rsidR="00241A5B">
        <w:rPr>
          <w:rFonts w:hint="cs"/>
          <w:rtl/>
        </w:rPr>
        <w:t>פלואוריד</w:t>
      </w:r>
      <w:r>
        <w:rPr>
          <w:rFonts w:hint="cs"/>
          <w:rtl/>
        </w:rPr>
        <w:t xml:space="preserve"> במקורות מים </w:t>
      </w:r>
      <w:r w:rsidR="009C3405">
        <w:rPr>
          <w:rFonts w:hint="cs"/>
          <w:rtl/>
        </w:rPr>
        <w:t xml:space="preserve">שאינם </w:t>
      </w:r>
      <w:r>
        <w:rPr>
          <w:rFonts w:hint="cs"/>
          <w:rtl/>
        </w:rPr>
        <w:t xml:space="preserve">מופלרים באוסטרליה </w:t>
      </w:r>
      <w:r w:rsidR="009C3405">
        <w:rPr>
          <w:rFonts w:hint="cs"/>
          <w:rtl/>
        </w:rPr>
        <w:t xml:space="preserve">הם </w:t>
      </w:r>
      <w:r>
        <w:rPr>
          <w:rFonts w:hint="cs"/>
          <w:rtl/>
        </w:rPr>
        <w:t xml:space="preserve">בין פחות מ-0.1 מ"ג לליטר ועד 1.5 מ"ג לליטר; </w:t>
      </w:r>
      <w:r w:rsidRPr="005065F0">
        <w:rPr>
          <w:rFonts w:hint="cs"/>
          <w:b/>
          <w:bCs/>
          <w:rtl/>
        </w:rPr>
        <w:t>במקורות מופלרים ערכי היעד הם 0.7</w:t>
      </w:r>
      <w:r w:rsidR="009C3405">
        <w:rPr>
          <w:rFonts w:hint="eastAsia"/>
          <w:b/>
          <w:bCs/>
          <w:rtl/>
        </w:rPr>
        <w:t>–</w:t>
      </w:r>
      <w:r w:rsidRPr="005065F0">
        <w:rPr>
          <w:rFonts w:hint="cs"/>
          <w:b/>
          <w:bCs/>
          <w:rtl/>
        </w:rPr>
        <w:t xml:space="preserve">1 מ"ג לליטר </w:t>
      </w:r>
      <w:r>
        <w:rPr>
          <w:rFonts w:hint="cs"/>
          <w:rtl/>
        </w:rPr>
        <w:t xml:space="preserve">(הריכוזים הנמוכים יותר </w:t>
      </w:r>
      <w:r w:rsidR="009C3405">
        <w:rPr>
          <w:rFonts w:hint="cs"/>
          <w:rtl/>
        </w:rPr>
        <w:t xml:space="preserve">יהיו  </w:t>
      </w:r>
      <w:r>
        <w:rPr>
          <w:rFonts w:hint="cs"/>
          <w:rtl/>
        </w:rPr>
        <w:t xml:space="preserve">באזורים </w:t>
      </w:r>
      <w:r w:rsidR="009C3405">
        <w:rPr>
          <w:rFonts w:hint="cs"/>
          <w:rtl/>
        </w:rPr>
        <w:t xml:space="preserve">שבהם </w:t>
      </w:r>
      <w:r>
        <w:rPr>
          <w:rFonts w:hint="cs"/>
          <w:rtl/>
        </w:rPr>
        <w:t>אקלים חם</w:t>
      </w:r>
      <w:r w:rsidR="00CE78A9">
        <w:rPr>
          <w:rFonts w:hint="cs"/>
          <w:rtl/>
        </w:rPr>
        <w:t>,</w:t>
      </w:r>
      <w:r>
        <w:rPr>
          <w:rFonts w:hint="cs"/>
          <w:rtl/>
        </w:rPr>
        <w:t xml:space="preserve"> </w:t>
      </w:r>
      <w:r w:rsidR="00CE78A9">
        <w:rPr>
          <w:rFonts w:hint="cs"/>
          <w:rtl/>
        </w:rPr>
        <w:t xml:space="preserve">ונקבעו בהתחשב </w:t>
      </w:r>
      <w:r>
        <w:rPr>
          <w:rFonts w:hint="cs"/>
          <w:rtl/>
        </w:rPr>
        <w:t>בצריכת המים הגבוהה יותר).</w:t>
      </w:r>
      <w:r>
        <w:rPr>
          <w:rStyle w:val="a6"/>
          <w:rtl/>
        </w:rPr>
        <w:footnoteReference w:id="25"/>
      </w:r>
      <w:r>
        <w:rPr>
          <w:rFonts w:hint="cs"/>
          <w:rtl/>
        </w:rPr>
        <w:t xml:space="preserve"> </w:t>
      </w:r>
    </w:p>
    <w:p w:rsidR="002C16E4" w:rsidRPr="00241A5B" w:rsidRDefault="00060CF8" w:rsidP="00241A5B">
      <w:pPr>
        <w:pStyle w:val="111"/>
        <w:spacing w:before="0"/>
        <w:ind w:left="357"/>
        <w:rPr>
          <w:rtl/>
        </w:rPr>
      </w:pPr>
      <w:r w:rsidRPr="00241A5B">
        <w:rPr>
          <w:rFonts w:hint="cs"/>
          <w:rtl/>
        </w:rPr>
        <w:t>ה</w:t>
      </w:r>
      <w:r w:rsidR="00241A5B" w:rsidRPr="00241A5B">
        <w:rPr>
          <w:rFonts w:hint="cs"/>
          <w:rtl/>
        </w:rPr>
        <w:t>הסדרים</w:t>
      </w:r>
      <w:r w:rsidRPr="00241A5B">
        <w:rPr>
          <w:rFonts w:hint="cs"/>
          <w:rtl/>
        </w:rPr>
        <w:t xml:space="preserve"> במדינות ובטריטוריות</w:t>
      </w:r>
    </w:p>
    <w:p w:rsidR="002C16E4" w:rsidRDefault="002C16E4" w:rsidP="00E72AD2">
      <w:pPr>
        <w:pStyle w:val="a3"/>
        <w:rPr>
          <w:rtl/>
        </w:rPr>
      </w:pPr>
      <w:r>
        <w:rPr>
          <w:rFonts w:hint="cs"/>
          <w:rtl/>
        </w:rPr>
        <w:t xml:space="preserve">מעבר לאמור לעיל, </w:t>
      </w:r>
      <w:r w:rsidRPr="005065F0">
        <w:rPr>
          <w:rFonts w:hint="cs"/>
          <w:b/>
          <w:bCs/>
          <w:rtl/>
        </w:rPr>
        <w:t xml:space="preserve">הפלרת המים באוסטרליה </w:t>
      </w:r>
      <w:r w:rsidR="00A066A8">
        <w:rPr>
          <w:rFonts w:hint="cs"/>
          <w:b/>
          <w:bCs/>
          <w:rtl/>
        </w:rPr>
        <w:t>היא</w:t>
      </w:r>
      <w:r w:rsidR="00A066A8" w:rsidRPr="005065F0">
        <w:rPr>
          <w:rFonts w:hint="cs"/>
          <w:b/>
          <w:bCs/>
          <w:rtl/>
        </w:rPr>
        <w:t xml:space="preserve"> </w:t>
      </w:r>
      <w:r w:rsidRPr="005065F0">
        <w:rPr>
          <w:rFonts w:hint="cs"/>
          <w:b/>
          <w:bCs/>
          <w:rtl/>
        </w:rPr>
        <w:t>בסמכות המדינות והטריטוריות</w:t>
      </w:r>
      <w:r>
        <w:rPr>
          <w:rFonts w:hint="cs"/>
          <w:rtl/>
        </w:rPr>
        <w:t xml:space="preserve"> </w:t>
      </w:r>
      <w:r w:rsidR="00E72AD2">
        <w:rPr>
          <w:rFonts w:hint="cs"/>
          <w:rtl/>
        </w:rPr>
        <w:t>בה</w:t>
      </w:r>
      <w:r>
        <w:rPr>
          <w:rFonts w:hint="cs"/>
          <w:rtl/>
        </w:rPr>
        <w:t>.</w:t>
      </w:r>
      <w:r>
        <w:rPr>
          <w:rStyle w:val="a6"/>
          <w:rtl/>
        </w:rPr>
        <w:footnoteReference w:id="26"/>
      </w:r>
      <w:r>
        <w:rPr>
          <w:rFonts w:hint="cs"/>
          <w:rtl/>
        </w:rPr>
        <w:t xml:space="preserve"> </w:t>
      </w:r>
      <w:r w:rsidR="00A066A8">
        <w:rPr>
          <w:rFonts w:hint="cs"/>
          <w:rtl/>
        </w:rPr>
        <w:t xml:space="preserve">למעשה, </w:t>
      </w:r>
      <w:r w:rsidRPr="006C0270">
        <w:rPr>
          <w:rFonts w:hint="cs"/>
          <w:rtl/>
        </w:rPr>
        <w:t xml:space="preserve">בכל המדינות והטריטוריות </w:t>
      </w:r>
      <w:r w:rsidR="00A066A8">
        <w:rPr>
          <w:rFonts w:hint="cs"/>
          <w:rtl/>
        </w:rPr>
        <w:t>יש</w:t>
      </w:r>
      <w:r w:rsidRPr="006C0270">
        <w:rPr>
          <w:rFonts w:hint="cs"/>
          <w:rtl/>
        </w:rPr>
        <w:t xml:space="preserve"> הפלרה של חלק ממי השתייה</w:t>
      </w:r>
      <w:r w:rsidR="00A066A8">
        <w:rPr>
          <w:rFonts w:hint="cs"/>
          <w:rtl/>
        </w:rPr>
        <w:t xml:space="preserve"> לפחות</w:t>
      </w:r>
      <w:r>
        <w:rPr>
          <w:rFonts w:hint="cs"/>
          <w:rtl/>
        </w:rPr>
        <w:t>.</w:t>
      </w:r>
      <w:r>
        <w:rPr>
          <w:rStyle w:val="a6"/>
          <w:rtl/>
        </w:rPr>
        <w:footnoteReference w:id="27"/>
      </w:r>
      <w:r>
        <w:rPr>
          <w:rFonts w:hint="cs"/>
          <w:rtl/>
        </w:rPr>
        <w:t xml:space="preserve"> </w:t>
      </w:r>
    </w:p>
    <w:p w:rsidR="002C16E4" w:rsidRDefault="002C16E4" w:rsidP="008A1E0A">
      <w:pPr>
        <w:pStyle w:val="a3"/>
        <w:rPr>
          <w:rtl/>
        </w:rPr>
      </w:pPr>
      <w:r>
        <w:rPr>
          <w:rFonts w:hint="cs"/>
          <w:b/>
          <w:bCs/>
          <w:u w:val="single"/>
          <w:rtl/>
        </w:rPr>
        <w:t xml:space="preserve">כל </w:t>
      </w:r>
      <w:r w:rsidRPr="00D705C2">
        <w:rPr>
          <w:rFonts w:hint="cs"/>
          <w:b/>
          <w:bCs/>
          <w:u w:val="single"/>
          <w:rtl/>
        </w:rPr>
        <w:t>המדינות והטריטוריות</w:t>
      </w:r>
      <w:r>
        <w:rPr>
          <w:rFonts w:hint="cs"/>
          <w:b/>
          <w:bCs/>
          <w:rtl/>
        </w:rPr>
        <w:t xml:space="preserve"> </w:t>
      </w:r>
      <w:r w:rsidRPr="00B95CFF">
        <w:rPr>
          <w:rFonts w:hint="cs"/>
          <w:rtl/>
        </w:rPr>
        <w:t>של אוסטרליה</w:t>
      </w:r>
      <w:r>
        <w:rPr>
          <w:rFonts w:hint="cs"/>
          <w:b/>
          <w:bCs/>
          <w:rtl/>
        </w:rPr>
        <w:t xml:space="preserve"> </w:t>
      </w:r>
      <w:r w:rsidRPr="00EA02BF">
        <w:rPr>
          <w:rFonts w:hint="cs"/>
          <w:b/>
          <w:bCs/>
          <w:u w:val="single"/>
          <w:rtl/>
        </w:rPr>
        <w:t>מתירות הפלרה של מי השתי</w:t>
      </w:r>
      <w:r w:rsidR="00A066A8">
        <w:rPr>
          <w:rFonts w:hint="cs"/>
          <w:b/>
          <w:bCs/>
          <w:u w:val="single"/>
          <w:rtl/>
        </w:rPr>
        <w:t>י</w:t>
      </w:r>
      <w:r w:rsidRPr="00EA02BF">
        <w:rPr>
          <w:rFonts w:hint="cs"/>
          <w:b/>
          <w:bCs/>
          <w:u w:val="single"/>
          <w:rtl/>
        </w:rPr>
        <w:t>ה</w:t>
      </w:r>
      <w:r w:rsidRPr="00A066A8">
        <w:rPr>
          <w:rFonts w:hint="cs"/>
          <w:b/>
          <w:bCs/>
          <w:rtl/>
        </w:rPr>
        <w:t>,</w:t>
      </w:r>
      <w:r>
        <w:rPr>
          <w:rFonts w:hint="cs"/>
          <w:rtl/>
        </w:rPr>
        <w:t xml:space="preserve"> ובחלקן </w:t>
      </w:r>
      <w:r w:rsidRPr="00EA02BF">
        <w:rPr>
          <w:rFonts w:hint="cs"/>
          <w:rtl/>
        </w:rPr>
        <w:t xml:space="preserve">מצאנו </w:t>
      </w:r>
      <w:r>
        <w:rPr>
          <w:rFonts w:hint="cs"/>
          <w:rtl/>
        </w:rPr>
        <w:t xml:space="preserve">חקיקה הקובעת </w:t>
      </w:r>
      <w:r w:rsidR="00CE78A9">
        <w:rPr>
          <w:rFonts w:hint="cs"/>
          <w:rtl/>
        </w:rPr>
        <w:t>את</w:t>
      </w:r>
      <w:r>
        <w:rPr>
          <w:rFonts w:hint="cs"/>
          <w:rtl/>
        </w:rPr>
        <w:t xml:space="preserve"> אופן קבלת ההחלטה להפליר </w:t>
      </w:r>
      <w:r w:rsidR="00A066A8">
        <w:rPr>
          <w:rFonts w:hint="cs"/>
          <w:rtl/>
        </w:rPr>
        <w:t xml:space="preserve">את </w:t>
      </w:r>
      <w:r>
        <w:rPr>
          <w:rFonts w:hint="cs"/>
          <w:rtl/>
        </w:rPr>
        <w:t xml:space="preserve">מי </w:t>
      </w:r>
      <w:r w:rsidR="00A066A8">
        <w:rPr>
          <w:rFonts w:hint="cs"/>
          <w:rtl/>
        </w:rPr>
        <w:t>ה</w:t>
      </w:r>
      <w:r>
        <w:rPr>
          <w:rFonts w:hint="cs"/>
          <w:rtl/>
        </w:rPr>
        <w:t>שתייה ו</w:t>
      </w:r>
      <w:r w:rsidR="00CE78A9">
        <w:rPr>
          <w:rFonts w:hint="cs"/>
          <w:rtl/>
        </w:rPr>
        <w:t xml:space="preserve">את </w:t>
      </w:r>
      <w:r>
        <w:rPr>
          <w:rFonts w:hint="cs"/>
          <w:rtl/>
        </w:rPr>
        <w:t xml:space="preserve">אופן ההפלרה. </w:t>
      </w:r>
    </w:p>
    <w:p w:rsidR="002C16E4" w:rsidRDefault="00A066A8" w:rsidP="0089346F">
      <w:pPr>
        <w:pStyle w:val="a3"/>
        <w:rPr>
          <w:rtl/>
        </w:rPr>
      </w:pPr>
      <w:r>
        <w:rPr>
          <w:rFonts w:hint="cs"/>
          <w:rtl/>
        </w:rPr>
        <w:t>על-פי ה</w:t>
      </w:r>
      <w:r w:rsidR="002C16E4">
        <w:rPr>
          <w:rFonts w:hint="cs"/>
          <w:rtl/>
        </w:rPr>
        <w:t xml:space="preserve">חקיקה </w:t>
      </w:r>
      <w:r>
        <w:rPr>
          <w:rFonts w:hint="cs"/>
          <w:rtl/>
        </w:rPr>
        <w:t xml:space="preserve">הקבועה </w:t>
      </w:r>
      <w:r w:rsidR="0089346F">
        <w:rPr>
          <w:rFonts w:hint="cs"/>
          <w:b/>
          <w:bCs/>
          <w:rtl/>
        </w:rPr>
        <w:t>בחמש</w:t>
      </w:r>
      <w:r w:rsidR="0089346F" w:rsidRPr="006F1EDD">
        <w:rPr>
          <w:rFonts w:hint="cs"/>
          <w:b/>
          <w:bCs/>
          <w:rtl/>
        </w:rPr>
        <w:t xml:space="preserve"> </w:t>
      </w:r>
      <w:r w:rsidR="002C16E4" w:rsidRPr="006F1EDD">
        <w:rPr>
          <w:rFonts w:hint="cs"/>
          <w:b/>
          <w:bCs/>
          <w:rtl/>
        </w:rPr>
        <w:t>מדינות</w:t>
      </w:r>
      <w:r>
        <w:rPr>
          <w:rFonts w:hint="cs"/>
          <w:b/>
          <w:bCs/>
          <w:rtl/>
        </w:rPr>
        <w:t>,</w:t>
      </w:r>
      <w:r w:rsidR="002C16E4">
        <w:rPr>
          <w:rStyle w:val="a6"/>
          <w:rtl/>
        </w:rPr>
        <w:footnoteReference w:id="28"/>
      </w:r>
      <w:r w:rsidR="002C16E4">
        <w:rPr>
          <w:rFonts w:hint="cs"/>
          <w:rtl/>
        </w:rPr>
        <w:t xml:space="preserve"> הרשות האחראית ל</w:t>
      </w:r>
      <w:r>
        <w:rPr>
          <w:rFonts w:hint="cs"/>
          <w:rtl/>
        </w:rPr>
        <w:t>א</w:t>
      </w:r>
      <w:r w:rsidR="002C16E4">
        <w:rPr>
          <w:rFonts w:hint="cs"/>
          <w:rtl/>
        </w:rPr>
        <w:t xml:space="preserve">ספקת מים </w:t>
      </w:r>
      <w:r w:rsidR="002C16E4" w:rsidRPr="00D705C2">
        <w:rPr>
          <w:rFonts w:hint="cs"/>
          <w:b/>
          <w:bCs/>
          <w:u w:val="single"/>
          <w:rtl/>
        </w:rPr>
        <w:t>רשאית</w:t>
      </w:r>
      <w:r w:rsidR="002C16E4">
        <w:rPr>
          <w:rFonts w:hint="cs"/>
          <w:rtl/>
        </w:rPr>
        <w:t xml:space="preserve"> להפליר את מי השתייה שהיא מספקת באישור שר</w:t>
      </w:r>
      <w:r w:rsidR="0089346F">
        <w:rPr>
          <w:rFonts w:hint="cs"/>
          <w:rtl/>
        </w:rPr>
        <w:t xml:space="preserve"> הבריאות</w:t>
      </w:r>
      <w:r w:rsidR="002C16E4">
        <w:rPr>
          <w:rFonts w:hint="cs"/>
          <w:rtl/>
        </w:rPr>
        <w:t xml:space="preserve"> (בשתיים מה</w:t>
      </w:r>
      <w:r>
        <w:rPr>
          <w:rFonts w:hint="cs"/>
          <w:rtl/>
        </w:rPr>
        <w:t>מדינות</w:t>
      </w:r>
      <w:r w:rsidR="002C16E4">
        <w:rPr>
          <w:rStyle w:val="a6"/>
          <w:rtl/>
        </w:rPr>
        <w:footnoteReference w:id="29"/>
      </w:r>
      <w:r w:rsidR="002C16E4">
        <w:rPr>
          <w:rFonts w:hint="cs"/>
          <w:rtl/>
        </w:rPr>
        <w:t xml:space="preserve"> יש ועדה המייעצת על כך לשר). </w:t>
      </w:r>
      <w:r w:rsidR="00DB56A9">
        <w:rPr>
          <w:rFonts w:hint="cs"/>
          <w:rtl/>
        </w:rPr>
        <w:t xml:space="preserve">על-פי חוק המים והחשמל בטריטוריית הבירה </w:t>
      </w:r>
      <w:r w:rsidR="002C16E4" w:rsidRPr="00DB56A9">
        <w:rPr>
          <w:rtl/>
        </w:rPr>
        <w:t xml:space="preserve"> </w:t>
      </w:r>
      <w:r w:rsidR="002C16E4" w:rsidRPr="00DB56A9">
        <w:rPr>
          <w:rFonts w:hint="cs"/>
          <w:rtl/>
        </w:rPr>
        <w:t>(</w:t>
      </w:r>
      <w:r w:rsidR="002C16E4" w:rsidRPr="00DB56A9">
        <w:rPr>
          <w:spacing w:val="-4"/>
        </w:rPr>
        <w:t>Australian Capital Territory</w:t>
      </w:r>
      <w:r w:rsidR="002C16E4" w:rsidRPr="00DB56A9">
        <w:rPr>
          <w:rFonts w:hint="cs"/>
          <w:rtl/>
        </w:rPr>
        <w:t>)</w:t>
      </w:r>
      <w:r w:rsidR="00DB56A9">
        <w:rPr>
          <w:rFonts w:hint="cs"/>
          <w:rtl/>
        </w:rPr>
        <w:t>,</w:t>
      </w:r>
      <w:r w:rsidR="002C16E4">
        <w:rPr>
          <w:rFonts w:hint="cs"/>
          <w:rtl/>
        </w:rPr>
        <w:t xml:space="preserve"> </w:t>
      </w:r>
      <w:r w:rsidR="00DB56A9">
        <w:rPr>
          <w:rFonts w:hint="cs"/>
          <w:rtl/>
        </w:rPr>
        <w:t>ה</w:t>
      </w:r>
      <w:r w:rsidR="002C16E4" w:rsidRPr="00241A5B">
        <w:rPr>
          <w:rFonts w:hint="cs"/>
          <w:rtl/>
        </w:rPr>
        <w:t xml:space="preserve">החלטה על הפלרת המים תתקבל </w:t>
      </w:r>
      <w:r w:rsidR="00CE78A9" w:rsidRPr="00241A5B">
        <w:rPr>
          <w:rFonts w:hint="cs"/>
          <w:rtl/>
        </w:rPr>
        <w:t xml:space="preserve">בכפוף לתמיכת הרוב </w:t>
      </w:r>
      <w:r w:rsidR="002C16E4" w:rsidRPr="00241A5B">
        <w:rPr>
          <w:rFonts w:hint="cs"/>
          <w:b/>
          <w:bCs/>
          <w:rtl/>
        </w:rPr>
        <w:t>במשאל עם</w:t>
      </w:r>
      <w:r w:rsidR="00CE78A9" w:rsidRPr="00241A5B">
        <w:rPr>
          <w:rFonts w:hint="cs"/>
          <w:b/>
          <w:bCs/>
          <w:rtl/>
        </w:rPr>
        <w:t xml:space="preserve"> </w:t>
      </w:r>
      <w:r w:rsidR="00CE78A9" w:rsidRPr="00241A5B">
        <w:rPr>
          <w:rFonts w:hint="cs"/>
          <w:rtl/>
        </w:rPr>
        <w:t>בסוגיה זו</w:t>
      </w:r>
      <w:r w:rsidR="002C16E4" w:rsidRPr="00241A5B">
        <w:rPr>
          <w:rFonts w:hint="cs"/>
          <w:rtl/>
        </w:rPr>
        <w:t>.</w:t>
      </w:r>
      <w:r w:rsidR="002C16E4" w:rsidRPr="00241A5B">
        <w:rPr>
          <w:rStyle w:val="a6"/>
          <w:rtl/>
        </w:rPr>
        <w:footnoteReference w:id="30"/>
      </w:r>
      <w:r w:rsidR="002C16E4" w:rsidRPr="00241A5B">
        <w:rPr>
          <w:rFonts w:hint="cs"/>
          <w:rtl/>
        </w:rPr>
        <w:t xml:space="preserve"> </w:t>
      </w:r>
      <w:r w:rsidR="0089346F">
        <w:rPr>
          <w:rFonts w:hint="cs"/>
          <w:rtl/>
        </w:rPr>
        <w:t>ב</w:t>
      </w:r>
      <w:r w:rsidR="009B3ABB">
        <w:rPr>
          <w:rFonts w:hint="cs"/>
          <w:rtl/>
        </w:rPr>
        <w:t>טריטו</w:t>
      </w:r>
      <w:r w:rsidR="0089346F">
        <w:rPr>
          <w:rFonts w:hint="cs"/>
          <w:rtl/>
        </w:rPr>
        <w:t>ריה הצפונית ובדרום אוסטרליה</w:t>
      </w:r>
      <w:r w:rsidR="002C16E4" w:rsidRPr="00241A5B">
        <w:rPr>
          <w:rFonts w:hint="cs"/>
          <w:rtl/>
        </w:rPr>
        <w:t xml:space="preserve"> לא מצאנו חקיקה בדבר הפלרת מים, אך גם בהן </w:t>
      </w:r>
      <w:r w:rsidRPr="00241A5B">
        <w:rPr>
          <w:rFonts w:hint="cs"/>
          <w:rtl/>
        </w:rPr>
        <w:t xml:space="preserve">יש </w:t>
      </w:r>
      <w:r w:rsidR="002C16E4" w:rsidRPr="00241A5B">
        <w:rPr>
          <w:rFonts w:hint="cs"/>
          <w:rtl/>
        </w:rPr>
        <w:t>למעשה הפלרה של מי השתייה.</w:t>
      </w:r>
      <w:r w:rsidR="002C16E4" w:rsidRPr="00241A5B">
        <w:rPr>
          <w:rStyle w:val="a6"/>
          <w:rtl/>
        </w:rPr>
        <w:footnoteReference w:id="31"/>
      </w:r>
    </w:p>
    <w:p w:rsidR="0089346F" w:rsidRDefault="0089346F" w:rsidP="0089346F">
      <w:pPr>
        <w:pStyle w:val="a3"/>
        <w:rPr>
          <w:rtl/>
        </w:rPr>
      </w:pPr>
      <w:r w:rsidRPr="0031673B">
        <w:rPr>
          <w:rFonts w:hint="eastAsia"/>
          <w:b/>
          <w:bCs/>
          <w:rtl/>
        </w:rPr>
        <w:t>במדינת</w:t>
      </w:r>
      <w:r w:rsidRPr="0031673B">
        <w:rPr>
          <w:b/>
          <w:bCs/>
          <w:rtl/>
        </w:rPr>
        <w:t xml:space="preserve"> </w:t>
      </w:r>
      <w:r w:rsidRPr="0031673B">
        <w:rPr>
          <w:rFonts w:hint="eastAsia"/>
          <w:b/>
          <w:bCs/>
          <w:rtl/>
        </w:rPr>
        <w:t>קווינסלנד</w:t>
      </w:r>
      <w:r w:rsidRPr="0031673B">
        <w:rPr>
          <w:b/>
          <w:bCs/>
          <w:rtl/>
        </w:rPr>
        <w:t xml:space="preserve"> </w:t>
      </w:r>
      <w:r w:rsidRPr="0031673B">
        <w:rPr>
          <w:rFonts w:hint="eastAsia"/>
          <w:b/>
          <w:bCs/>
          <w:rtl/>
        </w:rPr>
        <w:t>שונו</w:t>
      </w:r>
      <w:r w:rsidRPr="0031673B">
        <w:rPr>
          <w:b/>
          <w:bCs/>
          <w:rtl/>
        </w:rPr>
        <w:t xml:space="preserve"> </w:t>
      </w:r>
      <w:r w:rsidRPr="0031673B">
        <w:rPr>
          <w:rFonts w:hint="eastAsia"/>
          <w:b/>
          <w:bCs/>
          <w:rtl/>
        </w:rPr>
        <w:t>התקנות</w:t>
      </w:r>
      <w:r w:rsidRPr="0031673B">
        <w:rPr>
          <w:b/>
          <w:bCs/>
          <w:rtl/>
        </w:rPr>
        <w:t xml:space="preserve"> </w:t>
      </w:r>
      <w:r w:rsidRPr="0031673B">
        <w:rPr>
          <w:rFonts w:hint="eastAsia"/>
          <w:b/>
          <w:bCs/>
          <w:rtl/>
        </w:rPr>
        <w:t>בדבר</w:t>
      </w:r>
      <w:r w:rsidRPr="0031673B">
        <w:rPr>
          <w:b/>
          <w:bCs/>
          <w:rtl/>
        </w:rPr>
        <w:t xml:space="preserve"> </w:t>
      </w:r>
      <w:r w:rsidRPr="0031673B">
        <w:rPr>
          <w:rFonts w:hint="eastAsia"/>
          <w:b/>
          <w:bCs/>
          <w:rtl/>
        </w:rPr>
        <w:t>הפלרת</w:t>
      </w:r>
      <w:r w:rsidRPr="0031673B">
        <w:rPr>
          <w:b/>
          <w:bCs/>
          <w:rtl/>
        </w:rPr>
        <w:t xml:space="preserve"> </w:t>
      </w:r>
      <w:r w:rsidRPr="0031673B">
        <w:rPr>
          <w:rFonts w:hint="eastAsia"/>
          <w:b/>
          <w:bCs/>
          <w:rtl/>
        </w:rPr>
        <w:t>מי</w:t>
      </w:r>
      <w:r w:rsidRPr="0031673B">
        <w:rPr>
          <w:b/>
          <w:bCs/>
          <w:rtl/>
        </w:rPr>
        <w:t xml:space="preserve">-שתייה </w:t>
      </w:r>
      <w:r w:rsidRPr="0031673B">
        <w:rPr>
          <w:rFonts w:hint="eastAsia"/>
          <w:b/>
          <w:bCs/>
          <w:rtl/>
        </w:rPr>
        <w:t>כמה</w:t>
      </w:r>
      <w:r w:rsidRPr="0031673B">
        <w:rPr>
          <w:b/>
          <w:bCs/>
          <w:rtl/>
        </w:rPr>
        <w:t xml:space="preserve"> </w:t>
      </w:r>
      <w:r w:rsidRPr="0031673B">
        <w:rPr>
          <w:rFonts w:hint="eastAsia"/>
          <w:b/>
          <w:bCs/>
          <w:rtl/>
        </w:rPr>
        <w:t>פעמים</w:t>
      </w:r>
      <w:r w:rsidRPr="0031673B">
        <w:rPr>
          <w:b/>
          <w:bCs/>
          <w:rtl/>
        </w:rPr>
        <w:t xml:space="preserve"> </w:t>
      </w:r>
      <w:r w:rsidRPr="0031673B">
        <w:rPr>
          <w:rFonts w:hint="eastAsia"/>
          <w:b/>
          <w:bCs/>
          <w:rtl/>
        </w:rPr>
        <w:t>בשנים</w:t>
      </w:r>
      <w:r w:rsidRPr="0031673B">
        <w:rPr>
          <w:b/>
          <w:bCs/>
          <w:rtl/>
        </w:rPr>
        <w:t xml:space="preserve"> </w:t>
      </w:r>
      <w:r w:rsidRPr="0031673B">
        <w:rPr>
          <w:rFonts w:hint="eastAsia"/>
          <w:b/>
          <w:bCs/>
          <w:rtl/>
        </w:rPr>
        <w:t>האחרונות</w:t>
      </w:r>
      <w:r w:rsidRPr="0031673B">
        <w:rPr>
          <w:b/>
          <w:bCs/>
          <w:rtl/>
        </w:rPr>
        <w:t xml:space="preserve">. </w:t>
      </w:r>
      <w:r w:rsidRPr="0031673B">
        <w:rPr>
          <w:rFonts w:hint="eastAsia"/>
          <w:b/>
          <w:bCs/>
          <w:rtl/>
        </w:rPr>
        <w:t>בדצמבר</w:t>
      </w:r>
      <w:r w:rsidRPr="0031673B">
        <w:rPr>
          <w:b/>
          <w:bCs/>
          <w:rtl/>
        </w:rPr>
        <w:t xml:space="preserve"> 2007</w:t>
      </w:r>
      <w:r>
        <w:rPr>
          <w:rFonts w:hint="cs"/>
          <w:rtl/>
        </w:rPr>
        <w:t xml:space="preserve"> </w:t>
      </w:r>
      <w:r w:rsidRPr="00D705C2">
        <w:rPr>
          <w:rFonts w:hint="cs"/>
          <w:b/>
          <w:bCs/>
          <w:rtl/>
        </w:rPr>
        <w:t xml:space="preserve">הודיעה ממשלת </w:t>
      </w:r>
      <w:r>
        <w:rPr>
          <w:rFonts w:hint="cs"/>
          <w:b/>
          <w:bCs/>
          <w:rtl/>
          <w:lang w:eastAsia="he-IL"/>
        </w:rPr>
        <w:t>קווינסלנד</w:t>
      </w:r>
      <w:r w:rsidRPr="00D705C2">
        <w:rPr>
          <w:rFonts w:hint="cs"/>
          <w:b/>
          <w:bCs/>
          <w:rtl/>
          <w:lang w:eastAsia="he-IL"/>
        </w:rPr>
        <w:t xml:space="preserve"> </w:t>
      </w:r>
      <w:r w:rsidRPr="00D705C2">
        <w:rPr>
          <w:rFonts w:hint="cs"/>
          <w:b/>
          <w:bCs/>
          <w:rtl/>
        </w:rPr>
        <w:t xml:space="preserve">על </w:t>
      </w:r>
      <w:r w:rsidRPr="00D705C2">
        <w:rPr>
          <w:rFonts w:hint="cs"/>
          <w:b/>
          <w:bCs/>
          <w:u w:val="single"/>
          <w:rtl/>
        </w:rPr>
        <w:t>ח</w:t>
      </w:r>
      <w:r w:rsidRPr="006C0270">
        <w:rPr>
          <w:rFonts w:hint="cs"/>
          <w:b/>
          <w:bCs/>
          <w:u w:val="single"/>
          <w:rtl/>
        </w:rPr>
        <w:t>ובת הפלרה</w:t>
      </w:r>
      <w:r>
        <w:rPr>
          <w:rFonts w:hint="cs"/>
          <w:rtl/>
        </w:rPr>
        <w:t xml:space="preserve"> </w:t>
      </w:r>
      <w:r w:rsidRPr="00E00305">
        <w:rPr>
          <w:rFonts w:hint="cs"/>
          <w:b/>
          <w:bCs/>
          <w:rtl/>
        </w:rPr>
        <w:t>של כל מקורות המים הציבוריים</w:t>
      </w:r>
      <w:r>
        <w:rPr>
          <w:rFonts w:hint="cs"/>
          <w:rtl/>
        </w:rPr>
        <w:t xml:space="preserve"> המשמשים 1,000 תושבים ויותר, ואשר ערכי הפלואוריד הטבעי בהם נמוכים מהקבוע בתקנות; החובה הייתה אמורה להיכנס לתוקפה בהדרגה, לפי אזור גיאוגרפ</w:t>
      </w:r>
      <w:r>
        <w:rPr>
          <w:rFonts w:hint="eastAsia"/>
          <w:rtl/>
        </w:rPr>
        <w:t>י</w:t>
      </w:r>
      <w:r>
        <w:rPr>
          <w:rFonts w:hint="cs"/>
          <w:rtl/>
        </w:rPr>
        <w:t xml:space="preserve">, </w:t>
      </w:r>
      <w:r w:rsidRPr="00E00305">
        <w:rPr>
          <w:rFonts w:hint="cs"/>
          <w:b/>
          <w:bCs/>
          <w:rtl/>
        </w:rPr>
        <w:t>עד שנת 2013</w:t>
      </w:r>
      <w:r>
        <w:rPr>
          <w:rFonts w:hint="cs"/>
          <w:rtl/>
        </w:rPr>
        <w:t>.</w:t>
      </w:r>
      <w:r>
        <w:rPr>
          <w:rStyle w:val="a6"/>
          <w:rtl/>
        </w:rPr>
        <w:footnoteReference w:id="32"/>
      </w:r>
    </w:p>
    <w:p w:rsidR="0089346F" w:rsidRPr="0031673B" w:rsidRDefault="0089346F" w:rsidP="009B3ABB">
      <w:pPr>
        <w:pStyle w:val="a3"/>
        <w:rPr>
          <w:rtl/>
        </w:rPr>
      </w:pPr>
      <w:r w:rsidRPr="0031673B">
        <w:rPr>
          <w:rFonts w:hint="eastAsia"/>
          <w:b/>
          <w:bCs/>
          <w:rtl/>
        </w:rPr>
        <w:t>ב</w:t>
      </w:r>
      <w:r w:rsidRPr="0031673B">
        <w:rPr>
          <w:b/>
          <w:bCs/>
          <w:rtl/>
        </w:rPr>
        <w:t xml:space="preserve">-2008 התקבל </w:t>
      </w:r>
      <w:r w:rsidRPr="0031673B">
        <w:rPr>
          <w:rFonts w:hint="eastAsia"/>
          <w:b/>
          <w:bCs/>
          <w:rtl/>
        </w:rPr>
        <w:t>בקווינסלנד</w:t>
      </w:r>
      <w:r>
        <w:rPr>
          <w:rFonts w:hint="cs"/>
          <w:rtl/>
        </w:rPr>
        <w:t xml:space="preserve"> </w:t>
      </w:r>
      <w:r w:rsidRPr="00BD41D8">
        <w:rPr>
          <w:rFonts w:hint="cs"/>
          <w:b/>
          <w:bCs/>
          <w:rtl/>
        </w:rPr>
        <w:t>חוק הפלרת המים</w:t>
      </w:r>
      <w:r>
        <w:rPr>
          <w:rFonts w:hint="cs"/>
          <w:rtl/>
        </w:rPr>
        <w:t xml:space="preserve"> (בפרק זה: </w:t>
      </w:r>
      <w:r w:rsidRPr="00F45A13">
        <w:rPr>
          <w:rFonts w:hint="cs"/>
          <w:b/>
          <w:bCs/>
          <w:rtl/>
        </w:rPr>
        <w:t>החוק</w:t>
      </w:r>
      <w:r>
        <w:rPr>
          <w:rFonts w:hint="cs"/>
          <w:rtl/>
        </w:rPr>
        <w:t>).</w:t>
      </w:r>
      <w:r>
        <w:rPr>
          <w:rStyle w:val="a6"/>
          <w:rtl/>
        </w:rPr>
        <w:footnoteReference w:id="33"/>
      </w:r>
      <w:r>
        <w:rPr>
          <w:rFonts w:hint="cs"/>
          <w:rtl/>
        </w:rPr>
        <w:t xml:space="preserve"> </w:t>
      </w:r>
      <w:r w:rsidRPr="00A832EF">
        <w:rPr>
          <w:rFonts w:hint="eastAsia"/>
          <w:rtl/>
        </w:rPr>
        <w:t>לפי</w:t>
      </w:r>
      <w:r w:rsidRPr="00A832EF">
        <w:rPr>
          <w:rtl/>
        </w:rPr>
        <w:t xml:space="preserve"> החוק, </w:t>
      </w:r>
      <w:r w:rsidRPr="0031673B">
        <w:rPr>
          <w:rFonts w:hint="eastAsia"/>
          <w:rtl/>
        </w:rPr>
        <w:t>ספק</w:t>
      </w:r>
      <w:r w:rsidRPr="00A832EF">
        <w:rPr>
          <w:rtl/>
        </w:rPr>
        <w:t xml:space="preserve"> </w:t>
      </w:r>
      <w:r w:rsidRPr="0031673B">
        <w:rPr>
          <w:rFonts w:hint="eastAsia"/>
          <w:rtl/>
        </w:rPr>
        <w:t>מים</w:t>
      </w:r>
      <w:r w:rsidRPr="0031673B">
        <w:rPr>
          <w:rtl/>
        </w:rPr>
        <w:t xml:space="preserve"> ציבורי רלוונטי </w:t>
      </w:r>
      <w:r w:rsidRPr="00A832EF">
        <w:rPr>
          <w:rtl/>
        </w:rPr>
        <w:t>– כלומר ספק המספק מים לאלף תושבים לפחות –</w:t>
      </w:r>
      <w:r w:rsidRPr="0031673B">
        <w:rPr>
          <w:rtl/>
        </w:rPr>
        <w:t xml:space="preserve"> </w:t>
      </w:r>
      <w:r w:rsidRPr="0031673B">
        <w:rPr>
          <w:rFonts w:hint="eastAsia"/>
          <w:u w:val="single"/>
          <w:rtl/>
        </w:rPr>
        <w:t>מחויב</w:t>
      </w:r>
      <w:r w:rsidRPr="0031673B">
        <w:rPr>
          <w:rtl/>
        </w:rPr>
        <w:t xml:space="preserve"> להוסיף פלואוריד למים עד המועד הקבוע בתקנות;</w:t>
      </w:r>
      <w:r w:rsidRPr="00A832EF">
        <w:rPr>
          <w:rStyle w:val="a6"/>
          <w:rtl/>
        </w:rPr>
        <w:footnoteReference w:id="34"/>
      </w:r>
      <w:r w:rsidRPr="00A832EF">
        <w:rPr>
          <w:rtl/>
        </w:rPr>
        <w:t xml:space="preserve"> ספקי מים </w:t>
      </w:r>
      <w:r w:rsidR="009B3ABB" w:rsidRPr="00A832EF">
        <w:rPr>
          <w:rFonts w:hint="eastAsia"/>
          <w:rtl/>
        </w:rPr>
        <w:t>לאוכלוסיות</w:t>
      </w:r>
      <w:r w:rsidR="009B3ABB" w:rsidRPr="00A832EF">
        <w:rPr>
          <w:rtl/>
        </w:rPr>
        <w:t xml:space="preserve"> </w:t>
      </w:r>
      <w:r w:rsidR="009B3ABB" w:rsidRPr="00A832EF">
        <w:rPr>
          <w:rFonts w:hint="eastAsia"/>
          <w:rtl/>
        </w:rPr>
        <w:t>קטנות</w:t>
      </w:r>
      <w:r w:rsidR="009B3ABB" w:rsidRPr="00A832EF">
        <w:rPr>
          <w:rtl/>
        </w:rPr>
        <w:t xml:space="preserve"> </w:t>
      </w:r>
      <w:r w:rsidR="009B3ABB" w:rsidRPr="00A832EF">
        <w:rPr>
          <w:rFonts w:hint="eastAsia"/>
          <w:rtl/>
        </w:rPr>
        <w:t>יותר</w:t>
      </w:r>
      <w:r w:rsidRPr="00A832EF">
        <w:rPr>
          <w:rtl/>
        </w:rPr>
        <w:t xml:space="preserve"> רשאים אף הם להוסיף פלואור למים שהם מספקים.</w:t>
      </w:r>
      <w:r w:rsidRPr="00A832EF">
        <w:rPr>
          <w:rStyle w:val="a6"/>
          <w:rtl/>
        </w:rPr>
        <w:footnoteReference w:id="35"/>
      </w:r>
      <w:r w:rsidRPr="00A832EF">
        <w:rPr>
          <w:rtl/>
        </w:rPr>
        <w:t xml:space="preserve"> </w:t>
      </w:r>
    </w:p>
    <w:p w:rsidR="0089346F" w:rsidRDefault="0089346F" w:rsidP="0089346F">
      <w:pPr>
        <w:pStyle w:val="a3"/>
        <w:rPr>
          <w:rtl/>
        </w:rPr>
      </w:pPr>
      <w:r w:rsidRPr="00A832EF">
        <w:rPr>
          <w:rFonts w:hint="eastAsia"/>
          <w:b/>
          <w:bCs/>
          <w:rtl/>
        </w:rPr>
        <w:t>התקנות</w:t>
      </w:r>
      <w:r w:rsidRPr="00A832EF">
        <w:rPr>
          <w:b/>
          <w:bCs/>
          <w:rtl/>
        </w:rPr>
        <w:t xml:space="preserve"> </w:t>
      </w:r>
      <w:r w:rsidRPr="00A832EF">
        <w:rPr>
          <w:rFonts w:hint="eastAsia"/>
          <w:b/>
          <w:bCs/>
          <w:rtl/>
        </w:rPr>
        <w:t>להפלרת</w:t>
      </w:r>
      <w:r w:rsidRPr="00A832EF">
        <w:rPr>
          <w:b/>
          <w:bCs/>
          <w:rtl/>
        </w:rPr>
        <w:t xml:space="preserve"> </w:t>
      </w:r>
      <w:r w:rsidRPr="00A832EF">
        <w:rPr>
          <w:rFonts w:hint="eastAsia"/>
          <w:b/>
          <w:bCs/>
          <w:rtl/>
        </w:rPr>
        <w:t>מים</w:t>
      </w:r>
      <w:r w:rsidRPr="0031673B">
        <w:rPr>
          <w:rtl/>
        </w:rPr>
        <w:t>,</w:t>
      </w:r>
      <w:r w:rsidRPr="00A832EF">
        <w:rPr>
          <w:rStyle w:val="a6"/>
          <w:rtl/>
        </w:rPr>
        <w:footnoteReference w:id="36"/>
      </w:r>
      <w:r w:rsidRPr="0031673B">
        <w:rPr>
          <w:rtl/>
        </w:rPr>
        <w:t xml:space="preserve"> </w:t>
      </w:r>
      <w:r w:rsidRPr="0031673B">
        <w:rPr>
          <w:rFonts w:hint="eastAsia"/>
          <w:b/>
          <w:bCs/>
          <w:rtl/>
        </w:rPr>
        <w:t>שהתקבלו</w:t>
      </w:r>
      <w:r w:rsidRPr="0031673B">
        <w:rPr>
          <w:b/>
          <w:bCs/>
          <w:rtl/>
        </w:rPr>
        <w:t xml:space="preserve"> </w:t>
      </w:r>
      <w:r w:rsidRPr="0031673B">
        <w:rPr>
          <w:rFonts w:hint="eastAsia"/>
          <w:b/>
          <w:bCs/>
          <w:rtl/>
        </w:rPr>
        <w:t>אף</w:t>
      </w:r>
      <w:r w:rsidRPr="0031673B">
        <w:rPr>
          <w:b/>
          <w:bCs/>
          <w:rtl/>
        </w:rPr>
        <w:t xml:space="preserve"> </w:t>
      </w:r>
      <w:r w:rsidRPr="0031673B">
        <w:rPr>
          <w:rFonts w:hint="eastAsia"/>
          <w:b/>
          <w:bCs/>
          <w:rtl/>
        </w:rPr>
        <w:t>הן</w:t>
      </w:r>
      <w:r w:rsidRPr="0031673B">
        <w:rPr>
          <w:b/>
          <w:bCs/>
          <w:rtl/>
        </w:rPr>
        <w:t xml:space="preserve"> </w:t>
      </w:r>
      <w:r w:rsidRPr="0031673B">
        <w:rPr>
          <w:rFonts w:hint="eastAsia"/>
          <w:b/>
          <w:bCs/>
          <w:rtl/>
        </w:rPr>
        <w:t>ב</w:t>
      </w:r>
      <w:r w:rsidRPr="0031673B">
        <w:rPr>
          <w:b/>
          <w:bCs/>
          <w:rtl/>
        </w:rPr>
        <w:t>-2008</w:t>
      </w:r>
      <w:r w:rsidRPr="00A832EF">
        <w:rPr>
          <w:rtl/>
        </w:rPr>
        <w:t xml:space="preserve"> </w:t>
      </w:r>
      <w:r w:rsidRPr="0031673B">
        <w:rPr>
          <w:rFonts w:hint="eastAsia"/>
          <w:rtl/>
        </w:rPr>
        <w:t>קבעו</w:t>
      </w:r>
      <w:r w:rsidRPr="0031673B">
        <w:rPr>
          <w:rtl/>
        </w:rPr>
        <w:t xml:space="preserve"> </w:t>
      </w:r>
      <w:r w:rsidRPr="00A832EF">
        <w:rPr>
          <w:rFonts w:hint="eastAsia"/>
          <w:rtl/>
        </w:rPr>
        <w:t>לכל</w:t>
      </w:r>
      <w:r w:rsidRPr="00A832EF">
        <w:rPr>
          <w:rtl/>
        </w:rPr>
        <w:t xml:space="preserve"> </w:t>
      </w:r>
      <w:r w:rsidRPr="00A832EF">
        <w:rPr>
          <w:rFonts w:hint="eastAsia"/>
          <w:rtl/>
        </w:rPr>
        <w:t>מועצה</w:t>
      </w:r>
      <w:r w:rsidRPr="00A832EF">
        <w:rPr>
          <w:rtl/>
        </w:rPr>
        <w:t xml:space="preserve"> </w:t>
      </w:r>
      <w:r w:rsidRPr="00A832EF">
        <w:rPr>
          <w:rFonts w:hint="eastAsia"/>
          <w:rtl/>
        </w:rPr>
        <w:t>מקומית</w:t>
      </w:r>
      <w:r w:rsidRPr="00A832EF">
        <w:rPr>
          <w:rtl/>
        </w:rPr>
        <w:t xml:space="preserve"> </w:t>
      </w:r>
      <w:r w:rsidRPr="00A832EF">
        <w:rPr>
          <w:rFonts w:hint="eastAsia"/>
          <w:rtl/>
        </w:rPr>
        <w:t>ולכל</w:t>
      </w:r>
      <w:r w:rsidRPr="00A832EF">
        <w:rPr>
          <w:rtl/>
        </w:rPr>
        <w:t xml:space="preserve"> </w:t>
      </w:r>
      <w:r w:rsidRPr="00A832EF">
        <w:rPr>
          <w:rFonts w:hint="eastAsia"/>
          <w:rtl/>
        </w:rPr>
        <w:t>ספק</w:t>
      </w:r>
      <w:r w:rsidRPr="00A832EF">
        <w:rPr>
          <w:rtl/>
        </w:rPr>
        <w:t xml:space="preserve"> </w:t>
      </w:r>
      <w:r w:rsidRPr="00A832EF">
        <w:rPr>
          <w:rFonts w:hint="eastAsia"/>
          <w:rtl/>
        </w:rPr>
        <w:t>מים</w:t>
      </w:r>
      <w:r w:rsidRPr="00A832EF">
        <w:rPr>
          <w:rtl/>
        </w:rPr>
        <w:t xml:space="preserve"> </w:t>
      </w:r>
      <w:r w:rsidRPr="00A832EF">
        <w:rPr>
          <w:rFonts w:hint="eastAsia"/>
          <w:rtl/>
        </w:rPr>
        <w:t>ציבורי</w:t>
      </w:r>
      <w:r w:rsidRPr="0031673B">
        <w:rPr>
          <w:rtl/>
        </w:rPr>
        <w:t xml:space="preserve"> תאריך יעד</w:t>
      </w:r>
      <w:r w:rsidRPr="00A832EF">
        <w:rPr>
          <w:rtl/>
        </w:rPr>
        <w:t xml:space="preserve"> שממנו והלאה יחויבו בהפלרת המים.</w:t>
      </w:r>
      <w:r w:rsidRPr="00A832EF">
        <w:rPr>
          <w:rStyle w:val="a6"/>
          <w:rtl/>
        </w:rPr>
        <w:footnoteReference w:id="37"/>
      </w:r>
      <w:r w:rsidRPr="00A832EF">
        <w:rPr>
          <w:rtl/>
        </w:rPr>
        <w:t xml:space="preserve"> עוד נקבע בתקנות </w:t>
      </w:r>
      <w:r w:rsidRPr="0031673B">
        <w:rPr>
          <w:rFonts w:hint="eastAsia"/>
          <w:rtl/>
        </w:rPr>
        <w:t>ריכוז</w:t>
      </w:r>
      <w:r w:rsidRPr="0031673B">
        <w:rPr>
          <w:rtl/>
        </w:rPr>
        <w:t xml:space="preserve"> </w:t>
      </w:r>
      <w:r w:rsidRPr="0031673B">
        <w:rPr>
          <w:rFonts w:hint="eastAsia"/>
          <w:rtl/>
        </w:rPr>
        <w:t>היעד</w:t>
      </w:r>
      <w:r w:rsidRPr="0031673B">
        <w:rPr>
          <w:rtl/>
        </w:rPr>
        <w:t xml:space="preserve"> </w:t>
      </w:r>
      <w:r w:rsidRPr="0031673B">
        <w:rPr>
          <w:rFonts w:hint="eastAsia"/>
          <w:rtl/>
        </w:rPr>
        <w:t>לפלואוריד</w:t>
      </w:r>
      <w:r w:rsidRPr="0031673B">
        <w:rPr>
          <w:rtl/>
        </w:rPr>
        <w:t xml:space="preserve"> </w:t>
      </w:r>
      <w:r w:rsidRPr="0031673B">
        <w:rPr>
          <w:rFonts w:hint="eastAsia"/>
          <w:rtl/>
        </w:rPr>
        <w:t>במי</w:t>
      </w:r>
      <w:r w:rsidRPr="0031673B">
        <w:rPr>
          <w:rtl/>
        </w:rPr>
        <w:t xml:space="preserve"> </w:t>
      </w:r>
      <w:r w:rsidRPr="0031673B">
        <w:rPr>
          <w:rFonts w:hint="eastAsia"/>
          <w:rtl/>
        </w:rPr>
        <w:t>השתייה</w:t>
      </w:r>
      <w:r w:rsidRPr="0031673B">
        <w:rPr>
          <w:rtl/>
        </w:rPr>
        <w:t xml:space="preserve">: 0.6 </w:t>
      </w:r>
      <w:r w:rsidRPr="0031673B">
        <w:rPr>
          <w:rFonts w:hint="eastAsia"/>
          <w:rtl/>
        </w:rPr>
        <w:t>מ</w:t>
      </w:r>
      <w:r w:rsidRPr="0031673B">
        <w:rPr>
          <w:rtl/>
        </w:rPr>
        <w:t xml:space="preserve">"ג, 0.7 </w:t>
      </w:r>
      <w:r w:rsidRPr="0031673B">
        <w:rPr>
          <w:rFonts w:hint="eastAsia"/>
          <w:rtl/>
        </w:rPr>
        <w:t>מ</w:t>
      </w:r>
      <w:r w:rsidRPr="0031673B">
        <w:rPr>
          <w:rtl/>
        </w:rPr>
        <w:t xml:space="preserve">"ג </w:t>
      </w:r>
      <w:r w:rsidRPr="0031673B">
        <w:rPr>
          <w:rFonts w:hint="eastAsia"/>
          <w:rtl/>
        </w:rPr>
        <w:t>או</w:t>
      </w:r>
      <w:r w:rsidRPr="0031673B">
        <w:rPr>
          <w:rtl/>
        </w:rPr>
        <w:t xml:space="preserve"> 0.8 </w:t>
      </w:r>
      <w:r w:rsidRPr="0031673B">
        <w:rPr>
          <w:rFonts w:hint="eastAsia"/>
          <w:rtl/>
        </w:rPr>
        <w:t>מ</w:t>
      </w:r>
      <w:r w:rsidRPr="0031673B">
        <w:rPr>
          <w:rtl/>
        </w:rPr>
        <w:t xml:space="preserve">"ג </w:t>
      </w:r>
      <w:r w:rsidRPr="0031673B">
        <w:rPr>
          <w:rFonts w:hint="eastAsia"/>
          <w:rtl/>
        </w:rPr>
        <w:t>לליטר</w:t>
      </w:r>
      <w:r w:rsidRPr="0031673B">
        <w:rPr>
          <w:rtl/>
        </w:rPr>
        <w:t xml:space="preserve">, </w:t>
      </w:r>
      <w:r w:rsidRPr="0031673B">
        <w:rPr>
          <w:rFonts w:hint="eastAsia"/>
          <w:rtl/>
        </w:rPr>
        <w:t>לפי</w:t>
      </w:r>
      <w:r w:rsidRPr="0031673B">
        <w:rPr>
          <w:rtl/>
        </w:rPr>
        <w:t xml:space="preserve"> </w:t>
      </w:r>
      <w:r w:rsidRPr="0031673B">
        <w:rPr>
          <w:rFonts w:hint="eastAsia"/>
          <w:rtl/>
        </w:rPr>
        <w:t>האזור</w:t>
      </w:r>
      <w:r w:rsidRPr="0031673B">
        <w:rPr>
          <w:rtl/>
        </w:rPr>
        <w:t xml:space="preserve">; </w:t>
      </w:r>
      <w:r w:rsidRPr="0031673B">
        <w:rPr>
          <w:rFonts w:hint="eastAsia"/>
          <w:rtl/>
        </w:rPr>
        <w:t>סטייה</w:t>
      </w:r>
      <w:r w:rsidRPr="0031673B">
        <w:rPr>
          <w:rtl/>
        </w:rPr>
        <w:t xml:space="preserve"> </w:t>
      </w:r>
      <w:r w:rsidRPr="0031673B">
        <w:rPr>
          <w:rFonts w:hint="eastAsia"/>
          <w:rtl/>
        </w:rPr>
        <w:t>של</w:t>
      </w:r>
      <w:r w:rsidRPr="0031673B">
        <w:rPr>
          <w:rtl/>
        </w:rPr>
        <w:t xml:space="preserve"> </w:t>
      </w:r>
      <w:r w:rsidRPr="0031673B">
        <w:rPr>
          <w:rFonts w:hint="eastAsia"/>
          <w:rtl/>
        </w:rPr>
        <w:t>עד</w:t>
      </w:r>
      <w:r w:rsidRPr="0031673B">
        <w:rPr>
          <w:rtl/>
        </w:rPr>
        <w:t xml:space="preserve"> 0.1 </w:t>
      </w:r>
      <w:r w:rsidRPr="0031673B">
        <w:rPr>
          <w:rFonts w:hint="eastAsia"/>
          <w:rtl/>
        </w:rPr>
        <w:t>מ</w:t>
      </w:r>
      <w:r w:rsidRPr="0031673B">
        <w:rPr>
          <w:rtl/>
        </w:rPr>
        <w:t xml:space="preserve">"ג </w:t>
      </w:r>
      <w:r w:rsidRPr="0031673B">
        <w:rPr>
          <w:rFonts w:hint="eastAsia"/>
          <w:rtl/>
        </w:rPr>
        <w:t>לליטר</w:t>
      </w:r>
      <w:r w:rsidRPr="0031673B">
        <w:rPr>
          <w:rtl/>
        </w:rPr>
        <w:t xml:space="preserve"> </w:t>
      </w:r>
      <w:r w:rsidRPr="0031673B">
        <w:rPr>
          <w:rFonts w:hint="eastAsia"/>
          <w:rtl/>
        </w:rPr>
        <w:t>נחשבה</w:t>
      </w:r>
      <w:r w:rsidRPr="0031673B">
        <w:rPr>
          <w:rtl/>
        </w:rPr>
        <w:t xml:space="preserve"> </w:t>
      </w:r>
      <w:r w:rsidRPr="0031673B">
        <w:rPr>
          <w:rFonts w:hint="eastAsia"/>
          <w:rtl/>
        </w:rPr>
        <w:t>לעמידה</w:t>
      </w:r>
      <w:r w:rsidRPr="0031673B">
        <w:rPr>
          <w:rtl/>
        </w:rPr>
        <w:t xml:space="preserve"> </w:t>
      </w:r>
      <w:r w:rsidRPr="0031673B">
        <w:rPr>
          <w:rFonts w:hint="eastAsia"/>
          <w:rtl/>
        </w:rPr>
        <w:t>בריכוז</w:t>
      </w:r>
      <w:r w:rsidRPr="0031673B">
        <w:rPr>
          <w:rtl/>
        </w:rPr>
        <w:t xml:space="preserve"> </w:t>
      </w:r>
      <w:r w:rsidRPr="0031673B">
        <w:rPr>
          <w:rFonts w:hint="eastAsia"/>
          <w:rtl/>
        </w:rPr>
        <w:t>היעד</w:t>
      </w:r>
      <w:r w:rsidRPr="0031673B">
        <w:rPr>
          <w:rtl/>
        </w:rPr>
        <w:t>.</w:t>
      </w:r>
      <w:r w:rsidRPr="00A832EF">
        <w:rPr>
          <w:rStyle w:val="a6"/>
          <w:rtl/>
        </w:rPr>
        <w:footnoteReference w:id="38"/>
      </w:r>
      <w:r w:rsidRPr="00A832EF">
        <w:rPr>
          <w:rtl/>
        </w:rPr>
        <w:t xml:space="preserve"> יצוין כי </w:t>
      </w:r>
      <w:r w:rsidRPr="0031673B">
        <w:rPr>
          <w:rFonts w:hint="eastAsia"/>
          <w:rtl/>
        </w:rPr>
        <w:t>החוק</w:t>
      </w:r>
      <w:r w:rsidRPr="0031673B">
        <w:rPr>
          <w:rtl/>
        </w:rPr>
        <w:t xml:space="preserve"> </w:t>
      </w:r>
      <w:r w:rsidRPr="0031673B">
        <w:rPr>
          <w:rFonts w:hint="eastAsia"/>
          <w:rtl/>
        </w:rPr>
        <w:t>איפשר</w:t>
      </w:r>
      <w:r w:rsidRPr="0031673B">
        <w:rPr>
          <w:rtl/>
        </w:rPr>
        <w:t xml:space="preserve"> </w:t>
      </w:r>
      <w:r w:rsidRPr="0031673B">
        <w:rPr>
          <w:rFonts w:hint="eastAsia"/>
          <w:rtl/>
        </w:rPr>
        <w:t>לשר</w:t>
      </w:r>
      <w:r w:rsidRPr="0031673B">
        <w:rPr>
          <w:rtl/>
        </w:rPr>
        <w:t xml:space="preserve"> </w:t>
      </w:r>
      <w:r w:rsidRPr="0031673B">
        <w:rPr>
          <w:rFonts w:hint="eastAsia"/>
          <w:rtl/>
        </w:rPr>
        <w:t>לתת</w:t>
      </w:r>
      <w:r w:rsidRPr="0031673B">
        <w:rPr>
          <w:rtl/>
        </w:rPr>
        <w:t xml:space="preserve"> </w:t>
      </w:r>
      <w:r w:rsidRPr="0031673B">
        <w:rPr>
          <w:rFonts w:hint="eastAsia"/>
          <w:rtl/>
        </w:rPr>
        <w:t>לספק</w:t>
      </w:r>
      <w:r w:rsidRPr="0031673B">
        <w:rPr>
          <w:rtl/>
        </w:rPr>
        <w:t xml:space="preserve"> </w:t>
      </w:r>
      <w:r w:rsidRPr="0031673B">
        <w:rPr>
          <w:rFonts w:hint="eastAsia"/>
          <w:rtl/>
        </w:rPr>
        <w:t>רלוונטי</w:t>
      </w:r>
      <w:r w:rsidRPr="0031673B">
        <w:rPr>
          <w:rtl/>
        </w:rPr>
        <w:t xml:space="preserve"> </w:t>
      </w:r>
      <w:r w:rsidRPr="0031673B">
        <w:rPr>
          <w:rFonts w:hint="eastAsia"/>
          <w:rtl/>
        </w:rPr>
        <w:t>פטור</w:t>
      </w:r>
      <w:r w:rsidRPr="0031673B">
        <w:rPr>
          <w:rtl/>
        </w:rPr>
        <w:t xml:space="preserve"> </w:t>
      </w:r>
      <w:r w:rsidRPr="0031673B">
        <w:rPr>
          <w:rFonts w:hint="eastAsia"/>
          <w:rtl/>
        </w:rPr>
        <w:t>מהפלרת</w:t>
      </w:r>
      <w:r w:rsidRPr="0031673B">
        <w:rPr>
          <w:rtl/>
        </w:rPr>
        <w:t xml:space="preserve"> </w:t>
      </w:r>
      <w:r w:rsidRPr="0031673B">
        <w:rPr>
          <w:rFonts w:hint="eastAsia"/>
          <w:rtl/>
        </w:rPr>
        <w:t>המים</w:t>
      </w:r>
      <w:r w:rsidRPr="00A832EF">
        <w:rPr>
          <w:rtl/>
        </w:rPr>
        <w:t xml:space="preserve"> בנסיבות הקבועות בחוק (למשל, אם ריכוז הפלואוריד הטבעי במים הוא בטווח הריכוז המומלץ או מעל הריכוז המקסימלי</w:t>
      </w:r>
      <w:r>
        <w:rPr>
          <w:rFonts w:hint="cs"/>
          <w:rtl/>
        </w:rPr>
        <w:t xml:space="preserve"> המומלץ).</w:t>
      </w:r>
      <w:r>
        <w:rPr>
          <w:rStyle w:val="a6"/>
          <w:rtl/>
        </w:rPr>
        <w:footnoteReference w:id="39"/>
      </w:r>
      <w:r>
        <w:rPr>
          <w:rFonts w:hint="cs"/>
          <w:rtl/>
        </w:rPr>
        <w:t xml:space="preserve"> </w:t>
      </w:r>
    </w:p>
    <w:p w:rsidR="0089346F" w:rsidRPr="004E28FC" w:rsidRDefault="0089346F" w:rsidP="003041C4">
      <w:pPr>
        <w:pStyle w:val="a3"/>
        <w:rPr>
          <w:rtl/>
        </w:rPr>
      </w:pPr>
      <w:r w:rsidRPr="0031673B">
        <w:rPr>
          <w:rFonts w:hint="eastAsia"/>
          <w:b/>
          <w:bCs/>
          <w:rtl/>
        </w:rPr>
        <w:t>בסוף</w:t>
      </w:r>
      <w:r w:rsidRPr="0031673B">
        <w:rPr>
          <w:b/>
          <w:bCs/>
          <w:rtl/>
        </w:rPr>
        <w:t xml:space="preserve"> שנת 2012 שונה חוק הפלרת המים משנת 2008, </w:t>
      </w:r>
      <w:r w:rsidRPr="0031673B">
        <w:rPr>
          <w:rFonts w:hint="eastAsia"/>
          <w:b/>
          <w:bCs/>
          <w:u w:val="single"/>
          <w:rtl/>
        </w:rPr>
        <w:t>והוסרה</w:t>
      </w:r>
      <w:r w:rsidRPr="0031673B">
        <w:rPr>
          <w:b/>
          <w:bCs/>
          <w:u w:val="single"/>
          <w:rtl/>
        </w:rPr>
        <w:t xml:space="preserve"> </w:t>
      </w:r>
      <w:r w:rsidRPr="0031673B">
        <w:rPr>
          <w:rFonts w:hint="eastAsia"/>
          <w:b/>
          <w:bCs/>
          <w:u w:val="single"/>
          <w:rtl/>
        </w:rPr>
        <w:t>חובת</w:t>
      </w:r>
      <w:r w:rsidRPr="0031673B">
        <w:rPr>
          <w:b/>
          <w:bCs/>
          <w:u w:val="single"/>
          <w:rtl/>
        </w:rPr>
        <w:t xml:space="preserve"> </w:t>
      </w:r>
      <w:r w:rsidRPr="0031673B">
        <w:rPr>
          <w:rFonts w:hint="eastAsia"/>
          <w:b/>
          <w:bCs/>
          <w:u w:val="single"/>
          <w:rtl/>
        </w:rPr>
        <w:t>הוספת</w:t>
      </w:r>
      <w:r w:rsidRPr="0031673B">
        <w:rPr>
          <w:b/>
          <w:bCs/>
          <w:u w:val="single"/>
          <w:rtl/>
        </w:rPr>
        <w:t xml:space="preserve"> </w:t>
      </w:r>
      <w:r w:rsidRPr="0031673B">
        <w:rPr>
          <w:rFonts w:hint="eastAsia"/>
          <w:b/>
          <w:bCs/>
          <w:u w:val="single"/>
          <w:rtl/>
        </w:rPr>
        <w:t>פלואור</w:t>
      </w:r>
      <w:r w:rsidRPr="0031673B">
        <w:rPr>
          <w:b/>
          <w:bCs/>
          <w:u w:val="single"/>
          <w:rtl/>
        </w:rPr>
        <w:t xml:space="preserve"> </w:t>
      </w:r>
      <w:r w:rsidRPr="0031673B">
        <w:rPr>
          <w:rFonts w:hint="eastAsia"/>
          <w:b/>
          <w:bCs/>
          <w:u w:val="single"/>
          <w:rtl/>
        </w:rPr>
        <w:t>למקורות</w:t>
      </w:r>
      <w:r w:rsidRPr="0031673B">
        <w:rPr>
          <w:b/>
          <w:bCs/>
          <w:u w:val="single"/>
          <w:rtl/>
        </w:rPr>
        <w:t xml:space="preserve"> </w:t>
      </w:r>
      <w:r w:rsidRPr="0031673B">
        <w:rPr>
          <w:rFonts w:hint="eastAsia"/>
          <w:b/>
          <w:bCs/>
          <w:u w:val="single"/>
          <w:rtl/>
        </w:rPr>
        <w:t>המים</w:t>
      </w:r>
      <w:r w:rsidRPr="0031673B">
        <w:rPr>
          <w:b/>
          <w:bCs/>
          <w:u w:val="single"/>
          <w:rtl/>
        </w:rPr>
        <w:t xml:space="preserve"> </w:t>
      </w:r>
      <w:r w:rsidRPr="0031673B">
        <w:rPr>
          <w:rFonts w:hint="eastAsia"/>
          <w:b/>
          <w:bCs/>
          <w:u w:val="single"/>
          <w:rtl/>
        </w:rPr>
        <w:t>הציבוריים</w:t>
      </w:r>
      <w:r w:rsidRPr="0031673B">
        <w:rPr>
          <w:b/>
          <w:bCs/>
          <w:rtl/>
        </w:rPr>
        <w:t xml:space="preserve"> המשמשים 1,000 תושבים ויותר. החוק העניק לרשויות המקומיות את הסמכות לקבוע האם להוסיף פלואור למי-השתייה </w:t>
      </w:r>
      <w:r w:rsidR="009B3ABB" w:rsidRPr="0031673B">
        <w:rPr>
          <w:rFonts w:hint="eastAsia"/>
          <w:b/>
          <w:bCs/>
          <w:rtl/>
        </w:rPr>
        <w:t>בשטחן</w:t>
      </w:r>
      <w:r w:rsidR="003041C4" w:rsidRPr="0031673B">
        <w:rPr>
          <w:b/>
          <w:bCs/>
          <w:rtl/>
        </w:rPr>
        <w:t xml:space="preserve">. </w:t>
      </w:r>
      <w:r w:rsidR="003041C4" w:rsidRPr="0031673B">
        <w:rPr>
          <w:rFonts w:hint="eastAsia"/>
          <w:b/>
          <w:bCs/>
          <w:rtl/>
        </w:rPr>
        <w:t>כלומר</w:t>
      </w:r>
      <w:r w:rsidR="003041C4" w:rsidRPr="0031673B">
        <w:rPr>
          <w:b/>
          <w:bCs/>
          <w:rtl/>
        </w:rPr>
        <w:t xml:space="preserve">, </w:t>
      </w:r>
      <w:r w:rsidR="003041C4" w:rsidRPr="0031673B">
        <w:rPr>
          <w:rFonts w:hint="eastAsia"/>
          <w:b/>
          <w:bCs/>
          <w:rtl/>
        </w:rPr>
        <w:t>על</w:t>
      </w:r>
      <w:r w:rsidR="003041C4" w:rsidRPr="0031673B">
        <w:rPr>
          <w:b/>
          <w:bCs/>
          <w:rtl/>
        </w:rPr>
        <w:t xml:space="preserve"> </w:t>
      </w:r>
      <w:r w:rsidR="003041C4" w:rsidRPr="0031673B">
        <w:rPr>
          <w:rFonts w:hint="eastAsia"/>
          <w:b/>
          <w:bCs/>
          <w:rtl/>
        </w:rPr>
        <w:t>פי</w:t>
      </w:r>
      <w:r w:rsidR="003041C4" w:rsidRPr="0031673B">
        <w:rPr>
          <w:b/>
          <w:bCs/>
          <w:rtl/>
        </w:rPr>
        <w:t xml:space="preserve"> </w:t>
      </w:r>
      <w:r w:rsidR="003041C4" w:rsidRPr="0031673B">
        <w:rPr>
          <w:rFonts w:hint="eastAsia"/>
          <w:b/>
          <w:bCs/>
          <w:rtl/>
        </w:rPr>
        <w:t>התיקון</w:t>
      </w:r>
      <w:r w:rsidR="003041C4" w:rsidRPr="0031673B">
        <w:rPr>
          <w:b/>
          <w:bCs/>
          <w:rtl/>
        </w:rPr>
        <w:t xml:space="preserve"> </w:t>
      </w:r>
      <w:r w:rsidR="003041C4" w:rsidRPr="0031673B">
        <w:rPr>
          <w:rFonts w:hint="eastAsia"/>
          <w:b/>
          <w:bCs/>
          <w:rtl/>
        </w:rPr>
        <w:t>לחוק</w:t>
      </w:r>
      <w:r w:rsidRPr="0031673B">
        <w:rPr>
          <w:b/>
          <w:bCs/>
          <w:rtl/>
        </w:rPr>
        <w:t xml:space="preserve">, רשויות מקומיות רשאיות להחליט האם להוסיף או לא להוסיף פלואוריד למי-השתייה </w:t>
      </w:r>
      <w:r w:rsidR="003041C4" w:rsidRPr="0031673B">
        <w:rPr>
          <w:rFonts w:hint="eastAsia"/>
          <w:b/>
          <w:bCs/>
          <w:rtl/>
        </w:rPr>
        <w:t>בשטח</w:t>
      </w:r>
      <w:r w:rsidR="003041C4" w:rsidRPr="0031673B">
        <w:rPr>
          <w:b/>
          <w:bCs/>
          <w:rtl/>
        </w:rPr>
        <w:t xml:space="preserve"> </w:t>
      </w:r>
      <w:r w:rsidR="003041C4" w:rsidRPr="0031673B">
        <w:rPr>
          <w:rFonts w:hint="eastAsia"/>
          <w:b/>
          <w:bCs/>
          <w:rtl/>
        </w:rPr>
        <w:t>שיפוטן</w:t>
      </w:r>
      <w:r w:rsidRPr="0031673B">
        <w:rPr>
          <w:b/>
          <w:bCs/>
          <w:rtl/>
        </w:rPr>
        <w:t xml:space="preserve">. </w:t>
      </w:r>
      <w:r w:rsidRPr="0031673B">
        <w:rPr>
          <w:rFonts w:hint="eastAsia"/>
          <w:b/>
          <w:bCs/>
          <w:rtl/>
        </w:rPr>
        <w:t>יש</w:t>
      </w:r>
      <w:r w:rsidRPr="0031673B">
        <w:rPr>
          <w:b/>
          <w:bCs/>
          <w:rtl/>
        </w:rPr>
        <w:t xml:space="preserve"> </w:t>
      </w:r>
      <w:r w:rsidRPr="0031673B">
        <w:rPr>
          <w:rFonts w:hint="eastAsia"/>
          <w:b/>
          <w:bCs/>
          <w:rtl/>
        </w:rPr>
        <w:t>לציין</w:t>
      </w:r>
      <w:r w:rsidRPr="0031673B">
        <w:rPr>
          <w:b/>
          <w:bCs/>
          <w:rtl/>
        </w:rPr>
        <w:t xml:space="preserve"> </w:t>
      </w:r>
      <w:r w:rsidRPr="0031673B">
        <w:rPr>
          <w:rFonts w:hint="eastAsia"/>
          <w:b/>
          <w:bCs/>
          <w:rtl/>
        </w:rPr>
        <w:t>כי</w:t>
      </w:r>
      <w:r w:rsidRPr="0031673B">
        <w:rPr>
          <w:b/>
          <w:bCs/>
          <w:rtl/>
        </w:rPr>
        <w:t xml:space="preserve"> </w:t>
      </w:r>
      <w:r w:rsidRPr="0031673B">
        <w:rPr>
          <w:rFonts w:hint="eastAsia"/>
          <w:b/>
          <w:bCs/>
          <w:rtl/>
        </w:rPr>
        <w:t>רשות</w:t>
      </w:r>
      <w:r w:rsidRPr="0031673B">
        <w:rPr>
          <w:b/>
          <w:bCs/>
          <w:rtl/>
        </w:rPr>
        <w:t xml:space="preserve"> </w:t>
      </w:r>
      <w:r w:rsidRPr="0031673B">
        <w:rPr>
          <w:rFonts w:hint="eastAsia"/>
          <w:b/>
          <w:bCs/>
          <w:rtl/>
        </w:rPr>
        <w:t>מקומית</w:t>
      </w:r>
      <w:r w:rsidRPr="0031673B">
        <w:rPr>
          <w:b/>
          <w:bCs/>
          <w:rtl/>
        </w:rPr>
        <w:t xml:space="preserve"> </w:t>
      </w:r>
      <w:r w:rsidRPr="0031673B">
        <w:rPr>
          <w:rFonts w:hint="eastAsia"/>
          <w:b/>
          <w:bCs/>
          <w:rtl/>
        </w:rPr>
        <w:t>לא</w:t>
      </w:r>
      <w:r w:rsidRPr="0031673B">
        <w:rPr>
          <w:b/>
          <w:bCs/>
          <w:rtl/>
        </w:rPr>
        <w:t xml:space="preserve"> </w:t>
      </w:r>
      <w:r w:rsidRPr="0031673B">
        <w:rPr>
          <w:rFonts w:hint="eastAsia"/>
          <w:b/>
          <w:bCs/>
          <w:rtl/>
        </w:rPr>
        <w:t>תוכל</w:t>
      </w:r>
      <w:r w:rsidRPr="0031673B">
        <w:rPr>
          <w:b/>
          <w:bCs/>
          <w:rtl/>
        </w:rPr>
        <w:t xml:space="preserve"> </w:t>
      </w:r>
      <w:r w:rsidRPr="0031673B">
        <w:rPr>
          <w:rFonts w:hint="eastAsia"/>
          <w:b/>
          <w:bCs/>
          <w:rtl/>
        </w:rPr>
        <w:t>להחליט</w:t>
      </w:r>
      <w:r w:rsidRPr="0031673B">
        <w:rPr>
          <w:b/>
          <w:bCs/>
          <w:rtl/>
        </w:rPr>
        <w:t xml:space="preserve"> </w:t>
      </w:r>
      <w:r w:rsidRPr="0031673B">
        <w:rPr>
          <w:rFonts w:hint="eastAsia"/>
          <w:b/>
          <w:bCs/>
          <w:rtl/>
        </w:rPr>
        <w:t>על</w:t>
      </w:r>
      <w:r w:rsidRPr="0031673B">
        <w:rPr>
          <w:b/>
          <w:bCs/>
          <w:rtl/>
        </w:rPr>
        <w:t xml:space="preserve"> </w:t>
      </w:r>
      <w:r w:rsidRPr="0031673B">
        <w:rPr>
          <w:rFonts w:hint="eastAsia"/>
          <w:b/>
          <w:bCs/>
          <w:rtl/>
        </w:rPr>
        <w:t>הפלרה</w:t>
      </w:r>
      <w:r w:rsidRPr="0031673B">
        <w:rPr>
          <w:b/>
          <w:bCs/>
          <w:rtl/>
        </w:rPr>
        <w:t xml:space="preserve"> </w:t>
      </w:r>
      <w:r w:rsidRPr="0031673B">
        <w:rPr>
          <w:rFonts w:hint="eastAsia"/>
          <w:b/>
          <w:bCs/>
          <w:rtl/>
        </w:rPr>
        <w:t>או</w:t>
      </w:r>
      <w:r w:rsidRPr="0031673B">
        <w:rPr>
          <w:b/>
          <w:bCs/>
          <w:rtl/>
        </w:rPr>
        <w:t xml:space="preserve"> </w:t>
      </w:r>
      <w:r w:rsidRPr="0031673B">
        <w:rPr>
          <w:rFonts w:hint="eastAsia"/>
          <w:b/>
          <w:bCs/>
          <w:rtl/>
        </w:rPr>
        <w:t>הפסקת</w:t>
      </w:r>
      <w:r w:rsidRPr="0031673B">
        <w:rPr>
          <w:b/>
          <w:bCs/>
          <w:rtl/>
        </w:rPr>
        <w:t xml:space="preserve"> </w:t>
      </w:r>
      <w:r w:rsidRPr="0031673B">
        <w:rPr>
          <w:rFonts w:hint="eastAsia"/>
          <w:b/>
          <w:bCs/>
          <w:rtl/>
        </w:rPr>
        <w:t>הפלרה</w:t>
      </w:r>
      <w:r w:rsidRPr="0031673B">
        <w:rPr>
          <w:b/>
          <w:bCs/>
          <w:rtl/>
        </w:rPr>
        <w:t xml:space="preserve"> </w:t>
      </w:r>
      <w:r w:rsidRPr="0031673B">
        <w:rPr>
          <w:rFonts w:hint="eastAsia"/>
          <w:b/>
          <w:bCs/>
          <w:rtl/>
        </w:rPr>
        <w:t>של</w:t>
      </w:r>
      <w:r w:rsidRPr="0031673B">
        <w:rPr>
          <w:b/>
          <w:bCs/>
          <w:rtl/>
        </w:rPr>
        <w:t xml:space="preserve"> </w:t>
      </w:r>
      <w:r w:rsidRPr="0031673B">
        <w:rPr>
          <w:rFonts w:hint="eastAsia"/>
          <w:b/>
          <w:bCs/>
          <w:rtl/>
        </w:rPr>
        <w:t>מי</w:t>
      </w:r>
      <w:r w:rsidRPr="0031673B">
        <w:rPr>
          <w:b/>
          <w:bCs/>
          <w:rtl/>
        </w:rPr>
        <w:t xml:space="preserve">-השתייה </w:t>
      </w:r>
      <w:r w:rsidRPr="0031673B">
        <w:rPr>
          <w:rFonts w:hint="eastAsia"/>
          <w:b/>
          <w:bCs/>
          <w:rtl/>
        </w:rPr>
        <w:t>בשטח</w:t>
      </w:r>
      <w:r w:rsidRPr="0031673B">
        <w:rPr>
          <w:b/>
          <w:bCs/>
          <w:rtl/>
        </w:rPr>
        <w:t xml:space="preserve"> </w:t>
      </w:r>
      <w:r w:rsidRPr="0031673B">
        <w:rPr>
          <w:rFonts w:hint="eastAsia"/>
          <w:b/>
          <w:bCs/>
          <w:rtl/>
        </w:rPr>
        <w:t>שיפוטה</w:t>
      </w:r>
      <w:r w:rsidRPr="0031673B">
        <w:rPr>
          <w:b/>
          <w:bCs/>
          <w:rtl/>
        </w:rPr>
        <w:t xml:space="preserve">, </w:t>
      </w:r>
      <w:r w:rsidRPr="0031673B">
        <w:rPr>
          <w:rFonts w:hint="eastAsia"/>
          <w:b/>
          <w:bCs/>
          <w:rtl/>
        </w:rPr>
        <w:t>אם</w:t>
      </w:r>
      <w:r w:rsidRPr="0031673B">
        <w:rPr>
          <w:b/>
          <w:bCs/>
          <w:rtl/>
        </w:rPr>
        <w:t xml:space="preserve"> </w:t>
      </w:r>
      <w:r w:rsidRPr="0031673B">
        <w:rPr>
          <w:rFonts w:hint="eastAsia"/>
          <w:b/>
          <w:bCs/>
          <w:rtl/>
        </w:rPr>
        <w:t>החלטה</w:t>
      </w:r>
      <w:r w:rsidRPr="0031673B">
        <w:rPr>
          <w:b/>
          <w:bCs/>
          <w:rtl/>
        </w:rPr>
        <w:t xml:space="preserve"> </w:t>
      </w:r>
      <w:r w:rsidRPr="0031673B">
        <w:rPr>
          <w:rFonts w:hint="eastAsia"/>
          <w:b/>
          <w:bCs/>
          <w:rtl/>
        </w:rPr>
        <w:t>זו</w:t>
      </w:r>
      <w:r w:rsidRPr="0031673B">
        <w:rPr>
          <w:b/>
          <w:bCs/>
          <w:rtl/>
        </w:rPr>
        <w:t xml:space="preserve"> </w:t>
      </w:r>
      <w:r w:rsidRPr="0031673B">
        <w:rPr>
          <w:rFonts w:hint="eastAsia"/>
          <w:b/>
          <w:bCs/>
          <w:rtl/>
        </w:rPr>
        <w:t>משפיעה</w:t>
      </w:r>
      <w:r w:rsidRPr="0031673B">
        <w:rPr>
          <w:b/>
          <w:bCs/>
          <w:rtl/>
        </w:rPr>
        <w:t xml:space="preserve"> </w:t>
      </w:r>
      <w:r w:rsidRPr="0031673B">
        <w:rPr>
          <w:rFonts w:hint="eastAsia"/>
          <w:b/>
          <w:bCs/>
          <w:rtl/>
        </w:rPr>
        <w:t>על</w:t>
      </w:r>
      <w:r w:rsidRPr="0031673B">
        <w:rPr>
          <w:b/>
          <w:bCs/>
          <w:rtl/>
        </w:rPr>
        <w:t xml:space="preserve"> </w:t>
      </w:r>
      <w:r w:rsidRPr="0031673B">
        <w:rPr>
          <w:rFonts w:hint="eastAsia"/>
          <w:b/>
          <w:bCs/>
          <w:rtl/>
        </w:rPr>
        <w:t>מי</w:t>
      </w:r>
      <w:r w:rsidRPr="0031673B">
        <w:rPr>
          <w:b/>
          <w:bCs/>
          <w:rtl/>
        </w:rPr>
        <w:t xml:space="preserve">-השתייה </w:t>
      </w:r>
      <w:r w:rsidRPr="0031673B">
        <w:rPr>
          <w:rFonts w:hint="eastAsia"/>
          <w:b/>
          <w:bCs/>
          <w:rtl/>
        </w:rPr>
        <w:t>של</w:t>
      </w:r>
      <w:r w:rsidRPr="0031673B">
        <w:rPr>
          <w:b/>
          <w:bCs/>
          <w:rtl/>
        </w:rPr>
        <w:t xml:space="preserve"> </w:t>
      </w:r>
      <w:r w:rsidRPr="0031673B">
        <w:rPr>
          <w:rFonts w:hint="eastAsia"/>
          <w:b/>
          <w:bCs/>
          <w:rtl/>
        </w:rPr>
        <w:t>רשות</w:t>
      </w:r>
      <w:r w:rsidRPr="0031673B">
        <w:rPr>
          <w:b/>
          <w:bCs/>
          <w:rtl/>
        </w:rPr>
        <w:t xml:space="preserve"> </w:t>
      </w:r>
      <w:r w:rsidRPr="0031673B">
        <w:rPr>
          <w:rFonts w:hint="eastAsia"/>
          <w:b/>
          <w:bCs/>
          <w:rtl/>
        </w:rPr>
        <w:t>מקומית</w:t>
      </w:r>
      <w:r w:rsidRPr="0031673B">
        <w:rPr>
          <w:b/>
          <w:bCs/>
          <w:rtl/>
        </w:rPr>
        <w:t xml:space="preserve"> </w:t>
      </w:r>
      <w:r w:rsidRPr="0031673B">
        <w:rPr>
          <w:rFonts w:hint="eastAsia"/>
          <w:b/>
          <w:bCs/>
          <w:rtl/>
        </w:rPr>
        <w:t>אחרת</w:t>
      </w:r>
      <w:r w:rsidRPr="0031673B">
        <w:rPr>
          <w:b/>
          <w:bCs/>
          <w:rtl/>
        </w:rPr>
        <w:t xml:space="preserve">, </w:t>
      </w:r>
      <w:r w:rsidRPr="0031673B">
        <w:rPr>
          <w:rFonts w:hint="eastAsia"/>
          <w:b/>
          <w:bCs/>
          <w:rtl/>
        </w:rPr>
        <w:t>וזאת</w:t>
      </w:r>
      <w:r w:rsidRPr="0031673B">
        <w:rPr>
          <w:b/>
          <w:bCs/>
          <w:rtl/>
        </w:rPr>
        <w:t xml:space="preserve"> </w:t>
      </w:r>
      <w:r w:rsidRPr="0031673B">
        <w:rPr>
          <w:rFonts w:hint="eastAsia"/>
          <w:b/>
          <w:bCs/>
          <w:rtl/>
        </w:rPr>
        <w:t>ללא</w:t>
      </w:r>
      <w:r w:rsidRPr="0031673B">
        <w:rPr>
          <w:b/>
          <w:bCs/>
          <w:rtl/>
        </w:rPr>
        <w:t xml:space="preserve"> </w:t>
      </w:r>
      <w:r w:rsidRPr="0031673B">
        <w:rPr>
          <w:rFonts w:hint="eastAsia"/>
          <w:b/>
          <w:bCs/>
          <w:rtl/>
        </w:rPr>
        <w:t>הסכמתה</w:t>
      </w:r>
      <w:r w:rsidRPr="0031673B">
        <w:rPr>
          <w:b/>
          <w:bCs/>
          <w:rtl/>
        </w:rPr>
        <w:t xml:space="preserve"> </w:t>
      </w:r>
      <w:r w:rsidRPr="0031673B">
        <w:rPr>
          <w:rFonts w:hint="eastAsia"/>
          <w:b/>
          <w:bCs/>
          <w:rtl/>
        </w:rPr>
        <w:t>לכך</w:t>
      </w:r>
      <w:r w:rsidRPr="0031673B">
        <w:rPr>
          <w:b/>
          <w:bCs/>
          <w:rtl/>
        </w:rPr>
        <w:t>.</w:t>
      </w:r>
      <w:r w:rsidRPr="00F036CE">
        <w:rPr>
          <w:rStyle w:val="a6"/>
          <w:rtl/>
        </w:rPr>
        <w:footnoteReference w:id="40"/>
      </w:r>
    </w:p>
    <w:p w:rsidR="002C16E4" w:rsidRDefault="002C16E4" w:rsidP="002C16E4">
      <w:pPr>
        <w:pStyle w:val="a3"/>
        <w:rPr>
          <w:rtl/>
        </w:rPr>
      </w:pPr>
    </w:p>
    <w:p w:rsidR="0050369F" w:rsidRDefault="0050369F" w:rsidP="002C16E4">
      <w:pPr>
        <w:pStyle w:val="a3"/>
        <w:rPr>
          <w:rtl/>
        </w:rPr>
      </w:pPr>
    </w:p>
    <w:p w:rsidR="002C16E4" w:rsidRPr="001C22F2" w:rsidRDefault="009008DC" w:rsidP="002C16E4">
      <w:pPr>
        <w:pStyle w:val="1"/>
        <w:ind w:left="14"/>
      </w:pPr>
      <w:r>
        <w:rPr>
          <w:rFonts w:hint="cs"/>
          <w:rtl/>
        </w:rPr>
        <w:t>מדינות שאינן מתירות הפלרה</w:t>
      </w:r>
    </w:p>
    <w:p w:rsidR="002C16E4" w:rsidRDefault="009008DC" w:rsidP="004625C7">
      <w:pPr>
        <w:pStyle w:val="a3"/>
        <w:rPr>
          <w:rtl/>
        </w:rPr>
      </w:pPr>
      <w:r>
        <w:rPr>
          <w:rFonts w:hint="cs"/>
          <w:rtl/>
        </w:rPr>
        <w:t xml:space="preserve">במדינות המוצגות בפרק זה, שבדיה צ'כיה והולנד, תקנות מי השתייה או על-פי מדיניות משרד הבריאות או המשרד להגנת הסביבה, אינן מתירות הוספת פלואוריד למי השתייה. </w:t>
      </w:r>
    </w:p>
    <w:p w:rsidR="002C16E4" w:rsidRPr="00055187" w:rsidRDefault="002C16E4" w:rsidP="002C16E4">
      <w:pPr>
        <w:pStyle w:val="a3"/>
        <w:rPr>
          <w:rtl/>
        </w:rPr>
      </w:pPr>
    </w:p>
    <w:p w:rsidR="002C16E4" w:rsidRDefault="00B342F2" w:rsidP="002C16E4">
      <w:pPr>
        <w:pStyle w:val="11"/>
        <w:spacing w:before="120"/>
        <w:ind w:right="0"/>
        <w:rPr>
          <w:rtl/>
        </w:rPr>
      </w:pPr>
      <w:r>
        <w:rPr>
          <w:rFonts w:hint="cs"/>
          <w:rtl/>
        </w:rPr>
        <w:t>שבדיה</w:t>
      </w:r>
      <w:r w:rsidR="002C16E4">
        <w:rPr>
          <w:rFonts w:hint="cs"/>
          <w:rtl/>
        </w:rPr>
        <w:t xml:space="preserve"> </w:t>
      </w:r>
    </w:p>
    <w:p w:rsidR="002C16E4" w:rsidRDefault="002C16E4" w:rsidP="00241A5B">
      <w:pPr>
        <w:pStyle w:val="a3"/>
        <w:rPr>
          <w:rtl/>
        </w:rPr>
      </w:pPr>
      <w:r>
        <w:rPr>
          <w:rFonts w:hint="cs"/>
          <w:rtl/>
        </w:rPr>
        <w:t xml:space="preserve">הוספת </w:t>
      </w:r>
      <w:r w:rsidR="00241A5B">
        <w:rPr>
          <w:rFonts w:hint="cs"/>
          <w:rtl/>
        </w:rPr>
        <w:t>פלואוריד</w:t>
      </w:r>
      <w:r>
        <w:rPr>
          <w:rFonts w:hint="cs"/>
          <w:rtl/>
        </w:rPr>
        <w:t xml:space="preserve"> למי</w:t>
      </w:r>
      <w:r w:rsidR="009955FE">
        <w:rPr>
          <w:rFonts w:hint="cs"/>
          <w:rtl/>
        </w:rPr>
        <w:t xml:space="preserve"> </w:t>
      </w:r>
      <w:r>
        <w:rPr>
          <w:rFonts w:hint="cs"/>
          <w:rtl/>
        </w:rPr>
        <w:t>השת</w:t>
      </w:r>
      <w:r w:rsidR="009955FE">
        <w:rPr>
          <w:rFonts w:hint="cs"/>
          <w:rtl/>
        </w:rPr>
        <w:t>י</w:t>
      </w:r>
      <w:r>
        <w:rPr>
          <w:rFonts w:hint="cs"/>
          <w:rtl/>
        </w:rPr>
        <w:t xml:space="preserve">יה בשבדיה נאסרה בשנת 1971 </w:t>
      </w:r>
      <w:r w:rsidRPr="00241A5B">
        <w:rPr>
          <w:rFonts w:hint="cs"/>
          <w:rtl/>
        </w:rPr>
        <w:t xml:space="preserve">בעקבות ביטול חוק הפלרת המים אשר חוקק בשנת 1962. בשנת 1977 </w:t>
      </w:r>
      <w:r w:rsidR="009955FE" w:rsidRPr="00241A5B">
        <w:rPr>
          <w:rFonts w:hint="cs"/>
          <w:rtl/>
        </w:rPr>
        <w:t xml:space="preserve">הקימה </w:t>
      </w:r>
      <w:r w:rsidRPr="00241A5B">
        <w:rPr>
          <w:rFonts w:hint="cs"/>
          <w:rtl/>
        </w:rPr>
        <w:t>ממשלת שבדיה ועדה פרלמנטרית שמטרתה לבחון את האפשרות ל</w:t>
      </w:r>
      <w:r w:rsidR="009955FE" w:rsidRPr="00241A5B">
        <w:rPr>
          <w:rFonts w:hint="cs"/>
          <w:rtl/>
        </w:rPr>
        <w:t>שוב ול</w:t>
      </w:r>
      <w:r w:rsidRPr="00241A5B">
        <w:rPr>
          <w:rFonts w:hint="cs"/>
          <w:rtl/>
        </w:rPr>
        <w:t xml:space="preserve">התיר הוספת </w:t>
      </w:r>
      <w:r w:rsidR="00241A5B" w:rsidRPr="00241A5B">
        <w:rPr>
          <w:rFonts w:hint="cs"/>
          <w:rtl/>
        </w:rPr>
        <w:t>פלואוריד</w:t>
      </w:r>
      <w:r w:rsidRPr="00241A5B">
        <w:rPr>
          <w:rFonts w:hint="cs"/>
          <w:rtl/>
        </w:rPr>
        <w:t xml:space="preserve"> למי השת</w:t>
      </w:r>
      <w:r w:rsidR="001C22F2" w:rsidRPr="00241A5B">
        <w:rPr>
          <w:rFonts w:hint="cs"/>
          <w:rtl/>
        </w:rPr>
        <w:t>י</w:t>
      </w:r>
      <w:r w:rsidRPr="00241A5B">
        <w:rPr>
          <w:rFonts w:hint="cs"/>
          <w:rtl/>
        </w:rPr>
        <w:t>יה. בשנת 1981 הוועדה קבעה כי הפלרת מי</w:t>
      </w:r>
      <w:r w:rsidR="009955FE" w:rsidRPr="00241A5B">
        <w:rPr>
          <w:rFonts w:hint="cs"/>
          <w:rtl/>
        </w:rPr>
        <w:t xml:space="preserve"> ה</w:t>
      </w:r>
      <w:r w:rsidRPr="00241A5B">
        <w:rPr>
          <w:rFonts w:hint="cs"/>
          <w:rtl/>
        </w:rPr>
        <w:t>שתי</w:t>
      </w:r>
      <w:r w:rsidR="009955FE" w:rsidRPr="00241A5B">
        <w:rPr>
          <w:rFonts w:hint="cs"/>
          <w:rtl/>
        </w:rPr>
        <w:t>י</w:t>
      </w:r>
      <w:r w:rsidRPr="00241A5B">
        <w:rPr>
          <w:rFonts w:hint="cs"/>
          <w:rtl/>
        </w:rPr>
        <w:t xml:space="preserve">ה היא </w:t>
      </w:r>
      <w:r w:rsidR="00E72AD2" w:rsidRPr="00241A5B">
        <w:rPr>
          <w:rFonts w:hint="cs"/>
          <w:rtl/>
        </w:rPr>
        <w:t xml:space="preserve">פעולה </w:t>
      </w:r>
      <w:r w:rsidRPr="00241A5B">
        <w:rPr>
          <w:rFonts w:hint="cs"/>
          <w:rtl/>
        </w:rPr>
        <w:t xml:space="preserve">בלתי מתאימה בשבדיה. מאז תחילת שנות ה-80, הדיון הציבורי בנושא </w:t>
      </w:r>
      <w:r w:rsidR="009955FE" w:rsidRPr="00241A5B">
        <w:rPr>
          <w:rFonts w:hint="cs"/>
          <w:rtl/>
        </w:rPr>
        <w:t xml:space="preserve">זה </w:t>
      </w:r>
      <w:r w:rsidRPr="00241A5B">
        <w:rPr>
          <w:rFonts w:hint="cs"/>
          <w:rtl/>
        </w:rPr>
        <w:t xml:space="preserve">בשבדיה היה </w:t>
      </w:r>
      <w:r w:rsidR="009955FE" w:rsidRPr="00241A5B">
        <w:rPr>
          <w:rFonts w:hint="cs"/>
          <w:rtl/>
        </w:rPr>
        <w:t>מצומצם</w:t>
      </w:r>
      <w:r w:rsidRPr="00241A5B">
        <w:rPr>
          <w:rFonts w:hint="cs"/>
          <w:rtl/>
        </w:rPr>
        <w:t xml:space="preserve">, ולא הומצאו עוד ראיות מדעיות בנושא בריאות השן </w:t>
      </w:r>
      <w:r w:rsidR="009955FE" w:rsidRPr="00241A5B">
        <w:rPr>
          <w:rFonts w:hint="cs"/>
          <w:rtl/>
        </w:rPr>
        <w:t>אשר שינו</w:t>
      </w:r>
      <w:r w:rsidRPr="00241A5B">
        <w:rPr>
          <w:rFonts w:hint="cs"/>
          <w:rtl/>
        </w:rPr>
        <w:t xml:space="preserve"> את החלטת</w:t>
      </w:r>
      <w:r>
        <w:rPr>
          <w:rFonts w:hint="cs"/>
          <w:rtl/>
        </w:rPr>
        <w:t xml:space="preserve"> הוועדה. </w:t>
      </w:r>
    </w:p>
    <w:p w:rsidR="002C16E4" w:rsidRDefault="002C16E4" w:rsidP="00E72AD2">
      <w:pPr>
        <w:pStyle w:val="a3"/>
        <w:rPr>
          <w:rtl/>
        </w:rPr>
      </w:pPr>
      <w:r>
        <w:rPr>
          <w:rFonts w:hint="cs"/>
          <w:rtl/>
        </w:rPr>
        <w:t>על-פי תקנות מי השת</w:t>
      </w:r>
      <w:r w:rsidR="009955FE">
        <w:rPr>
          <w:rFonts w:hint="cs"/>
          <w:rtl/>
        </w:rPr>
        <w:t>י</w:t>
      </w:r>
      <w:r>
        <w:rPr>
          <w:rFonts w:hint="cs"/>
          <w:rtl/>
        </w:rPr>
        <w:t>יה (</w:t>
      </w:r>
      <w:r>
        <w:t>Drinking Water Ordinance SLVFS2001:30</w:t>
      </w:r>
      <w:r w:rsidR="004625C7">
        <w:rPr>
          <w:rFonts w:hint="cs"/>
          <w:rtl/>
        </w:rPr>
        <w:t>)</w:t>
      </w:r>
      <w:r>
        <w:rPr>
          <w:rFonts w:hint="cs"/>
          <w:rtl/>
        </w:rPr>
        <w:t>, מים נחשבים בלתי ראויים אם רמת ה</w:t>
      </w:r>
      <w:r w:rsidR="00241A5B">
        <w:rPr>
          <w:rFonts w:hint="cs"/>
          <w:rtl/>
        </w:rPr>
        <w:t>פלואוריד</w:t>
      </w:r>
      <w:r>
        <w:rPr>
          <w:rFonts w:hint="cs"/>
          <w:rtl/>
        </w:rPr>
        <w:t xml:space="preserve"> בהם עולה על 1.5 מ"ג לליטר. תקנות מי</w:t>
      </w:r>
      <w:r w:rsidR="009955FE">
        <w:rPr>
          <w:rFonts w:hint="cs"/>
          <w:rtl/>
        </w:rPr>
        <w:t xml:space="preserve"> </w:t>
      </w:r>
      <w:r>
        <w:rPr>
          <w:rFonts w:hint="cs"/>
          <w:rtl/>
        </w:rPr>
        <w:t>השתי</w:t>
      </w:r>
      <w:r w:rsidR="009955FE">
        <w:rPr>
          <w:rFonts w:hint="cs"/>
          <w:rtl/>
        </w:rPr>
        <w:t>י</w:t>
      </w:r>
      <w:r>
        <w:rPr>
          <w:rFonts w:hint="cs"/>
          <w:rtl/>
        </w:rPr>
        <w:t xml:space="preserve">ה בשבדיה הן יישום של הדירקטיבה האירופית </w:t>
      </w:r>
      <w:r w:rsidR="009955FE">
        <w:rPr>
          <w:rFonts w:hint="cs"/>
          <w:rtl/>
        </w:rPr>
        <w:t xml:space="preserve">שהוזכרה </w:t>
      </w:r>
      <w:r>
        <w:rPr>
          <w:rFonts w:hint="cs"/>
          <w:rtl/>
        </w:rPr>
        <w:t>לעיל, ו</w:t>
      </w:r>
      <w:r w:rsidR="004625C7">
        <w:rPr>
          <w:rFonts w:hint="cs"/>
          <w:rtl/>
        </w:rPr>
        <w:t xml:space="preserve">הן </w:t>
      </w:r>
      <w:r>
        <w:rPr>
          <w:rFonts w:hint="cs"/>
          <w:rtl/>
        </w:rPr>
        <w:t>נכנסו לתוקף ב-25 בדצמבר 2003.</w:t>
      </w:r>
      <w:r>
        <w:rPr>
          <w:rStyle w:val="a6"/>
          <w:rtl/>
        </w:rPr>
        <w:footnoteReference w:id="41"/>
      </w:r>
    </w:p>
    <w:p w:rsidR="002C16E4" w:rsidRDefault="002C16E4" w:rsidP="002C16E4">
      <w:pPr>
        <w:pStyle w:val="a3"/>
        <w:rPr>
          <w:rtl/>
        </w:rPr>
      </w:pPr>
    </w:p>
    <w:p w:rsidR="002C16E4" w:rsidRDefault="002C16E4" w:rsidP="002C16E4">
      <w:pPr>
        <w:pStyle w:val="11"/>
        <w:spacing w:before="120"/>
        <w:ind w:right="0"/>
        <w:rPr>
          <w:rtl/>
        </w:rPr>
      </w:pPr>
      <w:r>
        <w:rPr>
          <w:rFonts w:hint="cs"/>
          <w:rtl/>
        </w:rPr>
        <w:t>צ'כיה</w:t>
      </w:r>
      <w:r w:rsidR="0076378E">
        <w:rPr>
          <w:rStyle w:val="a6"/>
          <w:rtl/>
        </w:rPr>
        <w:footnoteReference w:id="42"/>
      </w:r>
    </w:p>
    <w:p w:rsidR="002C16E4" w:rsidRPr="003C7222" w:rsidRDefault="002C16E4" w:rsidP="009955FE">
      <w:pPr>
        <w:pStyle w:val="a3"/>
        <w:rPr>
          <w:rtl/>
        </w:rPr>
      </w:pPr>
      <w:r>
        <w:rPr>
          <w:rFonts w:hint="cs"/>
          <w:rtl/>
        </w:rPr>
        <w:t>בשנים 1960</w:t>
      </w:r>
      <w:r w:rsidR="009955FE">
        <w:rPr>
          <w:rFonts w:hint="eastAsia"/>
          <w:rtl/>
        </w:rPr>
        <w:t>–</w:t>
      </w:r>
      <w:r>
        <w:rPr>
          <w:rFonts w:hint="cs"/>
          <w:rtl/>
        </w:rPr>
        <w:t xml:space="preserve">1990 היתה נהוגה בצ'כיה (צ'כוסלובקיה דאז) הוספה מלאכותית של </w:t>
      </w:r>
      <w:r w:rsidR="00241A5B">
        <w:rPr>
          <w:rFonts w:hint="cs"/>
          <w:rtl/>
        </w:rPr>
        <w:t>פלואוריד</w:t>
      </w:r>
      <w:r>
        <w:rPr>
          <w:rFonts w:hint="cs"/>
          <w:rtl/>
        </w:rPr>
        <w:t xml:space="preserve"> למי השתי</w:t>
      </w:r>
      <w:r w:rsidR="009955FE">
        <w:rPr>
          <w:rFonts w:hint="cs"/>
          <w:rtl/>
        </w:rPr>
        <w:t>י</w:t>
      </w:r>
      <w:r>
        <w:rPr>
          <w:rFonts w:hint="cs"/>
          <w:rtl/>
        </w:rPr>
        <w:t xml:space="preserve">ה </w:t>
      </w:r>
      <w:r w:rsidR="009955FE">
        <w:rPr>
          <w:rFonts w:hint="cs"/>
          <w:rtl/>
        </w:rPr>
        <w:t xml:space="preserve">שצרכה </w:t>
      </w:r>
      <w:r>
        <w:rPr>
          <w:rFonts w:hint="cs"/>
          <w:rtl/>
        </w:rPr>
        <w:t>כשליש מהאוכלוסי</w:t>
      </w:r>
      <w:r w:rsidR="009955FE">
        <w:rPr>
          <w:rFonts w:hint="cs"/>
          <w:rtl/>
        </w:rPr>
        <w:t>י</w:t>
      </w:r>
      <w:r>
        <w:rPr>
          <w:rFonts w:hint="cs"/>
          <w:rtl/>
        </w:rPr>
        <w:t xml:space="preserve">ה. מאז שנת 1993 הופסקה לחלוטין הוספת </w:t>
      </w:r>
      <w:r w:rsidR="00241A5B">
        <w:rPr>
          <w:rFonts w:hint="cs"/>
          <w:rtl/>
        </w:rPr>
        <w:t>פלואוריד</w:t>
      </w:r>
      <w:r>
        <w:rPr>
          <w:rFonts w:hint="cs"/>
          <w:rtl/>
        </w:rPr>
        <w:t xml:space="preserve"> מלאכותית למים, ואין כוונה להתיר זאת מחדש </w:t>
      </w:r>
      <w:r w:rsidRPr="003C7222">
        <w:rPr>
          <w:rFonts w:hint="cs"/>
          <w:rtl/>
        </w:rPr>
        <w:t xml:space="preserve">בעתיד. הסיבות להפסקת ההפלרה, כפי שהוגדרו </w:t>
      </w:r>
      <w:r>
        <w:rPr>
          <w:rFonts w:hint="cs"/>
          <w:rtl/>
        </w:rPr>
        <w:t xml:space="preserve">על-ידי </w:t>
      </w:r>
      <w:r w:rsidRPr="003C7222">
        <w:rPr>
          <w:rtl/>
        </w:rPr>
        <w:t>המחלקה לשמירה על המים במשרד להגנת הסביבה של צ'כיה</w:t>
      </w:r>
      <w:r w:rsidRPr="003C7222">
        <w:rPr>
          <w:rFonts w:hint="cs"/>
          <w:rtl/>
        </w:rPr>
        <w:t>, הן כדלהלן:</w:t>
      </w:r>
    </w:p>
    <w:p w:rsidR="002C16E4" w:rsidRDefault="002C16E4" w:rsidP="009955FE">
      <w:pPr>
        <w:pStyle w:val="a3"/>
        <w:numPr>
          <w:ilvl w:val="0"/>
          <w:numId w:val="13"/>
        </w:numPr>
        <w:rPr>
          <w:rtl/>
        </w:rPr>
      </w:pPr>
      <w:r w:rsidRPr="003C7222">
        <w:rPr>
          <w:rFonts w:hint="cs"/>
          <w:rtl/>
        </w:rPr>
        <w:t xml:space="preserve">חשיפה </w:t>
      </w:r>
      <w:r w:rsidR="009955FE">
        <w:rPr>
          <w:rFonts w:hint="cs"/>
          <w:rtl/>
        </w:rPr>
        <w:t xml:space="preserve">רבה יותר של הציבור </w:t>
      </w:r>
      <w:r w:rsidRPr="003C7222">
        <w:rPr>
          <w:rFonts w:hint="cs"/>
          <w:rtl/>
        </w:rPr>
        <w:t>ל</w:t>
      </w:r>
      <w:r w:rsidR="00241A5B">
        <w:rPr>
          <w:rFonts w:hint="cs"/>
          <w:rtl/>
        </w:rPr>
        <w:t>פלואוריד</w:t>
      </w:r>
      <w:r w:rsidRPr="003C7222">
        <w:rPr>
          <w:rFonts w:hint="cs"/>
          <w:rtl/>
        </w:rPr>
        <w:t xml:space="preserve"> ממקורות אחרים מלבד מי</w:t>
      </w:r>
      <w:r w:rsidR="009955FE">
        <w:rPr>
          <w:rFonts w:hint="cs"/>
          <w:rtl/>
        </w:rPr>
        <w:t xml:space="preserve"> </w:t>
      </w:r>
      <w:r w:rsidRPr="003C7222">
        <w:rPr>
          <w:rFonts w:hint="cs"/>
          <w:rtl/>
        </w:rPr>
        <w:t>השת</w:t>
      </w:r>
      <w:r w:rsidR="009955FE">
        <w:rPr>
          <w:rFonts w:hint="cs"/>
          <w:rtl/>
        </w:rPr>
        <w:t>י</w:t>
      </w:r>
      <w:r w:rsidRPr="003C7222">
        <w:rPr>
          <w:rFonts w:hint="cs"/>
          <w:rtl/>
        </w:rPr>
        <w:t xml:space="preserve">יה, כפי שאושר </w:t>
      </w:r>
      <w:r w:rsidR="009955FE">
        <w:rPr>
          <w:rFonts w:hint="cs"/>
          <w:rtl/>
        </w:rPr>
        <w:t xml:space="preserve">בכמה </w:t>
      </w:r>
      <w:r>
        <w:rPr>
          <w:rFonts w:hint="cs"/>
          <w:rtl/>
        </w:rPr>
        <w:t>מחקרים במדינה בשנות ה-80.</w:t>
      </w:r>
    </w:p>
    <w:p w:rsidR="002C16E4" w:rsidRDefault="002C16E4" w:rsidP="00241A5B">
      <w:pPr>
        <w:pStyle w:val="a3"/>
        <w:numPr>
          <w:ilvl w:val="0"/>
          <w:numId w:val="13"/>
        </w:numPr>
      </w:pPr>
      <w:r>
        <w:rPr>
          <w:rFonts w:hint="cs"/>
          <w:rtl/>
        </w:rPr>
        <w:t xml:space="preserve">מידע חדש בנוגע לסיכונים </w:t>
      </w:r>
      <w:r w:rsidRPr="00241A5B">
        <w:rPr>
          <w:rFonts w:hint="cs"/>
          <w:rtl/>
        </w:rPr>
        <w:t xml:space="preserve">בריאותיים </w:t>
      </w:r>
      <w:r w:rsidR="004625C7" w:rsidRPr="00241A5B">
        <w:rPr>
          <w:rFonts w:hint="cs"/>
          <w:rtl/>
        </w:rPr>
        <w:t xml:space="preserve">עקב צריכת </w:t>
      </w:r>
      <w:r w:rsidR="00241A5B" w:rsidRPr="00241A5B">
        <w:rPr>
          <w:rFonts w:hint="cs"/>
          <w:rtl/>
        </w:rPr>
        <w:t>פלואוריד</w:t>
      </w:r>
      <w:r w:rsidR="004625C7" w:rsidRPr="00241A5B">
        <w:rPr>
          <w:rFonts w:hint="cs"/>
          <w:rtl/>
        </w:rPr>
        <w:t xml:space="preserve"> </w:t>
      </w:r>
      <w:r w:rsidRPr="00241A5B">
        <w:rPr>
          <w:rFonts w:hint="cs"/>
          <w:rtl/>
        </w:rPr>
        <w:t>(</w:t>
      </w:r>
      <w:r>
        <w:rPr>
          <w:rFonts w:hint="cs"/>
          <w:rtl/>
        </w:rPr>
        <w:t>מלבד פלואורוזיס)</w:t>
      </w:r>
      <w:r w:rsidR="00E72AD2">
        <w:rPr>
          <w:rFonts w:hint="cs"/>
          <w:rtl/>
        </w:rPr>
        <w:t>,</w:t>
      </w:r>
      <w:r>
        <w:rPr>
          <w:rFonts w:hint="cs"/>
          <w:rtl/>
        </w:rPr>
        <w:t xml:space="preserve"> אשר פורסם בשנות ה-80.</w:t>
      </w:r>
    </w:p>
    <w:p w:rsidR="002C16E4" w:rsidRDefault="002C16E4" w:rsidP="009955FE">
      <w:pPr>
        <w:pStyle w:val="a3"/>
        <w:numPr>
          <w:ilvl w:val="0"/>
          <w:numId w:val="13"/>
        </w:numPr>
      </w:pPr>
      <w:r>
        <w:rPr>
          <w:rFonts w:hint="cs"/>
          <w:rtl/>
        </w:rPr>
        <w:t xml:space="preserve">בעיות טכניות באספקת המינון המיטבי של </w:t>
      </w:r>
      <w:r w:rsidR="00241A5B">
        <w:rPr>
          <w:rFonts w:hint="cs"/>
          <w:rtl/>
        </w:rPr>
        <w:t>פלואוריד</w:t>
      </w:r>
      <w:r>
        <w:rPr>
          <w:rFonts w:hint="cs"/>
          <w:rtl/>
        </w:rPr>
        <w:t xml:space="preserve"> במי השתי</w:t>
      </w:r>
      <w:r w:rsidR="009955FE">
        <w:rPr>
          <w:rFonts w:hint="cs"/>
          <w:rtl/>
        </w:rPr>
        <w:t>י</w:t>
      </w:r>
      <w:r>
        <w:rPr>
          <w:rFonts w:hint="cs"/>
          <w:rtl/>
        </w:rPr>
        <w:t>ה.</w:t>
      </w:r>
    </w:p>
    <w:p w:rsidR="002C16E4" w:rsidRDefault="009955FE" w:rsidP="009955FE">
      <w:pPr>
        <w:pStyle w:val="a3"/>
        <w:numPr>
          <w:ilvl w:val="0"/>
          <w:numId w:val="13"/>
        </w:numPr>
      </w:pPr>
      <w:r>
        <w:rPr>
          <w:rFonts w:hint="cs"/>
          <w:rtl/>
        </w:rPr>
        <w:t>חוסר היעילות שב</w:t>
      </w:r>
      <w:r w:rsidR="002C16E4">
        <w:rPr>
          <w:rFonts w:hint="cs"/>
          <w:rtl/>
        </w:rPr>
        <w:t>הפלרה</w:t>
      </w:r>
      <w:r>
        <w:rPr>
          <w:rFonts w:hint="cs"/>
          <w:rtl/>
        </w:rPr>
        <w:t xml:space="preserve">, </w:t>
      </w:r>
      <w:r w:rsidR="002C16E4">
        <w:rPr>
          <w:rFonts w:hint="cs"/>
          <w:rtl/>
        </w:rPr>
        <w:t xml:space="preserve">שכן רק </w:t>
      </w:r>
      <w:r>
        <w:rPr>
          <w:rFonts w:hint="cs"/>
          <w:rtl/>
        </w:rPr>
        <w:t>1%</w:t>
      </w:r>
      <w:r>
        <w:rPr>
          <w:rFonts w:hint="eastAsia"/>
          <w:rtl/>
        </w:rPr>
        <w:t>–2</w:t>
      </w:r>
      <w:r>
        <w:rPr>
          <w:rFonts w:hint="cs"/>
          <w:rtl/>
        </w:rPr>
        <w:t>%</w:t>
      </w:r>
      <w:r w:rsidR="002C16E4">
        <w:rPr>
          <w:rFonts w:hint="cs"/>
          <w:rtl/>
        </w:rPr>
        <w:t xml:space="preserve"> ממי הברז משמשים </w:t>
      </w:r>
      <w:r>
        <w:rPr>
          <w:rFonts w:hint="cs"/>
          <w:rtl/>
        </w:rPr>
        <w:t>ל</w:t>
      </w:r>
      <w:r w:rsidR="002C16E4">
        <w:rPr>
          <w:rFonts w:hint="cs"/>
          <w:rtl/>
        </w:rPr>
        <w:t xml:space="preserve">שתייה או </w:t>
      </w:r>
      <w:r>
        <w:rPr>
          <w:rFonts w:hint="cs"/>
          <w:rtl/>
        </w:rPr>
        <w:t>ל</w:t>
      </w:r>
      <w:r w:rsidR="002C16E4">
        <w:rPr>
          <w:rFonts w:hint="cs"/>
          <w:rtl/>
        </w:rPr>
        <w:t xml:space="preserve">בישול. </w:t>
      </w:r>
    </w:p>
    <w:p w:rsidR="002C16E4" w:rsidRDefault="002C16E4" w:rsidP="002C16E4">
      <w:pPr>
        <w:pStyle w:val="a3"/>
        <w:numPr>
          <w:ilvl w:val="0"/>
          <w:numId w:val="13"/>
        </w:numPr>
      </w:pPr>
      <w:r>
        <w:rPr>
          <w:rFonts w:hint="cs"/>
          <w:rtl/>
        </w:rPr>
        <w:t>עומס על מערכות אקולוגיות (מים עיליים).</w:t>
      </w:r>
    </w:p>
    <w:p w:rsidR="002C16E4" w:rsidRDefault="009955FE" w:rsidP="002C16E4">
      <w:pPr>
        <w:pStyle w:val="a3"/>
        <w:numPr>
          <w:ilvl w:val="0"/>
          <w:numId w:val="13"/>
        </w:numPr>
      </w:pPr>
      <w:r>
        <w:rPr>
          <w:rFonts w:hint="cs"/>
          <w:rtl/>
        </w:rPr>
        <w:t>העובדה ש</w:t>
      </w:r>
      <w:r w:rsidR="002C16E4">
        <w:rPr>
          <w:rFonts w:hint="cs"/>
          <w:rtl/>
        </w:rPr>
        <w:t xml:space="preserve">הוספת </w:t>
      </w:r>
      <w:r w:rsidR="00241A5B">
        <w:rPr>
          <w:rFonts w:hint="cs"/>
          <w:rtl/>
        </w:rPr>
        <w:t>פלואוריד</w:t>
      </w:r>
      <w:r w:rsidR="002C16E4">
        <w:rPr>
          <w:rFonts w:hint="cs"/>
          <w:rtl/>
        </w:rPr>
        <w:t xml:space="preserve"> למי השתי</w:t>
      </w:r>
      <w:r>
        <w:rPr>
          <w:rFonts w:hint="cs"/>
          <w:rtl/>
        </w:rPr>
        <w:t>י</w:t>
      </w:r>
      <w:r w:rsidR="002C16E4">
        <w:rPr>
          <w:rFonts w:hint="cs"/>
          <w:rtl/>
        </w:rPr>
        <w:t xml:space="preserve">ה היא למעשה כפייה של צריכת חומר תרופתי. </w:t>
      </w:r>
    </w:p>
    <w:p w:rsidR="002C16E4" w:rsidRDefault="002C16E4" w:rsidP="009955FE">
      <w:pPr>
        <w:pStyle w:val="a3"/>
        <w:rPr>
          <w:rtl/>
        </w:rPr>
      </w:pPr>
      <w:r>
        <w:rPr>
          <w:rFonts w:hint="cs"/>
          <w:rtl/>
        </w:rPr>
        <w:t>בתקנות איכות מי השתי</w:t>
      </w:r>
      <w:r w:rsidR="004625C7">
        <w:rPr>
          <w:rFonts w:hint="cs"/>
          <w:rtl/>
        </w:rPr>
        <w:t>י</w:t>
      </w:r>
      <w:r>
        <w:rPr>
          <w:rFonts w:hint="cs"/>
          <w:rtl/>
        </w:rPr>
        <w:t xml:space="preserve">ה שהתקבלו בשנת 1990 </w:t>
      </w:r>
      <w:r w:rsidRPr="00342255">
        <w:rPr>
          <w:rFonts w:hint="cs"/>
          <w:b/>
          <w:bCs/>
          <w:rtl/>
        </w:rPr>
        <w:t>לא נאסרה</w:t>
      </w:r>
      <w:r>
        <w:rPr>
          <w:rFonts w:hint="cs"/>
          <w:rtl/>
        </w:rPr>
        <w:t xml:space="preserve"> הוספת </w:t>
      </w:r>
      <w:r w:rsidR="00241A5B">
        <w:rPr>
          <w:rFonts w:hint="cs"/>
          <w:rtl/>
        </w:rPr>
        <w:t>פלואוריד</w:t>
      </w:r>
      <w:r>
        <w:rPr>
          <w:rFonts w:hint="cs"/>
          <w:rtl/>
        </w:rPr>
        <w:t xml:space="preserve"> למי השת</w:t>
      </w:r>
      <w:r w:rsidR="009955FE">
        <w:rPr>
          <w:rFonts w:hint="cs"/>
          <w:rtl/>
        </w:rPr>
        <w:t>י</w:t>
      </w:r>
      <w:r>
        <w:rPr>
          <w:rFonts w:hint="cs"/>
          <w:rtl/>
        </w:rPr>
        <w:t xml:space="preserve">יה, אולם זו גם לא נדרשה, </w:t>
      </w:r>
      <w:r w:rsidR="009955FE">
        <w:rPr>
          <w:rFonts w:hint="cs"/>
          <w:rtl/>
        </w:rPr>
        <w:t>ו</w:t>
      </w:r>
      <w:r>
        <w:rPr>
          <w:rFonts w:hint="cs"/>
          <w:rtl/>
        </w:rPr>
        <w:t>ספקי המים הפסיקו בתהליך ההפלרה מסיבות כלכליות בלבד.</w:t>
      </w:r>
    </w:p>
    <w:p w:rsidR="002C16E4" w:rsidRDefault="002C16E4" w:rsidP="009955FE">
      <w:pPr>
        <w:pStyle w:val="a3"/>
        <w:rPr>
          <w:rtl/>
        </w:rPr>
      </w:pPr>
      <w:r>
        <w:rPr>
          <w:rFonts w:hint="cs"/>
          <w:rtl/>
        </w:rPr>
        <w:t xml:space="preserve">כיום הוספת </w:t>
      </w:r>
      <w:r w:rsidR="00241A5B">
        <w:rPr>
          <w:rFonts w:hint="cs"/>
          <w:rtl/>
        </w:rPr>
        <w:t>פלואוריד</w:t>
      </w:r>
      <w:r>
        <w:rPr>
          <w:rFonts w:hint="cs"/>
          <w:rtl/>
        </w:rPr>
        <w:t xml:space="preserve"> למי השת</w:t>
      </w:r>
      <w:r w:rsidR="009955FE">
        <w:rPr>
          <w:rFonts w:hint="cs"/>
          <w:rtl/>
        </w:rPr>
        <w:t>י</w:t>
      </w:r>
      <w:r>
        <w:rPr>
          <w:rFonts w:hint="cs"/>
          <w:rtl/>
        </w:rPr>
        <w:t>יה אינה מנויה ברשימת האמצעים המותרים בעת טיפול במי שתי</w:t>
      </w:r>
      <w:r w:rsidR="009955FE">
        <w:rPr>
          <w:rFonts w:hint="cs"/>
          <w:rtl/>
        </w:rPr>
        <w:t>י</w:t>
      </w:r>
      <w:r>
        <w:rPr>
          <w:rFonts w:hint="cs"/>
          <w:rtl/>
        </w:rPr>
        <w:t xml:space="preserve">ה, ומכאן שהיא </w:t>
      </w:r>
      <w:r w:rsidRPr="00342255">
        <w:rPr>
          <w:rFonts w:hint="cs"/>
          <w:b/>
          <w:bCs/>
          <w:rtl/>
        </w:rPr>
        <w:t>אינה מותרת</w:t>
      </w:r>
      <w:r>
        <w:rPr>
          <w:rFonts w:hint="cs"/>
          <w:rtl/>
        </w:rPr>
        <w:t xml:space="preserve">. באופן תיאורטי, כל חברת מים יכולה לעתור למשרד הבריאות בבקשה להוסיף </w:t>
      </w:r>
      <w:r w:rsidR="00241A5B">
        <w:rPr>
          <w:rFonts w:hint="cs"/>
          <w:rtl/>
        </w:rPr>
        <w:t>פלואוריד</w:t>
      </w:r>
      <w:r>
        <w:rPr>
          <w:rFonts w:hint="cs"/>
          <w:rtl/>
        </w:rPr>
        <w:t xml:space="preserve"> למים, אולם על-פי המשרד להגנת הסביבה</w:t>
      </w:r>
      <w:r w:rsidR="009955FE">
        <w:rPr>
          <w:rFonts w:hint="cs"/>
          <w:rtl/>
        </w:rPr>
        <w:t xml:space="preserve"> בצ'כיה</w:t>
      </w:r>
      <w:r>
        <w:rPr>
          <w:rFonts w:hint="cs"/>
          <w:rtl/>
        </w:rPr>
        <w:t xml:space="preserve">, סביר </w:t>
      </w:r>
      <w:r w:rsidR="009955FE">
        <w:rPr>
          <w:rFonts w:hint="cs"/>
          <w:rtl/>
        </w:rPr>
        <w:t>ש</w:t>
      </w:r>
      <w:r>
        <w:rPr>
          <w:rFonts w:hint="cs"/>
          <w:rtl/>
        </w:rPr>
        <w:t>בקשה כזו לא תאושר.</w:t>
      </w:r>
      <w:r>
        <w:rPr>
          <w:rStyle w:val="a6"/>
          <w:rtl/>
        </w:rPr>
        <w:footnoteReference w:id="43"/>
      </w:r>
    </w:p>
    <w:p w:rsidR="002C16E4" w:rsidRPr="00611E57" w:rsidRDefault="002C16E4" w:rsidP="002C16E4">
      <w:pPr>
        <w:pStyle w:val="a3"/>
        <w:rPr>
          <w:rtl/>
        </w:rPr>
      </w:pPr>
    </w:p>
    <w:p w:rsidR="002C16E4" w:rsidRDefault="002C16E4" w:rsidP="002C16E4">
      <w:pPr>
        <w:pStyle w:val="11"/>
        <w:spacing w:before="120"/>
        <w:ind w:right="0"/>
        <w:rPr>
          <w:rtl/>
        </w:rPr>
      </w:pPr>
      <w:r>
        <w:rPr>
          <w:rFonts w:hint="cs"/>
          <w:rtl/>
        </w:rPr>
        <w:t>הולנד</w:t>
      </w:r>
      <w:r w:rsidR="0076378E">
        <w:rPr>
          <w:rStyle w:val="a6"/>
          <w:rtl/>
        </w:rPr>
        <w:footnoteReference w:id="44"/>
      </w:r>
    </w:p>
    <w:p w:rsidR="002C16E4" w:rsidRDefault="002C16E4" w:rsidP="009008DC">
      <w:pPr>
        <w:pStyle w:val="1"/>
        <w:numPr>
          <w:ilvl w:val="0"/>
          <w:numId w:val="0"/>
        </w:numPr>
        <w:ind w:left="4"/>
        <w:rPr>
          <w:rtl/>
        </w:rPr>
      </w:pPr>
      <w:r>
        <w:rPr>
          <w:rFonts w:hint="cs"/>
          <w:b w:val="0"/>
          <w:bCs w:val="0"/>
          <w:sz w:val="24"/>
          <w:szCs w:val="24"/>
          <w:rtl/>
        </w:rPr>
        <w:t>בעקבות דיון צ</w:t>
      </w:r>
      <w:r w:rsidR="009008DC">
        <w:rPr>
          <w:rFonts w:hint="cs"/>
          <w:b w:val="0"/>
          <w:bCs w:val="0"/>
          <w:sz w:val="24"/>
          <w:szCs w:val="24"/>
          <w:rtl/>
        </w:rPr>
        <w:t xml:space="preserve">יבורי נרחב בשנות ה-70 של המאה ה-20, המדיניות הנוהגת כיום בהולנד היא שאין הוספה מלאכותית של פלואוריד למי השתייה. </w:t>
      </w:r>
      <w:r>
        <w:rPr>
          <w:rFonts w:hint="cs"/>
          <w:b w:val="0"/>
          <w:bCs w:val="0"/>
          <w:sz w:val="24"/>
          <w:szCs w:val="24"/>
          <w:rtl/>
        </w:rPr>
        <w:t>החלטה זו תואמת את המדיניות הכללית הנהוגה בהולנד בנושא מי השתי</w:t>
      </w:r>
      <w:r w:rsidR="009955FE">
        <w:rPr>
          <w:rFonts w:hint="cs"/>
          <w:b w:val="0"/>
          <w:bCs w:val="0"/>
          <w:sz w:val="24"/>
          <w:szCs w:val="24"/>
          <w:rtl/>
        </w:rPr>
        <w:t>י</w:t>
      </w:r>
      <w:r>
        <w:rPr>
          <w:rFonts w:hint="cs"/>
          <w:b w:val="0"/>
          <w:bCs w:val="0"/>
          <w:sz w:val="24"/>
          <w:szCs w:val="24"/>
          <w:rtl/>
        </w:rPr>
        <w:t xml:space="preserve">ה, </w:t>
      </w:r>
      <w:r w:rsidR="009955FE">
        <w:rPr>
          <w:rFonts w:hint="cs"/>
          <w:b w:val="0"/>
          <w:bCs w:val="0"/>
          <w:sz w:val="24"/>
          <w:szCs w:val="24"/>
          <w:rtl/>
        </w:rPr>
        <w:t>ו</w:t>
      </w:r>
      <w:r>
        <w:rPr>
          <w:rFonts w:hint="cs"/>
          <w:b w:val="0"/>
          <w:bCs w:val="0"/>
          <w:sz w:val="24"/>
          <w:szCs w:val="24"/>
          <w:rtl/>
        </w:rPr>
        <w:t>לפיה אין להוסיף כימיקלים למי השתי</w:t>
      </w:r>
      <w:r w:rsidR="009955FE">
        <w:rPr>
          <w:rFonts w:hint="cs"/>
          <w:b w:val="0"/>
          <w:bCs w:val="0"/>
          <w:sz w:val="24"/>
          <w:szCs w:val="24"/>
          <w:rtl/>
        </w:rPr>
        <w:t>י</w:t>
      </w:r>
      <w:r>
        <w:rPr>
          <w:rFonts w:hint="cs"/>
          <w:b w:val="0"/>
          <w:bCs w:val="0"/>
          <w:sz w:val="24"/>
          <w:szCs w:val="24"/>
          <w:rtl/>
        </w:rPr>
        <w:t xml:space="preserve">ה שלא לצורך. </w:t>
      </w:r>
      <w:r w:rsidRPr="002C0FD6">
        <w:rPr>
          <w:rFonts w:hint="cs"/>
          <w:b w:val="0"/>
          <w:bCs w:val="0"/>
          <w:sz w:val="24"/>
          <w:szCs w:val="24"/>
          <w:rtl/>
        </w:rPr>
        <w:t>עוד יש לציין כי</w:t>
      </w:r>
      <w:r>
        <w:rPr>
          <w:rFonts w:hint="cs"/>
          <w:rtl/>
        </w:rPr>
        <w:t xml:space="preserve"> </w:t>
      </w:r>
      <w:r>
        <w:rPr>
          <w:rFonts w:hint="cs"/>
          <w:b w:val="0"/>
          <w:bCs w:val="0"/>
          <w:sz w:val="24"/>
          <w:szCs w:val="24"/>
          <w:rtl/>
        </w:rPr>
        <w:t>על-פי תקנות המים בהולנד, מים אינם נחשבים ראויים לשת</w:t>
      </w:r>
      <w:r w:rsidR="009955FE">
        <w:rPr>
          <w:rFonts w:hint="cs"/>
          <w:b w:val="0"/>
          <w:bCs w:val="0"/>
          <w:sz w:val="24"/>
          <w:szCs w:val="24"/>
          <w:rtl/>
        </w:rPr>
        <w:t>י</w:t>
      </w:r>
      <w:r>
        <w:rPr>
          <w:rFonts w:hint="cs"/>
          <w:b w:val="0"/>
          <w:bCs w:val="0"/>
          <w:sz w:val="24"/>
          <w:szCs w:val="24"/>
          <w:rtl/>
        </w:rPr>
        <w:t>יה אם ריכוז ה</w:t>
      </w:r>
      <w:r w:rsidR="00241A5B">
        <w:rPr>
          <w:rFonts w:hint="cs"/>
          <w:b w:val="0"/>
          <w:bCs w:val="0"/>
          <w:sz w:val="24"/>
          <w:szCs w:val="24"/>
          <w:rtl/>
        </w:rPr>
        <w:t>פלואוריד</w:t>
      </w:r>
      <w:r>
        <w:rPr>
          <w:rFonts w:hint="cs"/>
          <w:b w:val="0"/>
          <w:bCs w:val="0"/>
          <w:sz w:val="24"/>
          <w:szCs w:val="24"/>
          <w:rtl/>
        </w:rPr>
        <w:t xml:space="preserve"> הטבעי בה</w:t>
      </w:r>
      <w:r w:rsidR="009955FE">
        <w:rPr>
          <w:rFonts w:hint="cs"/>
          <w:b w:val="0"/>
          <w:bCs w:val="0"/>
          <w:sz w:val="24"/>
          <w:szCs w:val="24"/>
          <w:rtl/>
        </w:rPr>
        <w:t>ם</w:t>
      </w:r>
      <w:r>
        <w:rPr>
          <w:rFonts w:hint="cs"/>
          <w:b w:val="0"/>
          <w:bCs w:val="0"/>
          <w:sz w:val="24"/>
          <w:szCs w:val="24"/>
          <w:rtl/>
        </w:rPr>
        <w:t xml:space="preserve"> </w:t>
      </w:r>
      <w:r w:rsidR="009955FE">
        <w:rPr>
          <w:rFonts w:hint="cs"/>
          <w:b w:val="0"/>
          <w:bCs w:val="0"/>
          <w:sz w:val="24"/>
          <w:szCs w:val="24"/>
          <w:rtl/>
        </w:rPr>
        <w:t>הוא יותר מ-</w:t>
      </w:r>
      <w:r>
        <w:rPr>
          <w:rFonts w:hint="cs"/>
          <w:b w:val="0"/>
          <w:bCs w:val="0"/>
          <w:sz w:val="24"/>
          <w:szCs w:val="24"/>
          <w:rtl/>
        </w:rPr>
        <w:t>1 מ"ג לליטר.</w:t>
      </w:r>
      <w:r>
        <w:rPr>
          <w:rStyle w:val="a6"/>
          <w:b w:val="0"/>
          <w:bCs w:val="0"/>
          <w:sz w:val="24"/>
          <w:szCs w:val="24"/>
          <w:rtl/>
        </w:rPr>
        <w:footnoteReference w:id="45"/>
      </w:r>
    </w:p>
    <w:p w:rsidR="002C16E4" w:rsidRDefault="002C16E4" w:rsidP="002C16E4">
      <w:pPr>
        <w:pStyle w:val="a3"/>
        <w:rPr>
          <w:rtl/>
        </w:rPr>
      </w:pPr>
    </w:p>
    <w:p w:rsidR="002C16E4" w:rsidRPr="00522C3B" w:rsidRDefault="002C16E4" w:rsidP="002C16E4">
      <w:pPr>
        <w:pStyle w:val="1"/>
        <w:ind w:left="14"/>
      </w:pPr>
      <w:bookmarkStart w:id="2" w:name="_Ref311106845"/>
      <w:r w:rsidRPr="00522C3B">
        <w:rPr>
          <w:rFonts w:hint="cs"/>
          <w:rtl/>
        </w:rPr>
        <w:t>מדיניות המחייבת הפלרה</w:t>
      </w:r>
      <w:bookmarkEnd w:id="2"/>
    </w:p>
    <w:p w:rsidR="002C16E4" w:rsidRDefault="002C16E4" w:rsidP="00666EEB">
      <w:pPr>
        <w:pStyle w:val="a3"/>
        <w:rPr>
          <w:rtl/>
        </w:rPr>
      </w:pPr>
      <w:r>
        <w:rPr>
          <w:rFonts w:hint="cs"/>
          <w:rtl/>
        </w:rPr>
        <w:t>בפרק זה נסקרת החקיקה באירלנד</w:t>
      </w:r>
      <w:r w:rsidR="001D06BB">
        <w:rPr>
          <w:rFonts w:hint="cs"/>
          <w:rtl/>
        </w:rPr>
        <w:t>, בה</w:t>
      </w:r>
      <w:r>
        <w:rPr>
          <w:rFonts w:hint="cs"/>
          <w:rtl/>
        </w:rPr>
        <w:t xml:space="preserve">  מצאנו חקיקה המחייבת הפלרה של מי השתייה. </w:t>
      </w:r>
      <w:r w:rsidR="001400E8">
        <w:rPr>
          <w:rFonts w:hint="cs"/>
          <w:rtl/>
        </w:rPr>
        <w:t xml:space="preserve">כאמור, </w:t>
      </w:r>
      <w:r w:rsidR="00A832EF">
        <w:rPr>
          <w:rFonts w:hint="cs"/>
          <w:rtl/>
        </w:rPr>
        <w:t>בעבר,</w:t>
      </w:r>
      <w:r w:rsidR="001400E8">
        <w:rPr>
          <w:rFonts w:hint="cs"/>
          <w:rtl/>
        </w:rPr>
        <w:t xml:space="preserve"> הייתה חקיקה המחייבת הפלרת מי שתייה גם במדינת קווינסלנד באוסטרליה, אולם זו בוטלה בסוף 2012.</w:t>
      </w:r>
      <w:r w:rsidR="009008DC">
        <w:rPr>
          <w:rFonts w:hint="cs"/>
          <w:rtl/>
        </w:rPr>
        <w:t xml:space="preserve"> </w:t>
      </w:r>
      <w:r w:rsidR="00666EEB">
        <w:rPr>
          <w:rFonts w:hint="cs"/>
          <w:rtl/>
        </w:rPr>
        <w:t xml:space="preserve">כאמור, בארצות הברית יש כ-15 מדינות שמחייבות הפלרה תחת סייגים שונים (ראו פרק 2.4 במסמך זה). נוסף על כך, על-פי </w:t>
      </w:r>
      <w:r w:rsidR="009008DC">
        <w:rPr>
          <w:rFonts w:hint="cs"/>
          <w:rtl/>
        </w:rPr>
        <w:t>מידע שהעביר משרד הבריאות, ישנן מדינות</w:t>
      </w:r>
      <w:r w:rsidR="00666EEB">
        <w:rPr>
          <w:rFonts w:hint="cs"/>
          <w:rtl/>
        </w:rPr>
        <w:t xml:space="preserve"> ואזורים מובחנים בתוך מדינות המחייבים הפלרת מי-שתיה. אלה כוללים </w:t>
      </w:r>
      <w:r w:rsidR="009008DC">
        <w:rPr>
          <w:rFonts w:hint="cs"/>
          <w:rtl/>
        </w:rPr>
        <w:t xml:space="preserve">בין השאר </w:t>
      </w:r>
      <w:r w:rsidR="00666EEB">
        <w:rPr>
          <w:rFonts w:hint="cs"/>
          <w:rtl/>
        </w:rPr>
        <w:t xml:space="preserve">את סינגפור ואת </w:t>
      </w:r>
      <w:r w:rsidR="00E768EF">
        <w:rPr>
          <w:rFonts w:hint="cs"/>
          <w:rtl/>
        </w:rPr>
        <w:t xml:space="preserve">חבל הבסקים בספרד. </w:t>
      </w:r>
      <w:r w:rsidR="00E768EF">
        <w:rPr>
          <w:rStyle w:val="a6"/>
          <w:rtl/>
        </w:rPr>
        <w:footnoteReference w:id="46"/>
      </w:r>
    </w:p>
    <w:p w:rsidR="002C16E4" w:rsidRPr="003C1C13" w:rsidRDefault="002C16E4" w:rsidP="002C16E4">
      <w:pPr>
        <w:pStyle w:val="a3"/>
        <w:rPr>
          <w:rtl/>
        </w:rPr>
      </w:pPr>
    </w:p>
    <w:p w:rsidR="002C16E4" w:rsidRPr="00D22567" w:rsidRDefault="002C16E4" w:rsidP="002C16E4">
      <w:pPr>
        <w:pStyle w:val="11"/>
        <w:spacing w:before="120"/>
        <w:ind w:right="0"/>
        <w:rPr>
          <w:rtl/>
        </w:rPr>
      </w:pPr>
      <w:r>
        <w:rPr>
          <w:rFonts w:hint="cs"/>
          <w:rtl/>
        </w:rPr>
        <w:t>אירלנד</w:t>
      </w:r>
    </w:p>
    <w:p w:rsidR="002C16E4" w:rsidRDefault="002C16E4" w:rsidP="002C16E4">
      <w:pPr>
        <w:pStyle w:val="a3"/>
        <w:rPr>
          <w:rtl/>
        </w:rPr>
      </w:pPr>
      <w:r>
        <w:rPr>
          <w:rFonts w:hint="cs"/>
          <w:rtl/>
        </w:rPr>
        <w:t xml:space="preserve">באירלנד נחקק ב-1960 </w:t>
      </w:r>
      <w:r w:rsidRPr="004B04CD">
        <w:rPr>
          <w:rFonts w:hint="cs"/>
          <w:b/>
          <w:bCs/>
          <w:rtl/>
        </w:rPr>
        <w:t xml:space="preserve">חוק </w:t>
      </w:r>
      <w:r w:rsidRPr="006C0270">
        <w:rPr>
          <w:rFonts w:hint="cs"/>
          <w:b/>
          <w:bCs/>
          <w:u w:val="single"/>
          <w:rtl/>
        </w:rPr>
        <w:t>המחייב</w:t>
      </w:r>
      <w:r w:rsidRPr="004B04CD">
        <w:rPr>
          <w:rFonts w:hint="cs"/>
          <w:b/>
          <w:bCs/>
          <w:rtl/>
        </w:rPr>
        <w:t xml:space="preserve"> הפלרה של מי השתייה</w:t>
      </w:r>
      <w:r>
        <w:rPr>
          <w:rFonts w:hint="cs"/>
          <w:rtl/>
        </w:rPr>
        <w:t>.</w:t>
      </w:r>
      <w:r>
        <w:rPr>
          <w:rStyle w:val="a6"/>
          <w:rtl/>
        </w:rPr>
        <w:footnoteReference w:id="47"/>
      </w:r>
      <w:r>
        <w:rPr>
          <w:rFonts w:hint="cs"/>
          <w:rtl/>
        </w:rPr>
        <w:t xml:space="preserve"> לפי החוק, על רשויות הבריאות המקומיות להסדיר הפלרה של מי השתייה המסופקים לציבור בהתאם להוראות שייקבעו בתקנות. </w:t>
      </w:r>
    </w:p>
    <w:p w:rsidR="002C16E4" w:rsidRDefault="002C16E4" w:rsidP="00E72AD2">
      <w:pPr>
        <w:pStyle w:val="a3"/>
        <w:rPr>
          <w:rtl/>
        </w:rPr>
      </w:pPr>
      <w:r>
        <w:rPr>
          <w:rFonts w:hint="cs"/>
          <w:rtl/>
        </w:rPr>
        <w:t>לאחר חקיקת החוק הוגשה עתירה נגד חוקתיות</w:t>
      </w:r>
      <w:r w:rsidR="00E72AD2">
        <w:rPr>
          <w:rFonts w:hint="cs"/>
          <w:rtl/>
        </w:rPr>
        <w:t>ו</w:t>
      </w:r>
      <w:r>
        <w:rPr>
          <w:rFonts w:hint="cs"/>
          <w:rtl/>
        </w:rPr>
        <w:t xml:space="preserve">, בטענה כי הפלרה של מי השתייה באירלנד </w:t>
      </w:r>
      <w:r w:rsidR="00445B78">
        <w:rPr>
          <w:rFonts w:hint="cs"/>
          <w:rtl/>
        </w:rPr>
        <w:t xml:space="preserve">היא </w:t>
      </w:r>
      <w:r>
        <w:rPr>
          <w:rFonts w:hint="cs"/>
          <w:rtl/>
        </w:rPr>
        <w:t xml:space="preserve">הפרה של זכויות חוקתיות; </w:t>
      </w:r>
      <w:r w:rsidRPr="00B61371">
        <w:rPr>
          <w:rFonts w:hint="cs"/>
          <w:b/>
          <w:bCs/>
          <w:rtl/>
        </w:rPr>
        <w:t xml:space="preserve">ב-1964 </w:t>
      </w:r>
      <w:r w:rsidRPr="00E34B35">
        <w:rPr>
          <w:rFonts w:hint="cs"/>
          <w:b/>
          <w:bCs/>
          <w:u w:val="single"/>
          <w:rtl/>
        </w:rPr>
        <w:t>פסק בית</w:t>
      </w:r>
      <w:r w:rsidR="00445B78">
        <w:rPr>
          <w:rFonts w:hint="cs"/>
          <w:b/>
          <w:bCs/>
          <w:u w:val="single"/>
          <w:rtl/>
        </w:rPr>
        <w:t>-</w:t>
      </w:r>
      <w:r w:rsidRPr="00E34B35">
        <w:rPr>
          <w:rFonts w:hint="cs"/>
          <w:b/>
          <w:bCs/>
          <w:u w:val="single"/>
          <w:rtl/>
        </w:rPr>
        <w:t>המשפט העליון</w:t>
      </w:r>
      <w:r w:rsidRPr="00B61371">
        <w:rPr>
          <w:rFonts w:hint="cs"/>
          <w:b/>
          <w:bCs/>
          <w:rtl/>
        </w:rPr>
        <w:t xml:space="preserve"> של אירלנד</w:t>
      </w:r>
      <w:r>
        <w:rPr>
          <w:rFonts w:hint="cs"/>
          <w:rtl/>
        </w:rPr>
        <w:t xml:space="preserve"> (בערעור על פסיקת בית-המשפט הגבוה) </w:t>
      </w:r>
      <w:r w:rsidRPr="00B61371">
        <w:rPr>
          <w:rFonts w:hint="cs"/>
          <w:b/>
          <w:bCs/>
          <w:rtl/>
        </w:rPr>
        <w:t xml:space="preserve">כי </w:t>
      </w:r>
      <w:r w:rsidRPr="00E34B35">
        <w:rPr>
          <w:rFonts w:hint="cs"/>
          <w:b/>
          <w:bCs/>
          <w:u w:val="single"/>
          <w:rtl/>
        </w:rPr>
        <w:t>החוק אינו מהווה הפרה של זכויות חוקתיות</w:t>
      </w:r>
      <w:r>
        <w:rPr>
          <w:rFonts w:hint="cs"/>
          <w:rtl/>
        </w:rPr>
        <w:t xml:space="preserve"> וכי הפלרה של מי שתייה אינה עולה כדי מתן טיפול תרופתי המוני.</w:t>
      </w:r>
      <w:r>
        <w:rPr>
          <w:rStyle w:val="a6"/>
          <w:rtl/>
        </w:rPr>
        <w:footnoteReference w:id="48"/>
      </w:r>
    </w:p>
    <w:p w:rsidR="002C16E4" w:rsidRDefault="002C16E4" w:rsidP="004625C7">
      <w:pPr>
        <w:pStyle w:val="a3"/>
        <w:rPr>
          <w:rtl/>
        </w:rPr>
      </w:pPr>
      <w:r>
        <w:rPr>
          <w:rFonts w:hint="cs"/>
          <w:rtl/>
        </w:rPr>
        <w:t xml:space="preserve">לאחר חקיקת החוק, במהלך שנות ה-60 וה-70, הותקנה סדרה של תקנות להסדרת </w:t>
      </w:r>
      <w:r w:rsidR="00445B78">
        <w:rPr>
          <w:rFonts w:hint="cs"/>
          <w:rtl/>
        </w:rPr>
        <w:t>ה</w:t>
      </w:r>
      <w:r>
        <w:rPr>
          <w:rFonts w:hint="cs"/>
          <w:rtl/>
        </w:rPr>
        <w:t>הפלרה של המים</w:t>
      </w:r>
      <w:r w:rsidR="00445B78">
        <w:rPr>
          <w:rFonts w:hint="cs"/>
          <w:rtl/>
        </w:rPr>
        <w:t>,</w:t>
      </w:r>
      <w:r>
        <w:rPr>
          <w:rFonts w:hint="cs"/>
          <w:rtl/>
        </w:rPr>
        <w:t xml:space="preserve"> על-פי אזורים גיאוגרפיי</w:t>
      </w:r>
      <w:r>
        <w:rPr>
          <w:rFonts w:hint="eastAsia"/>
          <w:rtl/>
        </w:rPr>
        <w:t>ם</w:t>
      </w:r>
      <w:r>
        <w:rPr>
          <w:rFonts w:hint="cs"/>
          <w:rtl/>
        </w:rPr>
        <w:t>;</w:t>
      </w:r>
      <w:r>
        <w:rPr>
          <w:rStyle w:val="a6"/>
          <w:rtl/>
        </w:rPr>
        <w:footnoteReference w:id="49"/>
      </w:r>
      <w:r>
        <w:rPr>
          <w:rFonts w:hint="cs"/>
          <w:rtl/>
        </w:rPr>
        <w:t xml:space="preserve"> בכל התקנות שהותקנו נקבע כי ריכוז ה</w:t>
      </w:r>
      <w:r w:rsidR="00241A5B">
        <w:rPr>
          <w:rFonts w:hint="cs"/>
          <w:rtl/>
        </w:rPr>
        <w:t>פלואוריד</w:t>
      </w:r>
      <w:r>
        <w:rPr>
          <w:rFonts w:hint="cs"/>
          <w:rtl/>
        </w:rPr>
        <w:t xml:space="preserve"> במים המופלרים לא יעלה על 1 מ"ג לליטר ולא יפחת מ-0.8 מ"ג לליטר. </w:t>
      </w:r>
    </w:p>
    <w:p w:rsidR="002C16E4" w:rsidRDefault="002C16E4" w:rsidP="00241A5B">
      <w:pPr>
        <w:pStyle w:val="a3"/>
        <w:rPr>
          <w:rtl/>
        </w:rPr>
      </w:pPr>
      <w:r>
        <w:rPr>
          <w:rFonts w:hint="cs"/>
          <w:rtl/>
        </w:rPr>
        <w:t xml:space="preserve">ב-2002 </w:t>
      </w:r>
      <w:r w:rsidRPr="005D46D3">
        <w:rPr>
          <w:rFonts w:hint="cs"/>
          <w:b/>
          <w:bCs/>
          <w:rtl/>
        </w:rPr>
        <w:t xml:space="preserve">פורום ההפלרה </w:t>
      </w:r>
      <w:r w:rsidRPr="005D46D3">
        <w:rPr>
          <w:rFonts w:hint="cs"/>
          <w:rtl/>
        </w:rPr>
        <w:t>(</w:t>
      </w:r>
      <w:r>
        <w:t>forum on fluoridation</w:t>
      </w:r>
      <w:r w:rsidRPr="005D46D3">
        <w:rPr>
          <w:rFonts w:hint="cs"/>
          <w:rtl/>
        </w:rPr>
        <w:t>)</w:t>
      </w:r>
      <w:r>
        <w:rPr>
          <w:rFonts w:hint="cs"/>
          <w:b/>
          <w:bCs/>
          <w:rtl/>
        </w:rPr>
        <w:t xml:space="preserve"> </w:t>
      </w:r>
      <w:r w:rsidRPr="002C60EC">
        <w:rPr>
          <w:rFonts w:hint="cs"/>
          <w:rtl/>
        </w:rPr>
        <w:t xml:space="preserve">של אירלנד </w:t>
      </w:r>
      <w:r w:rsidRPr="00BF64A8">
        <w:rPr>
          <w:rFonts w:hint="cs"/>
          <w:b/>
          <w:bCs/>
          <w:rtl/>
        </w:rPr>
        <w:t>המליץ להפחית את הריכוז האופטימלי של ה</w:t>
      </w:r>
      <w:r w:rsidR="00241A5B">
        <w:rPr>
          <w:rFonts w:hint="cs"/>
          <w:b/>
          <w:bCs/>
          <w:rtl/>
        </w:rPr>
        <w:t>פלואוריד</w:t>
      </w:r>
      <w:r w:rsidRPr="00BF64A8">
        <w:rPr>
          <w:rFonts w:hint="cs"/>
          <w:b/>
          <w:bCs/>
          <w:rtl/>
        </w:rPr>
        <w:t xml:space="preserve"> במים</w:t>
      </w:r>
      <w:r>
        <w:rPr>
          <w:rFonts w:hint="cs"/>
          <w:rtl/>
        </w:rPr>
        <w:t xml:space="preserve"> לרמה ש</w:t>
      </w:r>
      <w:r w:rsidR="00445B78">
        <w:rPr>
          <w:rFonts w:hint="cs"/>
          <w:rtl/>
        </w:rPr>
        <w:t>ל</w:t>
      </w:r>
      <w:r>
        <w:rPr>
          <w:rFonts w:hint="cs"/>
          <w:rtl/>
        </w:rPr>
        <w:t xml:space="preserve"> 0.6</w:t>
      </w:r>
      <w:r w:rsidR="00445B78">
        <w:rPr>
          <w:rFonts w:hint="eastAsia"/>
          <w:rtl/>
        </w:rPr>
        <w:t>–</w:t>
      </w:r>
      <w:r>
        <w:rPr>
          <w:rFonts w:hint="cs"/>
          <w:rtl/>
        </w:rPr>
        <w:t xml:space="preserve">0.8 מ"ג לליטר, </w:t>
      </w:r>
      <w:r w:rsidR="00445B78">
        <w:rPr>
          <w:rFonts w:hint="cs"/>
          <w:rtl/>
        </w:rPr>
        <w:t>בשל</w:t>
      </w:r>
      <w:r>
        <w:rPr>
          <w:rFonts w:hint="cs"/>
          <w:rtl/>
        </w:rPr>
        <w:t xml:space="preserve"> מחקרים איריים ובין-לאומיים המעידים על עלייה </w:t>
      </w:r>
      <w:r w:rsidRPr="00241A5B">
        <w:rPr>
          <w:rFonts w:hint="cs"/>
          <w:rtl/>
        </w:rPr>
        <w:t xml:space="preserve">בשיעור </w:t>
      </w:r>
      <w:r w:rsidR="004625C7" w:rsidRPr="00241A5B">
        <w:rPr>
          <w:rFonts w:hint="cs"/>
          <w:rtl/>
        </w:rPr>
        <w:t>הלוקים בפלואור</w:t>
      </w:r>
      <w:r w:rsidR="00F174F9">
        <w:rPr>
          <w:rFonts w:hint="cs"/>
          <w:rtl/>
        </w:rPr>
        <w:t>ו</w:t>
      </w:r>
      <w:r w:rsidR="004625C7" w:rsidRPr="00241A5B">
        <w:rPr>
          <w:rFonts w:hint="cs"/>
          <w:rtl/>
        </w:rPr>
        <w:t>זיס השן</w:t>
      </w:r>
      <w:r w:rsidR="009F08E6">
        <w:rPr>
          <w:rFonts w:hint="cs"/>
          <w:rtl/>
        </w:rPr>
        <w:t xml:space="preserve"> (</w:t>
      </w:r>
      <w:r w:rsidR="009F08E6">
        <w:t>dental fluorosis</w:t>
      </w:r>
      <w:r w:rsidR="009F08E6">
        <w:rPr>
          <w:rFonts w:hint="cs"/>
          <w:rtl/>
        </w:rPr>
        <w:t>)</w:t>
      </w:r>
      <w:r w:rsidRPr="00241A5B">
        <w:rPr>
          <w:rFonts w:hint="cs"/>
          <w:rtl/>
        </w:rPr>
        <w:t>.</w:t>
      </w:r>
      <w:r w:rsidRPr="00241A5B">
        <w:rPr>
          <w:rStyle w:val="a6"/>
          <w:rtl/>
        </w:rPr>
        <w:footnoteReference w:id="50"/>
      </w:r>
      <w:r w:rsidRPr="00241A5B">
        <w:rPr>
          <w:rFonts w:hint="cs"/>
          <w:rtl/>
        </w:rPr>
        <w:t xml:space="preserve"> </w:t>
      </w:r>
      <w:r w:rsidRPr="00241A5B">
        <w:rPr>
          <w:rFonts w:hint="cs"/>
          <w:b/>
          <w:bCs/>
          <w:rtl/>
        </w:rPr>
        <w:t>בעקבות</w:t>
      </w:r>
      <w:r>
        <w:rPr>
          <w:rFonts w:hint="cs"/>
          <w:b/>
          <w:bCs/>
          <w:rtl/>
        </w:rPr>
        <w:t xml:space="preserve"> ההמלצה</w:t>
      </w:r>
      <w:r w:rsidRPr="00DF7D07">
        <w:rPr>
          <w:rFonts w:hint="cs"/>
          <w:b/>
          <w:bCs/>
          <w:rtl/>
        </w:rPr>
        <w:t xml:space="preserve"> הותקנו </w:t>
      </w:r>
      <w:r>
        <w:rPr>
          <w:rFonts w:hint="cs"/>
          <w:b/>
          <w:bCs/>
          <w:rtl/>
        </w:rPr>
        <w:t xml:space="preserve">ב-2007 </w:t>
      </w:r>
      <w:r w:rsidRPr="00DF7D07">
        <w:rPr>
          <w:rFonts w:hint="cs"/>
          <w:b/>
          <w:bCs/>
          <w:rtl/>
        </w:rPr>
        <w:t>תקנות חדשות בנושא</w:t>
      </w:r>
      <w:r w:rsidR="00445B78">
        <w:rPr>
          <w:rFonts w:hint="cs"/>
          <w:b/>
          <w:bCs/>
          <w:rtl/>
        </w:rPr>
        <w:t>,</w:t>
      </w:r>
      <w:r>
        <w:rPr>
          <w:rStyle w:val="a6"/>
          <w:rtl/>
        </w:rPr>
        <w:footnoteReference w:id="51"/>
      </w:r>
      <w:r>
        <w:rPr>
          <w:rFonts w:hint="cs"/>
          <w:rtl/>
        </w:rPr>
        <w:t xml:space="preserve"> </w:t>
      </w:r>
      <w:r w:rsidR="00445B78">
        <w:rPr>
          <w:rFonts w:hint="cs"/>
          <w:rtl/>
        </w:rPr>
        <w:t xml:space="preserve">והן </w:t>
      </w:r>
      <w:r>
        <w:rPr>
          <w:rFonts w:hint="cs"/>
          <w:rtl/>
        </w:rPr>
        <w:t>נכנסו לתוקף ב-1 ביולי 2007. תקנות אלה ביטלו את סדרת התקנות שהיו קיימות עד אותו מועד וקבעו כי בהפלר</w:t>
      </w:r>
      <w:r w:rsidR="004625C7">
        <w:rPr>
          <w:rFonts w:hint="cs"/>
          <w:rtl/>
        </w:rPr>
        <w:t>ה</w:t>
      </w:r>
      <w:r>
        <w:rPr>
          <w:rFonts w:hint="cs"/>
          <w:rtl/>
        </w:rPr>
        <w:t xml:space="preserve"> על-פי החוק </w:t>
      </w:r>
      <w:r w:rsidR="004625C7">
        <w:rPr>
          <w:rFonts w:hint="cs"/>
          <w:rtl/>
        </w:rPr>
        <w:t xml:space="preserve">מותר להוסיף למים כמות </w:t>
      </w:r>
      <w:r w:rsidR="00241A5B">
        <w:rPr>
          <w:rFonts w:hint="cs"/>
          <w:rtl/>
        </w:rPr>
        <w:t>פלואוריד</w:t>
      </w:r>
      <w:r w:rsidR="004625C7">
        <w:rPr>
          <w:rFonts w:hint="cs"/>
          <w:rtl/>
        </w:rPr>
        <w:t xml:space="preserve"> ש</w:t>
      </w:r>
      <w:r>
        <w:rPr>
          <w:rFonts w:hint="cs"/>
          <w:rtl/>
        </w:rPr>
        <w:t xml:space="preserve">תביא </w:t>
      </w:r>
      <w:r w:rsidR="004625C7">
        <w:rPr>
          <w:rFonts w:hint="cs"/>
          <w:b/>
          <w:bCs/>
          <w:rtl/>
        </w:rPr>
        <w:t>ל</w:t>
      </w:r>
      <w:r w:rsidRPr="00DF7D07">
        <w:rPr>
          <w:rFonts w:hint="cs"/>
          <w:b/>
          <w:bCs/>
          <w:rtl/>
        </w:rPr>
        <w:t xml:space="preserve">ריכוז </w:t>
      </w:r>
      <w:r w:rsidR="00E72AD2">
        <w:rPr>
          <w:rFonts w:hint="cs"/>
          <w:b/>
          <w:bCs/>
          <w:rtl/>
        </w:rPr>
        <w:t>של החומר</w:t>
      </w:r>
      <w:r w:rsidRPr="00DF7D07">
        <w:rPr>
          <w:rFonts w:hint="cs"/>
          <w:b/>
          <w:bCs/>
          <w:rtl/>
        </w:rPr>
        <w:t xml:space="preserve"> </w:t>
      </w:r>
      <w:r w:rsidR="004625C7">
        <w:rPr>
          <w:rFonts w:hint="cs"/>
          <w:b/>
          <w:bCs/>
          <w:rtl/>
        </w:rPr>
        <w:t>ש</w:t>
      </w:r>
      <w:r w:rsidRPr="00DF7D07">
        <w:rPr>
          <w:rFonts w:hint="cs"/>
          <w:b/>
          <w:bCs/>
          <w:rtl/>
        </w:rPr>
        <w:t>לא יעלה על 0.8 מ"ג לליטר ולא יפחת מ-0.6 מ"ג לליטר</w:t>
      </w:r>
      <w:r>
        <w:rPr>
          <w:rFonts w:hint="cs"/>
          <w:rtl/>
        </w:rPr>
        <w:t xml:space="preserve">. </w:t>
      </w:r>
    </w:p>
    <w:p w:rsidR="002C16E4" w:rsidRDefault="002C16E4" w:rsidP="001D06BB">
      <w:pPr>
        <w:pStyle w:val="a3"/>
        <w:rPr>
          <w:rtl/>
        </w:rPr>
      </w:pPr>
      <w:r>
        <w:rPr>
          <w:rFonts w:hint="cs"/>
          <w:rtl/>
        </w:rPr>
        <w:t>ב-2007 הותקנו תקנות ליישום דירקטיבת האיחוד האירופי</w:t>
      </w:r>
      <w:r w:rsidRPr="00572A35">
        <w:rPr>
          <w:rFonts w:hint="cs"/>
          <w:rtl/>
        </w:rPr>
        <w:t xml:space="preserve"> בדבר איכות המים המיועדים לשתיית בני-אדם (</w:t>
      </w:r>
      <w:hyperlink w:anchor="דירקטיבה" w:history="1">
        <w:r w:rsidRPr="004625C7">
          <w:rPr>
            <w:rStyle w:val="Hyperlink"/>
            <w:rFonts w:hint="cs"/>
            <w:color w:val="000000"/>
            <w:u w:val="none"/>
            <w:rtl/>
          </w:rPr>
          <w:t>ראו לעיל</w:t>
        </w:r>
      </w:hyperlink>
      <w:r w:rsidRPr="00572A35">
        <w:rPr>
          <w:rFonts w:hint="cs"/>
          <w:rtl/>
        </w:rPr>
        <w:t>)</w:t>
      </w:r>
      <w:r>
        <w:rPr>
          <w:rFonts w:hint="cs"/>
          <w:rtl/>
        </w:rPr>
        <w:t>.</w:t>
      </w:r>
      <w:bookmarkStart w:id="3" w:name="_Ref309898643"/>
      <w:r>
        <w:rPr>
          <w:rStyle w:val="a6"/>
          <w:rtl/>
        </w:rPr>
        <w:footnoteReference w:id="52"/>
      </w:r>
      <w:bookmarkEnd w:id="3"/>
      <w:r>
        <w:rPr>
          <w:rFonts w:hint="cs"/>
          <w:rtl/>
        </w:rPr>
        <w:t xml:space="preserve"> בתקנות אלה נקבעו </w:t>
      </w:r>
      <w:r w:rsidRPr="001467C8">
        <w:rPr>
          <w:rFonts w:hint="cs"/>
          <w:b/>
          <w:bCs/>
          <w:rtl/>
        </w:rPr>
        <w:t>סטנדרטים ל</w:t>
      </w:r>
      <w:r w:rsidR="00445B78">
        <w:rPr>
          <w:rFonts w:hint="cs"/>
          <w:b/>
          <w:bCs/>
          <w:rtl/>
        </w:rPr>
        <w:t>א</w:t>
      </w:r>
      <w:r w:rsidRPr="001467C8">
        <w:rPr>
          <w:rFonts w:hint="cs"/>
          <w:b/>
          <w:bCs/>
          <w:rtl/>
        </w:rPr>
        <w:t>ספקת מי שתייה בריאים ונקיים</w:t>
      </w:r>
      <w:r>
        <w:rPr>
          <w:rFonts w:hint="cs"/>
          <w:rtl/>
        </w:rPr>
        <w:t xml:space="preserve"> (</w:t>
      </w:r>
      <w:r>
        <w:t>wholesome and clean</w:t>
      </w:r>
      <w:r>
        <w:rPr>
          <w:rFonts w:hint="cs"/>
          <w:rtl/>
        </w:rPr>
        <w:t>)</w:t>
      </w:r>
      <w:r w:rsidR="00445B78">
        <w:rPr>
          <w:rFonts w:hint="cs"/>
          <w:rtl/>
        </w:rPr>
        <w:t>,</w:t>
      </w:r>
      <w:r>
        <w:rPr>
          <w:rStyle w:val="a6"/>
          <w:rtl/>
        </w:rPr>
        <w:footnoteReference w:id="53"/>
      </w:r>
      <w:r>
        <w:rPr>
          <w:rFonts w:hint="cs"/>
          <w:rtl/>
        </w:rPr>
        <w:t xml:space="preserve"> </w:t>
      </w:r>
      <w:r w:rsidR="00445B78">
        <w:rPr>
          <w:rFonts w:hint="cs"/>
          <w:rtl/>
        </w:rPr>
        <w:t>ו</w:t>
      </w:r>
      <w:r w:rsidRPr="003C63C8">
        <w:rPr>
          <w:rFonts w:hint="cs"/>
          <w:b/>
          <w:bCs/>
          <w:rtl/>
        </w:rPr>
        <w:t>לפי הפרמטרים הקבועים בתוספת לתקנות, ריכוז ה</w:t>
      </w:r>
      <w:r w:rsidR="00241A5B">
        <w:rPr>
          <w:rFonts w:hint="cs"/>
          <w:b/>
          <w:bCs/>
          <w:rtl/>
        </w:rPr>
        <w:t>פלואוריד</w:t>
      </w:r>
      <w:r w:rsidRPr="003C63C8">
        <w:rPr>
          <w:rFonts w:hint="cs"/>
          <w:b/>
          <w:bCs/>
          <w:rtl/>
        </w:rPr>
        <w:t xml:space="preserve"> במים</w:t>
      </w:r>
      <w:r>
        <w:rPr>
          <w:rFonts w:hint="cs"/>
          <w:rtl/>
        </w:rPr>
        <w:t xml:space="preserve"> יהיה כדלקמן:</w:t>
      </w:r>
      <w:r>
        <w:rPr>
          <w:rStyle w:val="a6"/>
          <w:rtl/>
        </w:rPr>
        <w:footnoteReference w:id="54"/>
      </w:r>
    </w:p>
    <w:p w:rsidR="002C16E4" w:rsidRDefault="002C16E4" w:rsidP="009F08E6">
      <w:pPr>
        <w:pStyle w:val="a3"/>
        <w:numPr>
          <w:ilvl w:val="0"/>
          <w:numId w:val="11"/>
        </w:numPr>
      </w:pPr>
      <w:r w:rsidRPr="003C63C8">
        <w:rPr>
          <w:rFonts w:hint="cs"/>
          <w:b/>
          <w:bCs/>
          <w:rtl/>
        </w:rPr>
        <w:t xml:space="preserve">במקורות מים </w:t>
      </w:r>
      <w:r>
        <w:rPr>
          <w:rFonts w:hint="cs"/>
          <w:b/>
          <w:bCs/>
          <w:rtl/>
        </w:rPr>
        <w:t>ש</w:t>
      </w:r>
      <w:r w:rsidR="009F08E6">
        <w:rPr>
          <w:rFonts w:hint="cs"/>
          <w:b/>
          <w:bCs/>
          <w:rtl/>
        </w:rPr>
        <w:t>נעשית</w:t>
      </w:r>
      <w:r w:rsidR="00445B78">
        <w:rPr>
          <w:rFonts w:hint="cs"/>
          <w:b/>
          <w:bCs/>
          <w:rtl/>
        </w:rPr>
        <w:t xml:space="preserve"> </w:t>
      </w:r>
      <w:r w:rsidRPr="003C63C8">
        <w:rPr>
          <w:rFonts w:hint="cs"/>
          <w:b/>
          <w:bCs/>
          <w:rtl/>
        </w:rPr>
        <w:t>הפלרה מלאכותית</w:t>
      </w:r>
      <w:r>
        <w:rPr>
          <w:rFonts w:hint="cs"/>
          <w:rtl/>
        </w:rPr>
        <w:t xml:space="preserve"> </w:t>
      </w:r>
      <w:r w:rsidR="00445B78" w:rsidRPr="00445B78">
        <w:rPr>
          <w:rFonts w:hint="cs"/>
          <w:b/>
          <w:bCs/>
          <w:rtl/>
        </w:rPr>
        <w:t>שלהם</w:t>
      </w:r>
      <w:r w:rsidR="00445B78">
        <w:rPr>
          <w:rFonts w:hint="cs"/>
          <w:rtl/>
        </w:rPr>
        <w:t xml:space="preserve"> </w:t>
      </w:r>
      <w:r>
        <w:rPr>
          <w:rtl/>
        </w:rPr>
        <w:t>–</w:t>
      </w:r>
      <w:r>
        <w:rPr>
          <w:rFonts w:hint="cs"/>
          <w:rtl/>
        </w:rPr>
        <w:t xml:space="preserve"> </w:t>
      </w:r>
    </w:p>
    <w:p w:rsidR="002C16E4" w:rsidRDefault="002C16E4" w:rsidP="00445B78">
      <w:pPr>
        <w:pStyle w:val="a3"/>
        <w:numPr>
          <w:ilvl w:val="0"/>
          <w:numId w:val="12"/>
        </w:numPr>
      </w:pPr>
      <w:r>
        <w:rPr>
          <w:rFonts w:hint="cs"/>
          <w:rtl/>
        </w:rPr>
        <w:t xml:space="preserve">עד 30 ביוני 2007 </w:t>
      </w:r>
      <w:r>
        <w:rPr>
          <w:rtl/>
        </w:rPr>
        <w:t>–</w:t>
      </w:r>
      <w:r>
        <w:rPr>
          <w:rFonts w:hint="cs"/>
          <w:rtl/>
        </w:rPr>
        <w:t xml:space="preserve"> לא </w:t>
      </w:r>
      <w:r w:rsidR="00445B78">
        <w:rPr>
          <w:rFonts w:hint="cs"/>
          <w:rtl/>
        </w:rPr>
        <w:t>יותר מ-</w:t>
      </w:r>
      <w:r>
        <w:rPr>
          <w:rFonts w:hint="cs"/>
          <w:rtl/>
        </w:rPr>
        <w:t>1 מ"ג לליטר;</w:t>
      </w:r>
    </w:p>
    <w:p w:rsidR="002C16E4" w:rsidRDefault="002C16E4" w:rsidP="00445B78">
      <w:pPr>
        <w:pStyle w:val="a3"/>
        <w:numPr>
          <w:ilvl w:val="0"/>
          <w:numId w:val="12"/>
        </w:numPr>
      </w:pPr>
      <w:r>
        <w:rPr>
          <w:rFonts w:hint="cs"/>
          <w:rtl/>
        </w:rPr>
        <w:t xml:space="preserve">מ-1 ביולי 2007 </w:t>
      </w:r>
      <w:r>
        <w:rPr>
          <w:rtl/>
        </w:rPr>
        <w:t>–</w:t>
      </w:r>
      <w:r>
        <w:rPr>
          <w:rFonts w:hint="cs"/>
          <w:rtl/>
        </w:rPr>
        <w:t xml:space="preserve"> </w:t>
      </w:r>
      <w:r w:rsidRPr="005D3C59">
        <w:rPr>
          <w:rFonts w:hint="cs"/>
          <w:b/>
          <w:bCs/>
          <w:rtl/>
        </w:rPr>
        <w:t xml:space="preserve">לא </w:t>
      </w:r>
      <w:r w:rsidR="00445B78">
        <w:rPr>
          <w:rFonts w:hint="cs"/>
          <w:b/>
          <w:bCs/>
          <w:rtl/>
        </w:rPr>
        <w:t>יותר מ-0.8</w:t>
      </w:r>
      <w:r w:rsidRPr="005D3C59">
        <w:rPr>
          <w:rFonts w:hint="cs"/>
          <w:b/>
          <w:bCs/>
          <w:rtl/>
        </w:rPr>
        <w:t xml:space="preserve"> מ"ג לליטר</w:t>
      </w:r>
      <w:r>
        <w:rPr>
          <w:rFonts w:hint="cs"/>
          <w:rtl/>
        </w:rPr>
        <w:t>;</w:t>
      </w:r>
    </w:p>
    <w:p w:rsidR="002C16E4" w:rsidRDefault="002C16E4" w:rsidP="00445B78">
      <w:pPr>
        <w:pStyle w:val="a3"/>
        <w:numPr>
          <w:ilvl w:val="0"/>
          <w:numId w:val="11"/>
        </w:numPr>
      </w:pPr>
      <w:r w:rsidRPr="003C63C8">
        <w:rPr>
          <w:rFonts w:hint="cs"/>
          <w:b/>
          <w:bCs/>
          <w:rtl/>
        </w:rPr>
        <w:t xml:space="preserve">במקורות מים עם </w:t>
      </w:r>
      <w:r w:rsidR="00241A5B">
        <w:rPr>
          <w:rFonts w:hint="cs"/>
          <w:b/>
          <w:bCs/>
          <w:rtl/>
        </w:rPr>
        <w:t>פלואוריד</w:t>
      </w:r>
      <w:r w:rsidRPr="003C63C8">
        <w:rPr>
          <w:rFonts w:hint="cs"/>
          <w:b/>
          <w:bCs/>
          <w:rtl/>
        </w:rPr>
        <w:t xml:space="preserve"> ממקור טבעי</w:t>
      </w:r>
      <w:r>
        <w:rPr>
          <w:rFonts w:hint="cs"/>
          <w:rtl/>
        </w:rPr>
        <w:t xml:space="preserve"> (שאין צורך להוסיף בהם הפלרה מלאכותית) </w:t>
      </w:r>
      <w:r>
        <w:rPr>
          <w:rtl/>
        </w:rPr>
        <w:t>–</w:t>
      </w:r>
      <w:r>
        <w:rPr>
          <w:rFonts w:hint="cs"/>
          <w:rtl/>
        </w:rPr>
        <w:t xml:space="preserve"> </w:t>
      </w:r>
      <w:r w:rsidRPr="003C63C8">
        <w:rPr>
          <w:rFonts w:hint="cs"/>
          <w:b/>
          <w:bCs/>
          <w:rtl/>
        </w:rPr>
        <w:t xml:space="preserve">לא </w:t>
      </w:r>
      <w:r w:rsidR="00445B78">
        <w:rPr>
          <w:rFonts w:hint="cs"/>
          <w:b/>
          <w:bCs/>
          <w:rtl/>
        </w:rPr>
        <w:t>יותר מ-</w:t>
      </w:r>
      <w:r w:rsidRPr="003C63C8">
        <w:rPr>
          <w:rFonts w:hint="cs"/>
          <w:b/>
          <w:bCs/>
          <w:rtl/>
        </w:rPr>
        <w:t>1.5 מ"ג לליטר</w:t>
      </w:r>
      <w:r>
        <w:rPr>
          <w:rFonts w:hint="cs"/>
          <w:rtl/>
        </w:rPr>
        <w:t>.</w:t>
      </w:r>
    </w:p>
    <w:p w:rsidR="004E28FC" w:rsidRPr="004E28FC" w:rsidRDefault="004E28FC" w:rsidP="004E28FC">
      <w:pPr>
        <w:pStyle w:val="a3"/>
        <w:rPr>
          <w:rtl/>
        </w:rPr>
      </w:pPr>
    </w:p>
    <w:p w:rsidR="002C16E4" w:rsidRPr="000B4C9A" w:rsidRDefault="002C16E4" w:rsidP="002C16E4">
      <w:pPr>
        <w:rPr>
          <w:rtl/>
        </w:rPr>
      </w:pPr>
    </w:p>
    <w:p w:rsidR="00230F37" w:rsidRDefault="00230F37" w:rsidP="002C16E4">
      <w:pPr>
        <w:pStyle w:val="1"/>
        <w:numPr>
          <w:ilvl w:val="0"/>
          <w:numId w:val="0"/>
        </w:numPr>
        <w:rPr>
          <w:rtl/>
        </w:rPr>
      </w:pPr>
    </w:p>
    <w:sectPr w:rsidR="00230F37" w:rsidSect="00B342F2">
      <w:footerReference w:type="even" r:id="rId9"/>
      <w:footerReference w:type="default" r:id="rId10"/>
      <w:pgSz w:w="11906" w:h="16838" w:code="9"/>
      <w:pgMar w:top="1440" w:right="1758" w:bottom="1440" w:left="1259" w:header="709" w:footer="397" w:gutter="0"/>
      <w:pgNumType w:start="0"/>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9CA" w:rsidRDefault="002E39CA">
      <w:r>
        <w:separator/>
      </w:r>
    </w:p>
  </w:endnote>
  <w:endnote w:type="continuationSeparator" w:id="0">
    <w:p w:rsidR="002E39CA" w:rsidRDefault="002E3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3D0" w:rsidRDefault="006223D0" w:rsidP="00D8087D">
    <w:pPr>
      <w:pStyle w:val="a9"/>
      <w:framePr w:wrap="around" w:vAnchor="text" w:hAnchor="text" w:y="1"/>
      <w:rPr>
        <w:rStyle w:val="a8"/>
      </w:rPr>
    </w:pPr>
    <w:r>
      <w:rPr>
        <w:rStyle w:val="a8"/>
        <w:rtl/>
      </w:rPr>
      <w:fldChar w:fldCharType="begin"/>
    </w:r>
    <w:r>
      <w:rPr>
        <w:rStyle w:val="a8"/>
      </w:rPr>
      <w:instrText xml:space="preserve">PAGE  </w:instrText>
    </w:r>
    <w:r>
      <w:rPr>
        <w:rStyle w:val="a8"/>
        <w:rtl/>
      </w:rPr>
      <w:fldChar w:fldCharType="end"/>
    </w:r>
  </w:p>
  <w:p w:rsidR="006223D0" w:rsidRDefault="006223D0" w:rsidP="00D8087D">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3D0" w:rsidRDefault="001607DF" w:rsidP="00D8087D">
    <w:pPr>
      <w:pStyle w:val="a7"/>
      <w:spacing w:before="240" w:after="0" w:line="240" w:lineRule="auto"/>
      <w:ind w:right="360"/>
      <w:jc w:val="center"/>
      <w:rPr>
        <w:color w:val="3366FF"/>
        <w:szCs w:val="16"/>
        <w:rtl/>
        <w:lang w:eastAsia="en-US"/>
      </w:rPr>
    </w:pPr>
    <w:r>
      <w:rPr>
        <w:noProof/>
        <w:sz w:val="20"/>
        <w:lang w:eastAsia="en-US"/>
      </w:rPr>
      <w:drawing>
        <wp:anchor distT="0" distB="0" distL="114300" distR="114300" simplePos="0" relativeHeight="251657216" behindDoc="0" locked="0" layoutInCell="1" allowOverlap="1">
          <wp:simplePos x="0" y="0"/>
          <wp:positionH relativeFrom="column">
            <wp:posOffset>2734945</wp:posOffset>
          </wp:positionH>
          <wp:positionV relativeFrom="paragraph">
            <wp:posOffset>8255</wp:posOffset>
          </wp:positionV>
          <wp:extent cx="196215" cy="243840"/>
          <wp:effectExtent l="0" t="0" r="0" b="3810"/>
          <wp:wrapNone/>
          <wp:docPr id="2" name="תמונה 1"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szCs w:val="16"/>
        <w:lang w:eastAsia="en-US"/>
      </w:rPr>
      <mc:AlternateContent>
        <mc:Choice Requires="wps">
          <w:drawing>
            <wp:anchor distT="0" distB="0" distL="114300" distR="114300" simplePos="0" relativeHeight="251658240" behindDoc="0" locked="0" layoutInCell="1" allowOverlap="1">
              <wp:simplePos x="0" y="0"/>
              <wp:positionH relativeFrom="column">
                <wp:posOffset>1974850</wp:posOffset>
              </wp:positionH>
              <wp:positionV relativeFrom="paragraph">
                <wp:posOffset>219710</wp:posOffset>
              </wp:positionV>
              <wp:extent cx="1714500" cy="367030"/>
              <wp:effectExtent l="254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67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6223D0" w:rsidRDefault="006223D0">
                          <w:pPr>
                            <w:spacing w:before="0" w:after="0" w:line="240" w:lineRule="auto"/>
                            <w:jc w:val="center"/>
                            <w:rPr>
                              <w:sz w:val="16"/>
                              <w:szCs w:val="16"/>
                              <w:rtl/>
                            </w:rPr>
                          </w:pPr>
                          <w:r>
                            <w:rPr>
                              <w:rFonts w:hint="cs"/>
                              <w:sz w:val="16"/>
                              <w:szCs w:val="16"/>
                              <w:rtl/>
                            </w:rPr>
                            <w:t xml:space="preserve">הכנסת </w:t>
                          </w:r>
                        </w:p>
                        <w:p w:rsidR="006223D0" w:rsidRPr="00EF7C96" w:rsidRDefault="006223D0">
                          <w:pPr>
                            <w:spacing w:before="40" w:after="0" w:line="240" w:lineRule="auto"/>
                            <w:jc w:val="center"/>
                            <w:rPr>
                              <w:sz w:val="16"/>
                              <w:szCs w:val="16"/>
                              <w:rtl/>
                            </w:rPr>
                          </w:pPr>
                          <w:r w:rsidRPr="00EF7C96">
                            <w:rPr>
                              <w:rFonts w:hint="cs"/>
                              <w:b/>
                              <w:bCs/>
                              <w:sz w:val="16"/>
                              <w:szCs w:val="16"/>
                              <w:rtl/>
                            </w:rPr>
                            <w:t>מרכז המחקר והמידע</w:t>
                          </w: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155.5pt;margin-top:17.3pt;width:135pt;height:28.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" filled="f" stroked="f">
              <v:textbox inset=",,,1mm">
                <w:txbxContent>
                  <w:p w:rsidR="006223D0" w:rsidRDefault="006223D0">
                    <w:pPr>
                      <w:spacing w:before="0" w:after="0" w:line="240" w:lineRule="auto"/>
                      <w:jc w:val="center"/>
                      <w:rPr>
                        <w:sz w:val="16"/>
                        <w:szCs w:val="16"/>
                        <w:rtl/>
                      </w:rPr>
                    </w:pPr>
                    <w:r>
                      <w:rPr>
                        <w:rFonts w:hint="cs"/>
                        <w:sz w:val="16"/>
                        <w:szCs w:val="16"/>
                        <w:rtl/>
                      </w:rPr>
                      <w:t xml:space="preserve">הכנסת </w:t>
                    </w:r>
                  </w:p>
                  <w:p w:rsidR="006223D0" w:rsidRPr="00EF7C96" w:rsidRDefault="006223D0">
                    <w:pPr>
                      <w:spacing w:before="40" w:after="0" w:line="240" w:lineRule="auto"/>
                      <w:jc w:val="center"/>
                      <w:rPr>
                        <w:sz w:val="16"/>
                        <w:szCs w:val="16"/>
                        <w:rtl/>
                      </w:rPr>
                    </w:pPr>
                    <w:r w:rsidRPr="00EF7C96">
                      <w:rPr>
                        <w:rFonts w:hint="cs"/>
                        <w:b/>
                        <w:bCs/>
                        <w:sz w:val="16"/>
                        <w:szCs w:val="16"/>
                        <w:rtl/>
                      </w:rPr>
                      <w:t>מרכז המחקר והמידע</w:t>
                    </w:r>
                  </w:p>
                </w:txbxContent>
              </v:textbox>
            </v:shape>
          </w:pict>
        </mc:Fallback>
      </mc:AlternateContent>
    </w:r>
  </w:p>
  <w:tbl>
    <w:tblPr>
      <w:bidiVisual/>
      <w:tblW w:w="0" w:type="auto"/>
      <w:tblLook w:val="0000" w:firstRow="0" w:lastRow="0" w:firstColumn="0" w:lastColumn="0" w:noHBand="0" w:noVBand="0"/>
    </w:tblPr>
    <w:tblGrid>
      <w:gridCol w:w="4032"/>
      <w:gridCol w:w="707"/>
      <w:gridCol w:w="4150"/>
    </w:tblGrid>
    <w:tr w:rsidR="006223D0">
      <w:tc>
        <w:tcPr>
          <w:tcW w:w="4137" w:type="dxa"/>
          <w:tcBorders>
            <w:top w:val="single" w:sz="4" w:space="0" w:color="auto"/>
          </w:tcBorders>
        </w:tcPr>
        <w:p w:rsidR="006223D0" w:rsidRDefault="006223D0">
          <w:pPr>
            <w:spacing w:before="0" w:after="0" w:line="240" w:lineRule="auto"/>
            <w:jc w:val="left"/>
            <w:rPr>
              <w:sz w:val="16"/>
              <w:szCs w:val="16"/>
              <w:lang w:eastAsia="en-US"/>
            </w:rPr>
          </w:pPr>
        </w:p>
      </w:tc>
      <w:tc>
        <w:tcPr>
          <w:tcW w:w="720" w:type="dxa"/>
        </w:tcPr>
        <w:p w:rsidR="006223D0" w:rsidRDefault="006223D0">
          <w:pPr>
            <w:spacing w:before="0" w:after="0" w:line="240" w:lineRule="auto"/>
            <w:jc w:val="left"/>
            <w:rPr>
              <w:sz w:val="16"/>
              <w:szCs w:val="16"/>
              <w:lang w:eastAsia="en-US"/>
            </w:rPr>
          </w:pPr>
        </w:p>
      </w:tc>
      <w:tc>
        <w:tcPr>
          <w:tcW w:w="4248" w:type="dxa"/>
          <w:tcBorders>
            <w:top w:val="single" w:sz="4" w:space="0" w:color="auto"/>
          </w:tcBorders>
        </w:tcPr>
        <w:p w:rsidR="006223D0" w:rsidRDefault="006223D0">
          <w:pPr>
            <w:spacing w:before="0" w:after="0" w:line="240" w:lineRule="auto"/>
            <w:jc w:val="right"/>
            <w:rPr>
              <w:sz w:val="16"/>
              <w:szCs w:val="16"/>
              <w:rtl/>
              <w:lang w:eastAsia="en-US"/>
            </w:rPr>
          </w:pPr>
        </w:p>
      </w:tc>
    </w:tr>
    <w:tr w:rsidR="006223D0">
      <w:tc>
        <w:tcPr>
          <w:tcW w:w="4137" w:type="dxa"/>
        </w:tcPr>
        <w:p w:rsidR="006223D0" w:rsidRDefault="006223D0">
          <w:pPr>
            <w:spacing w:before="0" w:after="0" w:line="240" w:lineRule="auto"/>
            <w:jc w:val="left"/>
            <w:rPr>
              <w:sz w:val="16"/>
              <w:szCs w:val="16"/>
              <w:lang w:eastAsia="en-US"/>
            </w:rPr>
          </w:pPr>
        </w:p>
      </w:tc>
      <w:tc>
        <w:tcPr>
          <w:tcW w:w="720" w:type="dxa"/>
        </w:tcPr>
        <w:p w:rsidR="006223D0" w:rsidRDefault="006223D0">
          <w:pPr>
            <w:spacing w:before="0" w:after="0" w:line="240" w:lineRule="auto"/>
            <w:jc w:val="left"/>
            <w:rPr>
              <w:sz w:val="16"/>
              <w:szCs w:val="16"/>
              <w:lang w:eastAsia="en-US"/>
            </w:rPr>
          </w:pPr>
        </w:p>
      </w:tc>
      <w:tc>
        <w:tcPr>
          <w:tcW w:w="4248" w:type="dxa"/>
        </w:tcPr>
        <w:p w:rsidR="006223D0" w:rsidRDefault="006223D0" w:rsidP="00D8087D">
          <w:pPr>
            <w:spacing w:before="0" w:after="0" w:line="240" w:lineRule="auto"/>
            <w:jc w:val="right"/>
            <w:rPr>
              <w:sz w:val="16"/>
              <w:szCs w:val="16"/>
              <w:lang w:eastAsia="en-US"/>
            </w:rPr>
          </w:pPr>
          <w:r w:rsidRPr="00DA289E">
            <w:rPr>
              <w:sz w:val="16"/>
              <w:szCs w:val="16"/>
              <w:rtl/>
              <w:lang w:eastAsia="en-US"/>
            </w:rPr>
            <w:t>עמוד</w:t>
          </w:r>
          <w:r w:rsidRPr="00DA289E">
            <w:rPr>
              <w:sz w:val="16"/>
              <w:szCs w:val="16"/>
              <w:lang w:eastAsia="en-US"/>
            </w:rPr>
            <w:t xml:space="preserve"> </w:t>
          </w:r>
          <w:r w:rsidRPr="00DA289E">
            <w:rPr>
              <w:sz w:val="16"/>
              <w:szCs w:val="16"/>
              <w:lang w:eastAsia="en-US"/>
            </w:rPr>
            <w:fldChar w:fldCharType="begin"/>
          </w:r>
          <w:r w:rsidRPr="00DA289E">
            <w:rPr>
              <w:sz w:val="16"/>
              <w:szCs w:val="16"/>
              <w:lang w:eastAsia="en-US"/>
            </w:rPr>
            <w:instrText xml:space="preserve"> PAGE </w:instrText>
          </w:r>
          <w:r w:rsidRPr="00DA289E">
            <w:rPr>
              <w:sz w:val="16"/>
              <w:szCs w:val="16"/>
              <w:lang w:eastAsia="en-US"/>
            </w:rPr>
            <w:fldChar w:fldCharType="separate"/>
          </w:r>
          <w:r w:rsidR="00A15E96">
            <w:rPr>
              <w:noProof/>
              <w:sz w:val="16"/>
              <w:szCs w:val="16"/>
              <w:rtl/>
              <w:lang w:eastAsia="en-US"/>
            </w:rPr>
            <w:t>8</w:t>
          </w:r>
          <w:r w:rsidRPr="00DA289E">
            <w:rPr>
              <w:sz w:val="16"/>
              <w:szCs w:val="16"/>
              <w:lang w:eastAsia="en-US"/>
            </w:rPr>
            <w:fldChar w:fldCharType="end"/>
          </w:r>
          <w:r w:rsidRPr="00DA289E">
            <w:rPr>
              <w:sz w:val="16"/>
              <w:szCs w:val="16"/>
              <w:lang w:eastAsia="en-US"/>
            </w:rPr>
            <w:t xml:space="preserve"> </w:t>
          </w:r>
          <w:r w:rsidRPr="00DA289E">
            <w:rPr>
              <w:sz w:val="16"/>
              <w:szCs w:val="16"/>
              <w:rtl/>
              <w:lang w:eastAsia="en-US"/>
            </w:rPr>
            <w:t>מתוך</w:t>
          </w:r>
          <w:r>
            <w:rPr>
              <w:rFonts w:hint="cs"/>
              <w:sz w:val="16"/>
              <w:szCs w:val="16"/>
              <w:rtl/>
              <w:lang w:eastAsia="en-US"/>
            </w:rPr>
            <w:t xml:space="preserve"> </w:t>
          </w:r>
          <w:r w:rsidRPr="00DA289E">
            <w:rPr>
              <w:sz w:val="16"/>
              <w:szCs w:val="16"/>
              <w:lang w:eastAsia="en-US"/>
            </w:rPr>
            <w:t xml:space="preserve"> </w:t>
          </w:r>
          <w:r>
            <w:rPr>
              <w:sz w:val="16"/>
              <w:szCs w:val="16"/>
              <w:lang w:eastAsia="en-US"/>
            </w:rPr>
            <w:t>9</w:t>
          </w:r>
        </w:p>
      </w:tc>
    </w:tr>
  </w:tbl>
  <w:p w:rsidR="006223D0" w:rsidRDefault="006223D0" w:rsidP="00D8087D">
    <w:pPr>
      <w:spacing w:before="0" w:after="0" w:line="240" w:lineRule="auto"/>
      <w:jc w:val="lef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9CA" w:rsidRDefault="002E39CA">
      <w:r>
        <w:separator/>
      </w:r>
    </w:p>
  </w:footnote>
  <w:footnote w:type="continuationSeparator" w:id="0">
    <w:p w:rsidR="002E39CA" w:rsidRDefault="002E39CA">
      <w:r>
        <w:continuationSeparator/>
      </w:r>
    </w:p>
  </w:footnote>
  <w:footnote w:id="1">
    <w:p w:rsidR="006223D0" w:rsidRPr="00E17302" w:rsidRDefault="006223D0" w:rsidP="003815B9">
      <w:pPr>
        <w:pStyle w:val="a4"/>
        <w:rPr>
          <w:rtl/>
        </w:rPr>
      </w:pPr>
      <w:r>
        <w:rPr>
          <w:rStyle w:val="a6"/>
        </w:rPr>
        <w:footnoteRef/>
      </w:r>
      <w:r>
        <w:rPr>
          <w:rtl/>
        </w:rPr>
        <w:t xml:space="preserve"> </w:t>
      </w:r>
      <w:r>
        <w:rPr>
          <w:rFonts w:hint="cs"/>
          <w:rtl/>
        </w:rPr>
        <w:t xml:space="preserve">להרחבה בנושא ראו: מרכז המחקר והמידע של הכנסת, </w:t>
      </w:r>
      <w:r>
        <w:rPr>
          <w:rFonts w:hint="cs"/>
          <w:u w:val="single"/>
          <w:rtl/>
        </w:rPr>
        <w:t>הפלרת מי שתייה</w:t>
      </w:r>
      <w:r>
        <w:rPr>
          <w:rFonts w:hint="cs"/>
          <w:rtl/>
        </w:rPr>
        <w:t xml:space="preserve">, כתבה </w:t>
      </w:r>
      <w:smartTag w:uri="urn:schemas-microsoft-com:office:smarttags" w:element="PersonName">
        <w:r>
          <w:rPr>
            <w:rFonts w:hint="cs"/>
            <w:rtl/>
          </w:rPr>
          <w:t>שירי בס ספקטור</w:t>
        </w:r>
      </w:smartTag>
      <w:r>
        <w:rPr>
          <w:rFonts w:hint="cs"/>
          <w:rtl/>
        </w:rPr>
        <w:t xml:space="preserve">, מאי 2011. </w:t>
      </w:r>
    </w:p>
  </w:footnote>
  <w:footnote w:id="2">
    <w:p w:rsidR="006223D0" w:rsidRDefault="006223D0" w:rsidP="002C16E4">
      <w:pPr>
        <w:pStyle w:val="a4"/>
        <w:rPr>
          <w:rtl/>
        </w:rPr>
      </w:pPr>
      <w:r>
        <w:rPr>
          <w:rStyle w:val="a6"/>
        </w:rPr>
        <w:footnoteRef/>
      </w:r>
      <w:r>
        <w:rPr>
          <w:rtl/>
        </w:rPr>
        <w:t xml:space="preserve"> </w:t>
      </w:r>
      <w:r>
        <w:rPr>
          <w:rFonts w:hint="cs"/>
          <w:rtl/>
        </w:rPr>
        <w:tab/>
        <w:t>ראו למשל:</w:t>
      </w:r>
    </w:p>
    <w:p w:rsidR="006223D0" w:rsidRPr="00241A5B" w:rsidRDefault="006223D0" w:rsidP="003815B9">
      <w:pPr>
        <w:pStyle w:val="a4"/>
        <w:bidi w:val="0"/>
      </w:pPr>
      <w:r>
        <w:tab/>
        <w:t xml:space="preserve">Douglas Cross, </w:t>
      </w:r>
      <w:hyperlink r:id="rId1" w:history="1">
        <w:r w:rsidRPr="004D3A71">
          <w:rPr>
            <w:rStyle w:val="Hyperlink"/>
          </w:rPr>
          <w:t>The implications of the European Court of Justice decision on the regulation of 'functional drinks' with regard to the practice of water fluoridation</w:t>
        </w:r>
      </w:hyperlink>
      <w:r>
        <w:t xml:space="preserve">, 12 May 2009, </w:t>
      </w:r>
      <w:r w:rsidRPr="004D3A71">
        <w:rPr>
          <w:lang w:val="en"/>
        </w:rPr>
        <w:t>UK Councils Against Fluoridation</w:t>
      </w:r>
      <w:r>
        <w:rPr>
          <w:lang w:val="en"/>
        </w:rPr>
        <w:t xml:space="preserve"> website, viewed: November 22</w:t>
      </w:r>
      <w:r w:rsidRPr="004D3A71">
        <w:rPr>
          <w:vertAlign w:val="superscript"/>
          <w:lang w:val="en"/>
        </w:rPr>
        <w:t>nd</w:t>
      </w:r>
      <w:r>
        <w:rPr>
          <w:lang w:val="en"/>
        </w:rPr>
        <w:t xml:space="preserve">, 2011. </w:t>
      </w:r>
    </w:p>
  </w:footnote>
  <w:footnote w:id="3">
    <w:p w:rsidR="006223D0" w:rsidRPr="00271924" w:rsidRDefault="006223D0" w:rsidP="003815B9">
      <w:pPr>
        <w:pStyle w:val="a4"/>
        <w:bidi w:val="0"/>
      </w:pPr>
      <w:r>
        <w:rPr>
          <w:rStyle w:val="a6"/>
        </w:rPr>
        <w:footnoteRef/>
      </w:r>
      <w:r>
        <w:rPr>
          <w:rtl/>
        </w:rPr>
        <w:t xml:space="preserve"> </w:t>
      </w:r>
      <w:r>
        <w:rPr>
          <w:rFonts w:hint="cs"/>
          <w:rtl/>
        </w:rPr>
        <w:tab/>
      </w:r>
      <w:r w:rsidRPr="004D3A71">
        <w:rPr>
          <w:lang w:val="en"/>
        </w:rPr>
        <w:t>Judgment of the Court (First Chamber) of 9 June 2005</w:t>
      </w:r>
      <w:r>
        <w:rPr>
          <w:lang w:val="en"/>
        </w:rPr>
        <w:t xml:space="preserve">, </w:t>
      </w:r>
      <w:r w:rsidRPr="00D51DD1">
        <w:rPr>
          <w:b/>
          <w:bCs/>
          <w:lang w:val="en"/>
        </w:rPr>
        <w:t>HLH and Orthica v Bundesrepublik Deutschland</w:t>
      </w:r>
      <w:r>
        <w:rPr>
          <w:lang w:val="en"/>
        </w:rPr>
        <w:t xml:space="preserve"> </w:t>
      </w:r>
      <w:r w:rsidRPr="004D3A71">
        <w:rPr>
          <w:lang w:val="en"/>
        </w:rPr>
        <w:t>(C-211/03</w:t>
      </w:r>
      <w:r>
        <w:rPr>
          <w:lang w:val="en"/>
        </w:rPr>
        <w:t>,</w:t>
      </w:r>
      <w:r w:rsidRPr="004D3A71">
        <w:rPr>
          <w:lang w:val="en"/>
        </w:rPr>
        <w:t xml:space="preserve"> C-299/03 and C-316/03 to C-318/03)</w:t>
      </w:r>
      <w:r>
        <w:rPr>
          <w:lang w:val="en"/>
        </w:rPr>
        <w:t>,</w:t>
      </w:r>
      <w:r w:rsidRPr="004D3A71">
        <w:rPr>
          <w:lang w:val="en"/>
        </w:rPr>
        <w:t xml:space="preserve"> </w:t>
      </w:r>
      <w:hyperlink r:id="rId2" w:history="1">
        <w:r w:rsidRPr="000668FB">
          <w:rPr>
            <w:rStyle w:val="Hyperlink"/>
            <w:lang w:val="en"/>
          </w:rPr>
          <w:t>summary</w:t>
        </w:r>
      </w:hyperlink>
      <w:r>
        <w:rPr>
          <w:lang w:val="en"/>
        </w:rPr>
        <w:t xml:space="preserve"> and </w:t>
      </w:r>
      <w:hyperlink r:id="rId3" w:history="1">
        <w:r w:rsidRPr="000668FB">
          <w:rPr>
            <w:rStyle w:val="Hyperlink"/>
            <w:lang w:val="en"/>
          </w:rPr>
          <w:t>full text</w:t>
        </w:r>
      </w:hyperlink>
      <w:r>
        <w:rPr>
          <w:lang w:val="en"/>
        </w:rPr>
        <w:t xml:space="preserve"> of judgment, viewed: November 22</w:t>
      </w:r>
      <w:r w:rsidRPr="000668FB">
        <w:rPr>
          <w:vertAlign w:val="superscript"/>
          <w:lang w:val="en"/>
        </w:rPr>
        <w:t>nd</w:t>
      </w:r>
      <w:r>
        <w:rPr>
          <w:lang w:val="en"/>
        </w:rPr>
        <w:t xml:space="preserve">, 2011. </w:t>
      </w:r>
    </w:p>
  </w:footnote>
  <w:footnote w:id="4">
    <w:p w:rsidR="006223D0" w:rsidRPr="00CE23CD" w:rsidRDefault="006223D0" w:rsidP="002C16E4">
      <w:pPr>
        <w:pStyle w:val="a4"/>
        <w:bidi w:val="0"/>
      </w:pPr>
      <w:r>
        <w:rPr>
          <w:rStyle w:val="a6"/>
        </w:rPr>
        <w:footnoteRef/>
      </w:r>
      <w:r>
        <w:rPr>
          <w:rtl/>
        </w:rPr>
        <w:t xml:space="preserve"> </w:t>
      </w:r>
      <w:r>
        <w:rPr>
          <w:rFonts w:hint="cs"/>
          <w:rtl/>
        </w:rPr>
        <w:tab/>
      </w:r>
      <w:r>
        <w:t xml:space="preserve">European Parliament, Parliamentary questions: </w:t>
      </w:r>
      <w:hyperlink r:id="rId4" w:history="1">
        <w:r w:rsidRPr="00CE23CD">
          <w:rPr>
            <w:rStyle w:val="Hyperlink"/>
          </w:rPr>
          <w:t>Written Question E-4645/08</w:t>
        </w:r>
      </w:hyperlink>
      <w:r w:rsidRPr="00CE23CD">
        <w:t xml:space="preserve"> by Kathy Sinnott (IND/DEM) to the Commission</w:t>
      </w:r>
      <w:r>
        <w:t xml:space="preserve">, </w:t>
      </w:r>
      <w:r w:rsidRPr="00CE23CD">
        <w:t xml:space="preserve">Subject: Hydroflurosilicic acid in Irish drinking water </w:t>
      </w:r>
      <w:r>
        <w:t>–</w:t>
      </w:r>
      <w:r w:rsidRPr="00CE23CD">
        <w:t xml:space="preserve"> further questions</w:t>
      </w:r>
      <w:r>
        <w:t xml:space="preserve">, </w:t>
      </w:r>
      <w:r w:rsidRPr="00CE23CD">
        <w:t>25 August 2008</w:t>
      </w:r>
      <w:r>
        <w:t xml:space="preserve">; </w:t>
      </w:r>
      <w:hyperlink r:id="rId5" w:history="1">
        <w:r w:rsidRPr="00CE23CD">
          <w:rPr>
            <w:rStyle w:val="Hyperlink"/>
          </w:rPr>
          <w:t>Answer E-4645/2008</w:t>
        </w:r>
      </w:hyperlink>
      <w:r>
        <w:t xml:space="preserve"> </w:t>
      </w:r>
      <w:r w:rsidRPr="00CE23CD">
        <w:t>given by Mr Verheugen on behalf of the Commission</w:t>
      </w:r>
      <w:r>
        <w:t>, 7 October 2008; both viewed: November 22</w:t>
      </w:r>
      <w:r w:rsidRPr="00CE23CD">
        <w:rPr>
          <w:vertAlign w:val="superscript"/>
        </w:rPr>
        <w:t>nd</w:t>
      </w:r>
      <w:r>
        <w:t>, 2011.</w:t>
      </w:r>
    </w:p>
  </w:footnote>
  <w:footnote w:id="5">
    <w:p w:rsidR="006223D0" w:rsidRPr="00654BC1" w:rsidRDefault="006223D0" w:rsidP="00271924">
      <w:pPr>
        <w:pStyle w:val="a4"/>
        <w:rPr>
          <w:spacing w:val="-10"/>
          <w:rtl/>
        </w:rPr>
      </w:pPr>
      <w:r>
        <w:rPr>
          <w:rStyle w:val="a6"/>
        </w:rPr>
        <w:footnoteRef/>
      </w:r>
      <w:r>
        <w:rPr>
          <w:rtl/>
        </w:rPr>
        <w:t xml:space="preserve"> </w:t>
      </w:r>
      <w:r>
        <w:rPr>
          <w:rFonts w:hint="cs"/>
          <w:rtl/>
        </w:rPr>
        <w:tab/>
      </w:r>
      <w:r w:rsidRPr="00463930">
        <w:rPr>
          <w:rFonts w:hint="cs"/>
          <w:b/>
          <w:bCs/>
          <w:rtl/>
        </w:rPr>
        <w:t>דירקטיבה</w:t>
      </w:r>
      <w:r w:rsidRPr="00463930">
        <w:rPr>
          <w:rFonts w:hint="cs"/>
          <w:rtl/>
        </w:rPr>
        <w:t xml:space="preserve"> היא </w:t>
      </w:r>
      <w:r w:rsidRPr="00463930">
        <w:rPr>
          <w:rFonts w:hint="cs"/>
          <w:b/>
          <w:bCs/>
          <w:rtl/>
        </w:rPr>
        <w:t xml:space="preserve">חקיקה של האיחוד </w:t>
      </w:r>
      <w:r w:rsidRPr="009F08E6">
        <w:rPr>
          <w:rFonts w:hint="cs"/>
          <w:b/>
          <w:bCs/>
          <w:rtl/>
        </w:rPr>
        <w:t>האירופי</w:t>
      </w:r>
      <w:r>
        <w:rPr>
          <w:rFonts w:hint="cs"/>
          <w:rtl/>
        </w:rPr>
        <w:t xml:space="preserve">, </w:t>
      </w:r>
      <w:r w:rsidRPr="00271924">
        <w:rPr>
          <w:rtl/>
          <w:lang w:eastAsia="en-US"/>
        </w:rPr>
        <w:t>המחייבת את המדינות החברות באיחוד לוודא שהדין הפנימי בהן תואם את הוראותיה כך שיביא לתוצאות הקבועות בה;</w:t>
      </w:r>
      <w:r w:rsidRPr="00271924">
        <w:rPr>
          <w:rFonts w:hint="cs"/>
          <w:rtl/>
        </w:rPr>
        <w:t>עם ז</w:t>
      </w:r>
      <w:r>
        <w:rPr>
          <w:rFonts w:hint="cs"/>
          <w:rtl/>
        </w:rPr>
        <w:t>את, בסמכותן של המדינות לבחור את פרטי ההסדר שייקבע בחקיקה המדינתית</w:t>
      </w:r>
      <w:r w:rsidRPr="00463930">
        <w:rPr>
          <w:rFonts w:hint="cs"/>
          <w:rtl/>
        </w:rPr>
        <w:t xml:space="preserve">. יצוין כי אם הוראות של דירקטיבה לא עוגנו במלואן בדין הפנימי של מדינה החברה באיחוד, אזרחי אותה מדינה יוכלו לטעון על-פי אותה דירקטיבה ישירות בפני בתי-המשפט של המדינה. </w:t>
      </w:r>
      <w:r>
        <w:rPr>
          <w:rtl/>
        </w:rPr>
        <w:br/>
      </w:r>
      <w:r>
        <w:rPr>
          <w:rFonts w:hint="cs"/>
          <w:rtl/>
        </w:rPr>
        <w:t>ה</w:t>
      </w:r>
      <w:r w:rsidRPr="00654BC1">
        <w:rPr>
          <w:rFonts w:hint="cs"/>
          <w:spacing w:val="-10"/>
          <w:rtl/>
        </w:rPr>
        <w:t xml:space="preserve">מידע מאתר החקיקה של האיחוד האירופי: </w:t>
      </w:r>
      <w:hyperlink r:id="rId6" w:anchor="1.3" w:history="1">
        <w:r w:rsidRPr="00654BC1">
          <w:rPr>
            <w:rStyle w:val="Hyperlink"/>
            <w:spacing w:val="-10"/>
          </w:rPr>
          <w:t>http://eur-lex.europa.eu/en/droit_communautaire/droit_communautaire.htm#1.3</w:t>
        </w:r>
      </w:hyperlink>
      <w:r w:rsidRPr="00654BC1">
        <w:rPr>
          <w:rFonts w:hint="cs"/>
          <w:spacing w:val="-10"/>
          <w:rtl/>
        </w:rPr>
        <w:t xml:space="preserve">, תאריך כניסה: 22 בנובמבר 2011. </w:t>
      </w:r>
    </w:p>
  </w:footnote>
  <w:footnote w:id="6">
    <w:p w:rsidR="006223D0" w:rsidRDefault="006223D0" w:rsidP="002C16E4">
      <w:pPr>
        <w:pStyle w:val="a4"/>
        <w:bidi w:val="0"/>
      </w:pPr>
      <w:r>
        <w:rPr>
          <w:rStyle w:val="a6"/>
        </w:rPr>
        <w:footnoteRef/>
      </w:r>
      <w:r>
        <w:rPr>
          <w:rtl/>
        </w:rPr>
        <w:t xml:space="preserve"> </w:t>
      </w:r>
      <w:r>
        <w:rPr>
          <w:rFonts w:hint="cs"/>
          <w:rtl/>
        </w:rPr>
        <w:tab/>
      </w:r>
      <w:hyperlink r:id="rId7" w:history="1">
        <w:r w:rsidRPr="00AF4E05">
          <w:rPr>
            <w:rStyle w:val="Hyperlink"/>
          </w:rPr>
          <w:t>C</w:t>
        </w:r>
        <w:r>
          <w:rPr>
            <w:rStyle w:val="Hyperlink"/>
          </w:rPr>
          <w:t>ouncil</w:t>
        </w:r>
        <w:r w:rsidRPr="00AF4E05">
          <w:rPr>
            <w:rStyle w:val="Hyperlink"/>
          </w:rPr>
          <w:t xml:space="preserve"> D</w:t>
        </w:r>
        <w:r>
          <w:rPr>
            <w:rStyle w:val="Hyperlink"/>
          </w:rPr>
          <w:t>irective</w:t>
        </w:r>
        <w:r w:rsidRPr="00AF4E05">
          <w:rPr>
            <w:rStyle w:val="Hyperlink"/>
          </w:rPr>
          <w:t xml:space="preserve"> 98/83/EC</w:t>
        </w:r>
      </w:hyperlink>
      <w:r>
        <w:t xml:space="preserve"> of 3 November 1998 on the Quality of Water Intended for Human Consumption. </w:t>
      </w:r>
    </w:p>
  </w:footnote>
  <w:footnote w:id="7">
    <w:p w:rsidR="006223D0" w:rsidRDefault="006223D0" w:rsidP="002C16E4">
      <w:pPr>
        <w:pStyle w:val="a4"/>
        <w:rPr>
          <w:rtl/>
        </w:rPr>
      </w:pPr>
      <w:r>
        <w:rPr>
          <w:rStyle w:val="a6"/>
        </w:rPr>
        <w:footnoteRef/>
      </w:r>
      <w:r>
        <w:rPr>
          <w:rtl/>
        </w:rPr>
        <w:t xml:space="preserve"> </w:t>
      </w:r>
      <w:r>
        <w:rPr>
          <w:rFonts w:hint="cs"/>
          <w:rtl/>
        </w:rPr>
        <w:tab/>
        <w:t xml:space="preserve">חלק </w:t>
      </w:r>
      <w:r>
        <w:rPr>
          <w:rFonts w:hint="cs"/>
        </w:rPr>
        <w:t>B</w:t>
      </w:r>
      <w:r>
        <w:rPr>
          <w:rFonts w:hint="cs"/>
          <w:rtl/>
        </w:rPr>
        <w:t xml:space="preserve"> לתוספת הראשונה לדירקטיבה. </w:t>
      </w:r>
    </w:p>
  </w:footnote>
  <w:footnote w:id="8">
    <w:p w:rsidR="006223D0" w:rsidRPr="00AB7FDF" w:rsidRDefault="006223D0" w:rsidP="00C729FC">
      <w:pPr>
        <w:pStyle w:val="a4"/>
        <w:bidi w:val="0"/>
      </w:pPr>
      <w:r>
        <w:rPr>
          <w:rStyle w:val="a6"/>
        </w:rPr>
        <w:footnoteRef/>
      </w:r>
      <w:r>
        <w:rPr>
          <w:rtl/>
        </w:rPr>
        <w:t xml:space="preserve"> </w:t>
      </w:r>
      <w:r>
        <w:rPr>
          <w:rFonts w:hint="cs"/>
          <w:rtl/>
        </w:rPr>
        <w:tab/>
      </w:r>
      <w:r>
        <w:t xml:space="preserve">European Commission, </w:t>
      </w:r>
      <w:r w:rsidRPr="00AB7FDF">
        <w:t>D</w:t>
      </w:r>
      <w:r>
        <w:t xml:space="preserve">irectorate </w:t>
      </w:r>
      <w:r w:rsidRPr="00AB7FDF">
        <w:t>G</w:t>
      </w:r>
      <w:r>
        <w:t>eneral</w:t>
      </w:r>
      <w:r w:rsidRPr="00AB7FDF">
        <w:t xml:space="preserve"> Health and Consumers</w:t>
      </w:r>
      <w:r>
        <w:t xml:space="preserve">, Scientific Committee on Health and Environmental Risks (SCHER), </w:t>
      </w:r>
      <w:hyperlink r:id="rId8" w:history="1">
        <w:r w:rsidRPr="00843564">
          <w:rPr>
            <w:rStyle w:val="Hyperlink"/>
          </w:rPr>
          <w:t>Critical review of any new evidence on the hazard profile, health effects, and human exposure to fluoride and the fluoridating agents of drinking water</w:t>
        </w:r>
      </w:hyperlink>
      <w:r>
        <w:t xml:space="preserve">, </w:t>
      </w:r>
      <w:r w:rsidRPr="00AB7FDF">
        <w:t>May</w:t>
      </w:r>
      <w:r>
        <w:t xml:space="preserve"> 16</w:t>
      </w:r>
      <w:r w:rsidRPr="00C729FC">
        <w:rPr>
          <w:vertAlign w:val="superscript"/>
        </w:rPr>
        <w:t>th</w:t>
      </w:r>
      <w:r>
        <w:t xml:space="preserve">, </w:t>
      </w:r>
      <w:r w:rsidRPr="00AB7FDF">
        <w:t xml:space="preserve"> 2011</w:t>
      </w:r>
      <w:r>
        <w:t>.</w:t>
      </w:r>
    </w:p>
  </w:footnote>
  <w:footnote w:id="9">
    <w:p w:rsidR="006223D0" w:rsidRDefault="006223D0" w:rsidP="00241A5B">
      <w:pPr>
        <w:pStyle w:val="a4"/>
        <w:rPr>
          <w:rtl/>
        </w:rPr>
      </w:pPr>
      <w:r>
        <w:rPr>
          <w:rStyle w:val="a6"/>
        </w:rPr>
        <w:footnoteRef/>
      </w:r>
      <w:r>
        <w:rPr>
          <w:rtl/>
        </w:rPr>
        <w:t xml:space="preserve"> </w:t>
      </w:r>
      <w:r>
        <w:rPr>
          <w:rFonts w:hint="cs"/>
          <w:rtl/>
        </w:rPr>
        <w:tab/>
        <w:t xml:space="preserve">אף-על-פי שנקבע בסקירה זו כי בנוגע לילדים יש גבול דק בין השגת התופעות הרצויות של הוספת הפלואוריד למים (מניעת עששת), לבין תוצאותיה </w:t>
      </w:r>
      <w:r w:rsidRPr="00241A5B">
        <w:rPr>
          <w:rFonts w:hint="cs"/>
          <w:rtl/>
        </w:rPr>
        <w:t>השליליות (פלואורוזיס של השן).</w:t>
      </w:r>
    </w:p>
  </w:footnote>
  <w:footnote w:id="10">
    <w:p w:rsidR="006223D0" w:rsidRPr="00241A5B" w:rsidRDefault="006223D0" w:rsidP="00241A5B">
      <w:pPr>
        <w:pStyle w:val="a4"/>
        <w:bidi w:val="0"/>
        <w:rPr>
          <w:rtl/>
        </w:rPr>
      </w:pPr>
      <w:r>
        <w:rPr>
          <w:rStyle w:val="a6"/>
        </w:rPr>
        <w:footnoteRef/>
      </w:r>
      <w:r>
        <w:rPr>
          <w:rtl/>
        </w:rPr>
        <w:t xml:space="preserve"> </w:t>
      </w:r>
      <w:r>
        <w:t>Mary Heaton, UK Department of Health, email, November 14</w:t>
      </w:r>
      <w:r w:rsidRPr="0066467C">
        <w:rPr>
          <w:vertAlign w:val="superscript"/>
        </w:rPr>
        <w:t>th</w:t>
      </w:r>
      <w:r>
        <w:t>, 2011.</w:t>
      </w:r>
    </w:p>
  </w:footnote>
  <w:footnote w:id="11">
    <w:p w:rsidR="009B3ABB" w:rsidRPr="009B3ABB" w:rsidRDefault="009B3ABB" w:rsidP="0031673B">
      <w:pPr>
        <w:pStyle w:val="a4"/>
        <w:bidi w:val="0"/>
      </w:pPr>
      <w:r>
        <w:rPr>
          <w:rStyle w:val="a6"/>
        </w:rPr>
        <w:footnoteRef/>
      </w:r>
      <w:r>
        <w:rPr>
          <w:rtl/>
        </w:rPr>
        <w:t xml:space="preserve"> </w:t>
      </w:r>
      <w:r>
        <w:rPr>
          <w:rFonts w:hint="cs"/>
        </w:rPr>
        <w:t>H</w:t>
      </w:r>
      <w:r>
        <w:t xml:space="preserve">ouse of Commons Library, </w:t>
      </w:r>
      <w:hyperlink r:id="rId9" w:anchor="fullreport" w:history="1">
        <w:r w:rsidRPr="0031673B">
          <w:rPr>
            <w:rStyle w:val="Hyperlink"/>
          </w:rPr>
          <w:t>Briefing paper SN05689-</w:t>
        </w:r>
        <w:r w:rsidRPr="009B3ABB">
          <w:rPr>
            <w:rStyle w:val="Hyperlink"/>
          </w:rPr>
          <w:t>Fluoridation</w:t>
        </w:r>
      </w:hyperlink>
      <w:r>
        <w:t>, September 2013.</w:t>
      </w:r>
    </w:p>
  </w:footnote>
  <w:footnote w:id="12">
    <w:p w:rsidR="006223D0" w:rsidRDefault="006223D0" w:rsidP="002C16E4">
      <w:pPr>
        <w:pStyle w:val="a4"/>
        <w:bidi w:val="0"/>
      </w:pPr>
      <w:r>
        <w:rPr>
          <w:rStyle w:val="a6"/>
        </w:rPr>
        <w:footnoteRef/>
      </w:r>
      <w:r>
        <w:rPr>
          <w:rtl/>
        </w:rPr>
        <w:t xml:space="preserve"> </w:t>
      </w:r>
      <w:r>
        <w:t>Mary Heaton, UK Department of Health, email, November 14</w:t>
      </w:r>
      <w:r w:rsidRPr="0066467C">
        <w:rPr>
          <w:vertAlign w:val="superscript"/>
        </w:rPr>
        <w:t>th</w:t>
      </w:r>
      <w:r>
        <w:t>, 2011.</w:t>
      </w:r>
    </w:p>
  </w:footnote>
  <w:footnote w:id="13">
    <w:p w:rsidR="007339E1" w:rsidRPr="007339E1" w:rsidRDefault="007339E1" w:rsidP="0031673B">
      <w:pPr>
        <w:pStyle w:val="a4"/>
        <w:bidi w:val="0"/>
        <w:rPr>
          <w:rtl/>
        </w:rPr>
      </w:pPr>
      <w:r>
        <w:rPr>
          <w:rStyle w:val="a6"/>
        </w:rPr>
        <w:footnoteRef/>
      </w:r>
      <w:r>
        <w:rPr>
          <w:rtl/>
        </w:rPr>
        <w:t xml:space="preserve"> </w:t>
      </w:r>
      <w:r w:rsidRPr="00FA1336">
        <w:t>Eleanor Williams</w:t>
      </w:r>
      <w:r>
        <w:t>, New Zealand</w:t>
      </w:r>
      <w:r w:rsidRPr="00FA1336">
        <w:t xml:space="preserve"> Ministry for the Environment</w:t>
      </w:r>
      <w:r>
        <w:t>, email, October 27</w:t>
      </w:r>
      <w:r w:rsidRPr="00FA1336">
        <w:rPr>
          <w:vertAlign w:val="superscript"/>
        </w:rPr>
        <w:t>th</w:t>
      </w:r>
      <w:r>
        <w:t>, 2011.</w:t>
      </w:r>
    </w:p>
  </w:footnote>
  <w:footnote w:id="14">
    <w:p w:rsidR="007339E1" w:rsidRPr="0031673B" w:rsidRDefault="007339E1" w:rsidP="0031673B">
      <w:pPr>
        <w:pStyle w:val="a4"/>
        <w:bidi w:val="0"/>
        <w:rPr>
          <w:u w:val="single"/>
        </w:rPr>
      </w:pPr>
      <w:r>
        <w:rPr>
          <w:rStyle w:val="a6"/>
        </w:rPr>
        <w:footnoteRef/>
      </w:r>
      <w:r>
        <w:rPr>
          <w:rtl/>
        </w:rPr>
        <w:t xml:space="preserve"> </w:t>
      </w:r>
      <w:r>
        <w:t xml:space="preserve">The Royal Society of New Zealand and the Office of the Prime Minister’s Chief Science Advisor, </w:t>
      </w:r>
      <w:hyperlink r:id="rId10" w:history="1">
        <w:r w:rsidRPr="0031673B">
          <w:rPr>
            <w:rStyle w:val="Hyperlink"/>
          </w:rPr>
          <w:t>Health effects of water fluoridation: A review of the scientific evidence</w:t>
        </w:r>
      </w:hyperlink>
      <w:r>
        <w:rPr>
          <w:u w:val="single"/>
        </w:rPr>
        <w:t xml:space="preserve">, August 2014, </w:t>
      </w:r>
    </w:p>
  </w:footnote>
  <w:footnote w:id="15">
    <w:p w:rsidR="006223D0" w:rsidRPr="00FA1336" w:rsidRDefault="006223D0" w:rsidP="002C16E4">
      <w:pPr>
        <w:pStyle w:val="a4"/>
        <w:bidi w:val="0"/>
      </w:pPr>
      <w:r>
        <w:rPr>
          <w:rStyle w:val="a6"/>
        </w:rPr>
        <w:footnoteRef/>
      </w:r>
      <w:r>
        <w:rPr>
          <w:rtl/>
        </w:rPr>
        <w:t xml:space="preserve"> </w:t>
      </w:r>
      <w:r w:rsidRPr="00FA1336">
        <w:t>Eleanor Williams</w:t>
      </w:r>
      <w:r>
        <w:t>, New Zealand</w:t>
      </w:r>
      <w:r w:rsidRPr="00FA1336">
        <w:t xml:space="preserve"> Ministry for the Environment</w:t>
      </w:r>
      <w:r>
        <w:t>, email, October 27</w:t>
      </w:r>
      <w:r w:rsidRPr="00FA1336">
        <w:rPr>
          <w:vertAlign w:val="superscript"/>
        </w:rPr>
        <w:t>th</w:t>
      </w:r>
      <w:r>
        <w:t>, 2011.</w:t>
      </w:r>
    </w:p>
  </w:footnote>
  <w:footnote w:id="16">
    <w:p w:rsidR="006223D0" w:rsidRPr="009F4A4D" w:rsidRDefault="006223D0" w:rsidP="002C16E4">
      <w:pPr>
        <w:pStyle w:val="a4"/>
        <w:bidi w:val="0"/>
      </w:pPr>
      <w:r>
        <w:rPr>
          <w:rStyle w:val="a6"/>
        </w:rPr>
        <w:footnoteRef/>
      </w:r>
      <w:r>
        <w:rPr>
          <w:rtl/>
        </w:rPr>
        <w:t xml:space="preserve"> </w:t>
      </w:r>
      <w:r>
        <w:t xml:space="preserve">Centers for Disease Control and Prevention, </w:t>
      </w:r>
      <w:hyperlink r:id="rId11" w:history="1">
        <w:r w:rsidRPr="009F4A4D">
          <w:rPr>
            <w:rStyle w:val="Hyperlink"/>
          </w:rPr>
          <w:t>2008 water fluoridation statistics</w:t>
        </w:r>
      </w:hyperlink>
      <w:r>
        <w:rPr>
          <w:u w:val="single"/>
        </w:rPr>
        <w:t xml:space="preserve">, </w:t>
      </w:r>
      <w:r>
        <w:t>retrieved on December 7</w:t>
      </w:r>
      <w:r w:rsidRPr="009F4A4D">
        <w:rPr>
          <w:vertAlign w:val="superscript"/>
        </w:rPr>
        <w:t>th</w:t>
      </w:r>
      <w:r>
        <w:t xml:space="preserve">, 2011. </w:t>
      </w:r>
    </w:p>
  </w:footnote>
  <w:footnote w:id="17">
    <w:p w:rsidR="006223D0" w:rsidRPr="000B4C9A" w:rsidRDefault="006223D0" w:rsidP="002C16E4">
      <w:pPr>
        <w:pStyle w:val="a4"/>
        <w:bidi w:val="0"/>
      </w:pPr>
      <w:r>
        <w:rPr>
          <w:rStyle w:val="a6"/>
        </w:rPr>
        <w:footnoteRef/>
      </w:r>
      <w:r>
        <w:rPr>
          <w:rtl/>
        </w:rPr>
        <w:t xml:space="preserve"> </w:t>
      </w:r>
      <w:r>
        <w:t xml:space="preserve"> Environmental Protection Agency, </w:t>
      </w:r>
      <w:r>
        <w:rPr>
          <w:u w:val="single"/>
        </w:rPr>
        <w:t>News Release: EPA and HHS announce new scientific assessment and actions on Fluoride/ Agencies working together to maintain benefits,</w:t>
      </w:r>
      <w:r w:rsidRPr="00E74CE8">
        <w:t xml:space="preserve"> </w:t>
      </w:r>
      <w:r>
        <w:t>July 11</w:t>
      </w:r>
      <w:r w:rsidRPr="000B4C9A">
        <w:rPr>
          <w:vertAlign w:val="superscript"/>
        </w:rPr>
        <w:t>th</w:t>
      </w:r>
      <w:r>
        <w:t xml:space="preserve">, 2011. </w:t>
      </w:r>
    </w:p>
  </w:footnote>
  <w:footnote w:id="18">
    <w:p w:rsidR="00CE46DC" w:rsidRPr="008E293F" w:rsidRDefault="00CE46DC" w:rsidP="008E293F">
      <w:pPr>
        <w:pStyle w:val="a4"/>
        <w:bidi w:val="0"/>
        <w:rPr>
          <w:rtl/>
        </w:rPr>
      </w:pPr>
      <w:r>
        <w:rPr>
          <w:rStyle w:val="a6"/>
        </w:rPr>
        <w:footnoteRef/>
      </w:r>
      <w:r>
        <w:rPr>
          <w:rtl/>
        </w:rPr>
        <w:t xml:space="preserve"> </w:t>
      </w:r>
      <w:r w:rsidR="008E293F" w:rsidRPr="008E293F">
        <w:t xml:space="preserve"> U.S. Department of Health and Human Services Federal Panel on Community Water Fluoridation</w:t>
      </w:r>
      <w:r w:rsidR="008E293F">
        <w:t xml:space="preserve">, </w:t>
      </w:r>
      <w:hyperlink r:id="rId12" w:history="1">
        <w:r w:rsidR="008E293F" w:rsidRPr="008E293F">
          <w:rPr>
            <w:rStyle w:val="Hyperlink"/>
          </w:rPr>
          <w:t>U.S. Public Health Service Recommendation for Fluoride Concentration in Drinking Water for the Prevention of Dental Caries,</w:t>
        </w:r>
      </w:hyperlink>
      <w:r w:rsidR="008E293F">
        <w:rPr>
          <w:u w:val="single"/>
        </w:rPr>
        <w:t xml:space="preserve"> </w:t>
      </w:r>
      <w:r w:rsidR="008E293F">
        <w:t>Public Health Reports, vol. 130, July-August 2015.</w:t>
      </w:r>
    </w:p>
  </w:footnote>
  <w:footnote w:id="19">
    <w:p w:rsidR="0050369F" w:rsidRDefault="0050369F" w:rsidP="0050369F">
      <w:pPr>
        <w:pStyle w:val="a4"/>
        <w:rPr>
          <w:rFonts w:asciiTheme="majorBidi" w:hAnsiTheme="majorBidi"/>
          <w:rtl/>
        </w:rPr>
      </w:pPr>
      <w:r>
        <w:rPr>
          <w:rStyle w:val="a6"/>
        </w:rPr>
        <w:footnoteRef/>
      </w:r>
      <w:r>
        <w:rPr>
          <w:rtl/>
        </w:rPr>
        <w:t xml:space="preserve"> </w:t>
      </w:r>
      <w:r>
        <w:rPr>
          <w:rFonts w:asciiTheme="majorBidi" w:hAnsiTheme="majorBidi"/>
          <w:rtl/>
        </w:rPr>
        <w:tab/>
      </w:r>
      <w:r w:rsidRPr="0042186E">
        <w:rPr>
          <w:rFonts w:asciiTheme="majorBidi" w:hAnsiTheme="majorBidi" w:hint="cs"/>
          <w:rtl/>
        </w:rPr>
        <w:t>ראו:</w:t>
      </w:r>
    </w:p>
    <w:p w:rsidR="0050369F" w:rsidRDefault="0050369F" w:rsidP="0050369F">
      <w:pPr>
        <w:pStyle w:val="a4"/>
        <w:numPr>
          <w:ilvl w:val="0"/>
          <w:numId w:val="14"/>
        </w:numPr>
        <w:tabs>
          <w:tab w:val="clear" w:pos="210"/>
        </w:tabs>
        <w:bidi w:val="0"/>
        <w:spacing w:after="0"/>
        <w:ind w:left="454" w:right="227" w:hanging="227"/>
        <w:jc w:val="left"/>
        <w:rPr>
          <w:rFonts w:asciiTheme="majorBidi" w:hAnsiTheme="majorBidi"/>
        </w:rPr>
      </w:pPr>
      <w:r w:rsidRPr="00A02AB1">
        <w:rPr>
          <w:rFonts w:asciiTheme="majorBidi" w:hAnsiTheme="majorBidi"/>
        </w:rPr>
        <w:t xml:space="preserve">Jeff Wurzburg, Corrine Propas Parver, </w:t>
      </w:r>
      <w:hyperlink r:id="rId13" w:history="1">
        <w:r w:rsidRPr="00A02AB1">
          <w:rPr>
            <w:rStyle w:val="Hyperlink"/>
            <w:rFonts w:asciiTheme="majorBidi" w:hAnsiTheme="majorBidi"/>
          </w:rPr>
          <w:t>Community Water Fluoridation around the Nation: Significant Case Law and Legislation</w:t>
        </w:r>
      </w:hyperlink>
      <w:r>
        <w:rPr>
          <w:rFonts w:asciiTheme="majorBidi" w:hAnsiTheme="majorBidi"/>
        </w:rPr>
        <w:t xml:space="preserve">, </w:t>
      </w:r>
      <w:r w:rsidRPr="00A02AB1">
        <w:rPr>
          <w:rFonts w:asciiTheme="majorBidi" w:hAnsiTheme="majorBidi"/>
          <w:i/>
          <w:iCs/>
        </w:rPr>
        <w:t>Health Law and Policy Brief</w:t>
      </w:r>
      <w:r>
        <w:rPr>
          <w:rFonts w:asciiTheme="majorBidi" w:hAnsiTheme="majorBidi"/>
        </w:rPr>
        <w:t xml:space="preserve">, </w:t>
      </w:r>
      <w:r w:rsidRPr="00A02AB1">
        <w:rPr>
          <w:rFonts w:asciiTheme="majorBidi" w:hAnsiTheme="majorBidi"/>
        </w:rPr>
        <w:t>Volume 7</w:t>
      </w:r>
      <w:r>
        <w:rPr>
          <w:rFonts w:asciiTheme="majorBidi" w:hAnsiTheme="majorBidi"/>
        </w:rPr>
        <w:t>,</w:t>
      </w:r>
      <w:r w:rsidRPr="00A02AB1">
        <w:rPr>
          <w:rFonts w:asciiTheme="majorBidi" w:hAnsiTheme="majorBidi"/>
        </w:rPr>
        <w:t xml:space="preserve"> Issue 1</w:t>
      </w:r>
      <w:r>
        <w:rPr>
          <w:rFonts w:asciiTheme="majorBidi" w:hAnsiTheme="majorBidi"/>
        </w:rPr>
        <w:t>,</w:t>
      </w:r>
      <w:r w:rsidRPr="00A02AB1">
        <w:rPr>
          <w:rFonts w:asciiTheme="majorBidi" w:hAnsiTheme="majorBidi"/>
        </w:rPr>
        <w:t xml:space="preserve"> Article 2</w:t>
      </w:r>
      <w:r>
        <w:rPr>
          <w:rFonts w:asciiTheme="majorBidi" w:hAnsiTheme="majorBidi"/>
        </w:rPr>
        <w:t xml:space="preserve">, October </w:t>
      </w:r>
      <w:r w:rsidRPr="00A02AB1">
        <w:rPr>
          <w:rFonts w:asciiTheme="majorBidi" w:hAnsiTheme="majorBidi"/>
        </w:rPr>
        <w:t>2013</w:t>
      </w:r>
      <w:r>
        <w:rPr>
          <w:rFonts w:asciiTheme="majorBidi" w:hAnsiTheme="majorBidi"/>
        </w:rPr>
        <w:t>;</w:t>
      </w:r>
    </w:p>
    <w:p w:rsidR="0050369F" w:rsidRDefault="0050369F" w:rsidP="0050369F">
      <w:pPr>
        <w:pStyle w:val="a4"/>
        <w:numPr>
          <w:ilvl w:val="0"/>
          <w:numId w:val="14"/>
        </w:numPr>
        <w:tabs>
          <w:tab w:val="clear" w:pos="210"/>
        </w:tabs>
        <w:bidi w:val="0"/>
        <w:spacing w:after="0"/>
        <w:ind w:left="454" w:right="227" w:hanging="227"/>
        <w:jc w:val="left"/>
        <w:rPr>
          <w:rFonts w:asciiTheme="majorBidi" w:hAnsiTheme="majorBidi"/>
        </w:rPr>
      </w:pPr>
      <w:r w:rsidRPr="00A02AB1">
        <w:rPr>
          <w:rFonts w:asciiTheme="majorBidi" w:hAnsiTheme="majorBidi"/>
        </w:rPr>
        <w:t>Children’s Dental Health Project</w:t>
      </w:r>
      <w:r>
        <w:rPr>
          <w:rFonts w:asciiTheme="majorBidi" w:hAnsiTheme="majorBidi"/>
        </w:rPr>
        <w:t xml:space="preserve">, </w:t>
      </w:r>
      <w:hyperlink r:id="rId14" w:history="1">
        <w:r w:rsidRPr="00A02AB1">
          <w:rPr>
            <w:rStyle w:val="Hyperlink"/>
            <w:rFonts w:asciiTheme="majorBidi" w:hAnsiTheme="majorBidi"/>
          </w:rPr>
          <w:t>State Standards Vary for Community Water Fluoridation – What State Laws and Regulations Require – Policy Brief</w:t>
        </w:r>
      </w:hyperlink>
      <w:r>
        <w:rPr>
          <w:rFonts w:asciiTheme="majorBidi" w:hAnsiTheme="majorBidi"/>
        </w:rPr>
        <w:t xml:space="preserve">, </w:t>
      </w:r>
      <w:r w:rsidRPr="00A02AB1">
        <w:rPr>
          <w:rFonts w:asciiTheme="majorBidi" w:hAnsiTheme="majorBidi"/>
        </w:rPr>
        <w:t>November 2014</w:t>
      </w:r>
      <w:r>
        <w:rPr>
          <w:rFonts w:asciiTheme="majorBidi" w:hAnsiTheme="majorBidi"/>
        </w:rPr>
        <w:t>;</w:t>
      </w:r>
    </w:p>
    <w:p w:rsidR="0050369F" w:rsidRDefault="0050369F" w:rsidP="0050369F">
      <w:pPr>
        <w:pStyle w:val="a4"/>
        <w:numPr>
          <w:ilvl w:val="0"/>
          <w:numId w:val="14"/>
        </w:numPr>
        <w:tabs>
          <w:tab w:val="clear" w:pos="210"/>
        </w:tabs>
        <w:bidi w:val="0"/>
        <w:spacing w:after="0"/>
        <w:ind w:left="454" w:right="227" w:hanging="227"/>
        <w:jc w:val="left"/>
        <w:rPr>
          <w:rFonts w:asciiTheme="majorBidi" w:hAnsiTheme="majorBidi"/>
        </w:rPr>
      </w:pPr>
      <w:r>
        <w:rPr>
          <w:rFonts w:asciiTheme="majorBidi" w:hAnsiTheme="majorBidi"/>
        </w:rPr>
        <w:t xml:space="preserve">Fluoride Action Network website at: </w:t>
      </w:r>
      <w:hyperlink r:id="rId15" w:history="1">
        <w:r w:rsidRPr="0042186E">
          <w:rPr>
            <w:rStyle w:val="Hyperlink"/>
            <w:rFonts w:asciiTheme="majorBidi" w:hAnsiTheme="majorBidi"/>
          </w:rPr>
          <w:t>Mandatory Fluoridation in the U.S.</w:t>
        </w:r>
      </w:hyperlink>
      <w:r>
        <w:rPr>
          <w:rFonts w:asciiTheme="majorBidi" w:hAnsiTheme="majorBidi"/>
        </w:rPr>
        <w:t>, last viewed: 20 March 2016.</w:t>
      </w:r>
    </w:p>
    <w:p w:rsidR="0050369F" w:rsidRDefault="0050369F" w:rsidP="0050369F">
      <w:pPr>
        <w:pStyle w:val="a4"/>
        <w:numPr>
          <w:ilvl w:val="0"/>
          <w:numId w:val="14"/>
        </w:numPr>
        <w:tabs>
          <w:tab w:val="clear" w:pos="210"/>
        </w:tabs>
        <w:bidi w:val="0"/>
        <w:spacing w:after="0"/>
        <w:ind w:left="454" w:right="227" w:hanging="227"/>
        <w:jc w:val="left"/>
        <w:rPr>
          <w:rFonts w:asciiTheme="majorBidi" w:hAnsiTheme="majorBidi"/>
        </w:rPr>
      </w:pPr>
      <w:r w:rsidRPr="00926FA0">
        <w:rPr>
          <w:rFonts w:asciiTheme="majorBidi" w:hAnsiTheme="majorBidi"/>
        </w:rPr>
        <w:t>Fluoride Legislative User Information Database (</w:t>
      </w:r>
      <w:hyperlink r:id="rId16" w:history="1">
        <w:r w:rsidRPr="00926FA0">
          <w:rPr>
            <w:rStyle w:val="Hyperlink"/>
            <w:rFonts w:asciiTheme="majorBidi" w:hAnsiTheme="majorBidi"/>
          </w:rPr>
          <w:t>FLUIDLaw</w:t>
        </w:r>
      </w:hyperlink>
      <w:r>
        <w:rPr>
          <w:rFonts w:asciiTheme="majorBidi" w:hAnsiTheme="majorBidi"/>
        </w:rPr>
        <w:t>).</w:t>
      </w:r>
    </w:p>
    <w:p w:rsidR="0050369F" w:rsidRPr="00926FA0" w:rsidRDefault="0050369F" w:rsidP="0050369F">
      <w:pPr>
        <w:pStyle w:val="a4"/>
        <w:numPr>
          <w:ilvl w:val="0"/>
          <w:numId w:val="14"/>
        </w:numPr>
        <w:tabs>
          <w:tab w:val="clear" w:pos="210"/>
        </w:tabs>
        <w:bidi w:val="0"/>
        <w:spacing w:after="0"/>
        <w:ind w:left="454" w:right="227" w:hanging="227"/>
        <w:jc w:val="left"/>
        <w:rPr>
          <w:rFonts w:asciiTheme="majorBidi" w:hAnsiTheme="majorBidi"/>
        </w:rPr>
      </w:pPr>
      <w:r w:rsidRPr="0042186E">
        <w:rPr>
          <w:rFonts w:asciiTheme="majorBidi" w:hAnsiTheme="majorBidi"/>
        </w:rPr>
        <w:t>Meredith Whitten</w:t>
      </w:r>
      <w:r>
        <w:rPr>
          <w:rFonts w:asciiTheme="majorBidi" w:hAnsiTheme="majorBidi"/>
        </w:rPr>
        <w:t xml:space="preserve">, </w:t>
      </w:r>
      <w:hyperlink r:id="rId17" w:history="1">
        <w:r w:rsidRPr="0042186E">
          <w:rPr>
            <w:rStyle w:val="Hyperlink"/>
            <w:rFonts w:asciiTheme="majorBidi" w:hAnsiTheme="majorBidi"/>
          </w:rPr>
          <w:t>Louisiana’s fluoride flop</w:t>
        </w:r>
      </w:hyperlink>
      <w:r>
        <w:rPr>
          <w:rFonts w:asciiTheme="majorBidi" w:hAnsiTheme="majorBidi"/>
        </w:rPr>
        <w:t xml:space="preserve">, </w:t>
      </w:r>
      <w:r w:rsidRPr="0042186E">
        <w:rPr>
          <w:rFonts w:asciiTheme="majorBidi" w:hAnsiTheme="majorBidi"/>
          <w:i/>
          <w:iCs/>
        </w:rPr>
        <w:t>Business Report</w:t>
      </w:r>
      <w:r>
        <w:rPr>
          <w:rFonts w:asciiTheme="majorBidi" w:hAnsiTheme="majorBidi"/>
        </w:rPr>
        <w:t>, December 23, 2015.</w:t>
      </w:r>
    </w:p>
  </w:footnote>
  <w:footnote w:id="20">
    <w:p w:rsidR="0076378E" w:rsidRDefault="0076378E">
      <w:pPr>
        <w:pStyle w:val="a4"/>
        <w:rPr>
          <w:rtl/>
        </w:rPr>
      </w:pPr>
      <w:r>
        <w:rPr>
          <w:rStyle w:val="a6"/>
        </w:rPr>
        <w:footnoteRef/>
      </w:r>
      <w:r>
        <w:rPr>
          <w:rtl/>
        </w:rPr>
        <w:t xml:space="preserve"> </w:t>
      </w:r>
      <w:r>
        <w:rPr>
          <w:rFonts w:hint="cs"/>
          <w:rtl/>
        </w:rPr>
        <w:t>כאמור, המידע לגבי גרמניה במסמך זה מעודכן לדצמבר 2011.</w:t>
      </w:r>
    </w:p>
  </w:footnote>
  <w:footnote w:id="21">
    <w:p w:rsidR="006223D0" w:rsidRDefault="006223D0" w:rsidP="00241A5B">
      <w:pPr>
        <w:pStyle w:val="a4"/>
      </w:pPr>
      <w:r>
        <w:rPr>
          <w:rStyle w:val="a6"/>
        </w:rPr>
        <w:footnoteRef/>
      </w:r>
      <w:r>
        <w:rPr>
          <w:rtl/>
        </w:rPr>
        <w:t xml:space="preserve"> </w:t>
      </w:r>
      <w:r w:rsidRPr="00241A5B">
        <w:rPr>
          <w:rFonts w:hint="cs"/>
          <w:rtl/>
        </w:rPr>
        <w:t xml:space="preserve">אם לא צוין אחרת, המידע והמקורות </w:t>
      </w:r>
      <w:r>
        <w:rPr>
          <w:rFonts w:hint="cs"/>
          <w:rtl/>
        </w:rPr>
        <w:t>על גרמניה התקבלו בדואר אלקטרוני מאת</w:t>
      </w:r>
      <w:r w:rsidRPr="00241A5B">
        <w:rPr>
          <w:rFonts w:hint="cs"/>
          <w:rtl/>
        </w:rPr>
        <w:t>: ד</w:t>
      </w:r>
      <w:r>
        <w:rPr>
          <w:rFonts w:hint="cs"/>
          <w:rtl/>
        </w:rPr>
        <w:t xml:space="preserve">"ר ה' דיטר, המשרד לאיכות הסביבה בגרמניה, דואר אלקטרוני, 17 בנובמבר 2011. </w:t>
      </w:r>
    </w:p>
  </w:footnote>
  <w:footnote w:id="22">
    <w:p w:rsidR="006223D0" w:rsidRDefault="006223D0" w:rsidP="00241A5B">
      <w:pPr>
        <w:pStyle w:val="a4"/>
        <w:rPr>
          <w:rtl/>
        </w:rPr>
      </w:pPr>
      <w:r>
        <w:rPr>
          <w:rStyle w:val="a6"/>
        </w:rPr>
        <w:footnoteRef/>
      </w:r>
      <w:r>
        <w:rPr>
          <w:rtl/>
        </w:rPr>
        <w:t xml:space="preserve"> </w:t>
      </w:r>
      <w:r>
        <w:rPr>
          <w:rFonts w:hint="cs"/>
          <w:rtl/>
        </w:rPr>
        <w:t xml:space="preserve">הנחיות משרד הבריאות בגרמניה בנושא הפלרת מי שתייה, 6 ביוני 1985. </w:t>
      </w:r>
    </w:p>
  </w:footnote>
  <w:footnote w:id="23">
    <w:p w:rsidR="006223D0" w:rsidRDefault="006223D0" w:rsidP="00241A5B">
      <w:pPr>
        <w:pStyle w:val="a4"/>
        <w:rPr>
          <w:rtl/>
        </w:rPr>
      </w:pPr>
      <w:r>
        <w:rPr>
          <w:rStyle w:val="a6"/>
        </w:rPr>
        <w:footnoteRef/>
      </w:r>
      <w:r>
        <w:rPr>
          <w:rtl/>
        </w:rPr>
        <w:t xml:space="preserve"> </w:t>
      </w:r>
      <w:r>
        <w:rPr>
          <w:rFonts w:hint="cs"/>
          <w:rtl/>
        </w:rPr>
        <w:t xml:space="preserve">הנחיות משרד הבריאות בגרמניה בנושא הפלרת מי שתייה, 6 ביוני 1985. </w:t>
      </w:r>
    </w:p>
  </w:footnote>
  <w:footnote w:id="24">
    <w:p w:rsidR="006223D0" w:rsidRPr="00434962" w:rsidRDefault="006223D0" w:rsidP="00E74CE8">
      <w:pPr>
        <w:pStyle w:val="a4"/>
        <w:bidi w:val="0"/>
      </w:pPr>
      <w:r>
        <w:rPr>
          <w:rStyle w:val="a6"/>
        </w:rPr>
        <w:footnoteRef/>
      </w:r>
      <w:r>
        <w:rPr>
          <w:rtl/>
        </w:rPr>
        <w:t xml:space="preserve"> </w:t>
      </w:r>
      <w:r>
        <w:rPr>
          <w:rFonts w:hint="cs"/>
          <w:rtl/>
        </w:rPr>
        <w:tab/>
      </w:r>
      <w:r>
        <w:t>National Health and Medical Research Council and Natural Resource Management Ministerial Council,</w:t>
      </w:r>
      <w:r w:rsidRPr="00434962">
        <w:t xml:space="preserve"> National Water Quality Management Strategy</w:t>
      </w:r>
      <w:r>
        <w:t xml:space="preserve">, </w:t>
      </w:r>
      <w:hyperlink r:id="rId18" w:history="1">
        <w:r w:rsidRPr="00434962">
          <w:rPr>
            <w:rStyle w:val="Hyperlink"/>
          </w:rPr>
          <w:t>Australian Drinking Water Guideline</w:t>
        </w:r>
        <w:r>
          <w:rPr>
            <w:rStyle w:val="Hyperlink"/>
          </w:rPr>
          <w:t>s 6</w:t>
        </w:r>
      </w:hyperlink>
      <w:r>
        <w:t xml:space="preserve">, 2004, </w:t>
      </w:r>
      <w:r w:rsidRPr="00434962">
        <w:t>Endorsed by NHMRC 10</w:t>
      </w:r>
      <w:r>
        <w:t>–</w:t>
      </w:r>
      <w:r w:rsidRPr="00434962">
        <w:t>11</w:t>
      </w:r>
      <w:r>
        <w:t>,</w:t>
      </w:r>
      <w:r w:rsidRPr="00434962">
        <w:t xml:space="preserve"> April 2003</w:t>
      </w:r>
      <w:r>
        <w:t xml:space="preserve">.   </w:t>
      </w:r>
    </w:p>
  </w:footnote>
  <w:footnote w:id="25">
    <w:p w:rsidR="006223D0" w:rsidRDefault="006223D0" w:rsidP="009F08E6">
      <w:pPr>
        <w:pStyle w:val="a4"/>
        <w:bidi w:val="0"/>
        <w:jc w:val="left"/>
      </w:pPr>
      <w:r>
        <w:rPr>
          <w:rStyle w:val="a6"/>
        </w:rPr>
        <w:footnoteRef/>
      </w:r>
      <w:r>
        <w:rPr>
          <w:rtl/>
        </w:rPr>
        <w:t xml:space="preserve"> </w:t>
      </w:r>
      <w:r>
        <w:rPr>
          <w:rFonts w:hint="cs"/>
          <w:rtl/>
        </w:rPr>
        <w:tab/>
      </w:r>
      <w:hyperlink r:id="rId19" w:history="1">
        <w:r w:rsidRPr="00434962">
          <w:rPr>
            <w:rStyle w:val="Hyperlink"/>
          </w:rPr>
          <w:t>Australian Drinking Water Guideline</w:t>
        </w:r>
        <w:r>
          <w:rPr>
            <w:rStyle w:val="Hyperlink"/>
          </w:rPr>
          <w:t>s 6</w:t>
        </w:r>
      </w:hyperlink>
      <w:r>
        <w:t xml:space="preserve"> , Fluoride Fact Sheet, p.381</w:t>
      </w:r>
      <w:r>
        <w:rPr>
          <w:rFonts w:hint="cs"/>
          <w:rtl/>
        </w:rPr>
        <w:t>–</w:t>
      </w:r>
      <w:r>
        <w:t xml:space="preserve">382, supra note 19. </w:t>
      </w:r>
    </w:p>
  </w:footnote>
  <w:footnote w:id="26">
    <w:p w:rsidR="006223D0" w:rsidRDefault="006223D0" w:rsidP="00E74CE8">
      <w:pPr>
        <w:pStyle w:val="a4"/>
        <w:bidi w:val="0"/>
        <w:rPr>
          <w:rtl/>
        </w:rPr>
      </w:pPr>
      <w:r>
        <w:rPr>
          <w:rStyle w:val="a6"/>
        </w:rPr>
        <w:footnoteRef/>
      </w:r>
      <w:r>
        <w:rPr>
          <w:rtl/>
        </w:rPr>
        <w:t xml:space="preserve"> </w:t>
      </w:r>
      <w:r>
        <w:rPr>
          <w:rFonts w:hint="cs"/>
          <w:rtl/>
        </w:rPr>
        <w:tab/>
      </w:r>
      <w:hyperlink r:id="rId20" w:history="1">
        <w:r w:rsidRPr="00434962">
          <w:rPr>
            <w:rStyle w:val="Hyperlink"/>
          </w:rPr>
          <w:t>Australian Drinking Water Guideline</w:t>
        </w:r>
        <w:r>
          <w:rPr>
            <w:rStyle w:val="Hyperlink"/>
          </w:rPr>
          <w:t>s 6</w:t>
        </w:r>
      </w:hyperlink>
      <w:r>
        <w:t>, Chapter 8.4, supra note 19</w:t>
      </w:r>
    </w:p>
  </w:footnote>
  <w:footnote w:id="27">
    <w:p w:rsidR="006223D0" w:rsidRDefault="006223D0" w:rsidP="002C16E4">
      <w:pPr>
        <w:pStyle w:val="a4"/>
        <w:rPr>
          <w:rtl/>
        </w:rPr>
      </w:pPr>
      <w:r>
        <w:rPr>
          <w:rStyle w:val="a6"/>
        </w:rPr>
        <w:footnoteRef/>
      </w:r>
      <w:r>
        <w:rPr>
          <w:rtl/>
        </w:rPr>
        <w:t xml:space="preserve"> </w:t>
      </w:r>
      <w:r>
        <w:rPr>
          <w:rFonts w:hint="cs"/>
          <w:rtl/>
        </w:rPr>
        <w:tab/>
        <w:t>ראו למשל:</w:t>
      </w:r>
    </w:p>
    <w:p w:rsidR="006223D0" w:rsidRPr="00E42B56" w:rsidRDefault="006223D0" w:rsidP="002C16E4">
      <w:pPr>
        <w:pStyle w:val="a4"/>
        <w:bidi w:val="0"/>
      </w:pPr>
      <w:r>
        <w:tab/>
        <w:t xml:space="preserve">Victoria </w:t>
      </w:r>
      <w:r w:rsidRPr="00604254">
        <w:t>Department of Human Services</w:t>
      </w:r>
      <w:r>
        <w:t xml:space="preserve">, </w:t>
      </w:r>
      <w:hyperlink r:id="rId21" w:history="1">
        <w:r w:rsidRPr="00604254">
          <w:rPr>
            <w:rStyle w:val="Hyperlink"/>
          </w:rPr>
          <w:t>Water Fluoridation Questions and Answers</w:t>
        </w:r>
      </w:hyperlink>
      <w:r>
        <w:t xml:space="preserve">, </w:t>
      </w:r>
      <w:r w:rsidRPr="00604254">
        <w:t>February 2009</w:t>
      </w:r>
      <w:r>
        <w:t>, p. 3, viewed: November 21</w:t>
      </w:r>
      <w:r w:rsidRPr="00604254">
        <w:rPr>
          <w:vertAlign w:val="superscript"/>
        </w:rPr>
        <w:t>st</w:t>
      </w:r>
      <w:r>
        <w:t xml:space="preserve">, 2011. </w:t>
      </w:r>
    </w:p>
  </w:footnote>
  <w:footnote w:id="28">
    <w:p w:rsidR="006223D0" w:rsidRDefault="006223D0" w:rsidP="00E74CE8">
      <w:pPr>
        <w:pStyle w:val="a4"/>
        <w:rPr>
          <w:rtl/>
        </w:rPr>
      </w:pPr>
      <w:r>
        <w:rPr>
          <w:rStyle w:val="a6"/>
        </w:rPr>
        <w:footnoteRef/>
      </w:r>
      <w:r>
        <w:rPr>
          <w:rtl/>
        </w:rPr>
        <w:t xml:space="preserve"> </w:t>
      </w:r>
      <w:r>
        <w:rPr>
          <w:rFonts w:hint="cs"/>
          <w:rtl/>
        </w:rPr>
        <w:tab/>
        <w:t>המדינות הן ניו סאות' ויילס, טסמניה, ויקטוריה, ואוסטרליה המערבית;</w:t>
      </w:r>
    </w:p>
    <w:p w:rsidR="006223D0" w:rsidRDefault="006223D0" w:rsidP="00E72AD2">
      <w:pPr>
        <w:pStyle w:val="a4"/>
        <w:bidi w:val="0"/>
        <w:rPr>
          <w:rtl/>
        </w:rPr>
      </w:pPr>
      <w:r>
        <w:rPr>
          <w:rFonts w:hint="cs"/>
          <w:rtl/>
        </w:rPr>
        <w:tab/>
      </w:r>
      <w:r>
        <w:t xml:space="preserve">NSW – </w:t>
      </w:r>
      <w:hyperlink r:id="rId22" w:history="1">
        <w:r w:rsidRPr="00B95CFF">
          <w:rPr>
            <w:rStyle w:val="Hyperlink"/>
          </w:rPr>
          <w:t>Fluoridation of Public Water Supplies Act 1957 No 58</w:t>
        </w:r>
      </w:hyperlink>
      <w:r>
        <w:t xml:space="preserve">, sections 6, 6A, 6B; </w:t>
      </w:r>
      <w:smartTag w:uri="urn:schemas-microsoft-com:office:smarttags" w:element="place">
        <w:smartTag w:uri="urn:schemas-microsoft-com:office:smarttags" w:element="State">
          <w:r>
            <w:t>Tasmania</w:t>
          </w:r>
        </w:smartTag>
      </w:smartTag>
      <w:r>
        <w:t xml:space="preserve"> – </w:t>
      </w:r>
      <w:hyperlink r:id="rId23" w:history="1">
        <w:r w:rsidRPr="00ED3E8F">
          <w:rPr>
            <w:rStyle w:val="Hyperlink"/>
          </w:rPr>
          <w:t>Fluoridation Act 1968</w:t>
        </w:r>
      </w:hyperlink>
      <w:r>
        <w:t xml:space="preserve">, section 10; </w:t>
      </w:r>
      <w:smartTag w:uri="urn:schemas-microsoft-com:office:smarttags" w:element="State">
        <w:smartTag w:uri="urn:schemas-microsoft-com:office:smarttags" w:element="place">
          <w:r>
            <w:t>Victoria</w:t>
          </w:r>
        </w:smartTag>
      </w:smartTag>
      <w:r>
        <w:t xml:space="preserve"> – </w:t>
      </w:r>
      <w:hyperlink r:id="rId24" w:history="1">
        <w:r w:rsidRPr="00B95CFF">
          <w:rPr>
            <w:rStyle w:val="Hyperlink"/>
            <w:szCs w:val="24"/>
          </w:rPr>
          <w:t>Health (Fluoridation) Act 1973</w:t>
        </w:r>
      </w:hyperlink>
      <w:r>
        <w:t xml:space="preserve">, sections 5–6; </w:t>
      </w:r>
      <w:smartTag w:uri="urn:schemas-microsoft-com:office:smarttags" w:element="State">
        <w:smartTag w:uri="urn:schemas-microsoft-com:office:smarttags" w:element="place">
          <w:r>
            <w:t>Western Australia</w:t>
          </w:r>
        </w:smartTag>
      </w:smartTag>
      <w:r>
        <w:t xml:space="preserve"> - </w:t>
      </w:r>
      <w:hyperlink r:id="rId25" w:history="1">
        <w:r w:rsidRPr="00B26661">
          <w:rPr>
            <w:rStyle w:val="Hyperlink"/>
          </w:rPr>
          <w:t>Fluoridation of Public Water Supplies Act 1966</w:t>
        </w:r>
      </w:hyperlink>
      <w:r>
        <w:t>, sections 9–10; All viewed: November 21</w:t>
      </w:r>
      <w:r w:rsidRPr="00604254">
        <w:rPr>
          <w:vertAlign w:val="superscript"/>
        </w:rPr>
        <w:t>st</w:t>
      </w:r>
      <w:r>
        <w:t>, 2011.</w:t>
      </w:r>
    </w:p>
  </w:footnote>
  <w:footnote w:id="29">
    <w:p w:rsidR="006223D0" w:rsidRPr="00ED3E8F" w:rsidRDefault="006223D0" w:rsidP="002C16E4">
      <w:pPr>
        <w:pStyle w:val="a4"/>
        <w:rPr>
          <w:rtl/>
        </w:rPr>
      </w:pPr>
      <w:r>
        <w:rPr>
          <w:rStyle w:val="a6"/>
        </w:rPr>
        <w:footnoteRef/>
      </w:r>
      <w:r>
        <w:rPr>
          <w:rtl/>
        </w:rPr>
        <w:t xml:space="preserve"> </w:t>
      </w:r>
      <w:r>
        <w:rPr>
          <w:rFonts w:hint="cs"/>
          <w:rtl/>
        </w:rPr>
        <w:tab/>
      </w:r>
      <w:r>
        <w:t xml:space="preserve"> </w:t>
      </w:r>
      <w:r>
        <w:rPr>
          <w:rFonts w:hint="cs"/>
          <w:rtl/>
        </w:rPr>
        <w:t>בטסמניה ובאוסטרליה המערבית.</w:t>
      </w:r>
    </w:p>
  </w:footnote>
  <w:footnote w:id="30">
    <w:p w:rsidR="006223D0" w:rsidRDefault="006223D0" w:rsidP="00E74CE8">
      <w:pPr>
        <w:pStyle w:val="a4"/>
        <w:bidi w:val="0"/>
      </w:pPr>
      <w:r>
        <w:rPr>
          <w:rStyle w:val="a6"/>
        </w:rPr>
        <w:footnoteRef/>
      </w:r>
      <w:r>
        <w:rPr>
          <w:rtl/>
        </w:rPr>
        <w:t xml:space="preserve"> </w:t>
      </w:r>
      <w:r>
        <w:rPr>
          <w:rFonts w:hint="cs"/>
          <w:rtl/>
        </w:rPr>
        <w:tab/>
      </w:r>
      <w:r>
        <w:t xml:space="preserve">ACT – </w:t>
      </w:r>
      <w:hyperlink r:id="rId26" w:history="1">
        <w:r w:rsidRPr="00B26661">
          <w:rPr>
            <w:rStyle w:val="Hyperlink"/>
          </w:rPr>
          <w:t>Electricity and Water (Amendment) Act, (No. 2) 1989</w:t>
        </w:r>
      </w:hyperlink>
      <w:r>
        <w:t>, added sections 74E–74F, viewed: November 21</w:t>
      </w:r>
      <w:r w:rsidRPr="00604254">
        <w:rPr>
          <w:vertAlign w:val="superscript"/>
        </w:rPr>
        <w:t>st</w:t>
      </w:r>
      <w:r>
        <w:t>, 2011.</w:t>
      </w:r>
    </w:p>
  </w:footnote>
  <w:footnote w:id="31">
    <w:p w:rsidR="006223D0" w:rsidRDefault="006223D0" w:rsidP="0050369F">
      <w:pPr>
        <w:pStyle w:val="a4"/>
        <w:rPr>
          <w:rtl/>
        </w:rPr>
      </w:pPr>
      <w:r w:rsidRPr="00271924">
        <w:rPr>
          <w:rStyle w:val="a6"/>
        </w:rPr>
        <w:footnoteRef/>
      </w:r>
      <w:r w:rsidRPr="00271924">
        <w:rPr>
          <w:rtl/>
        </w:rPr>
        <w:t xml:space="preserve"> </w:t>
      </w:r>
      <w:r w:rsidRPr="00271924">
        <w:rPr>
          <w:rFonts w:hint="cs"/>
          <w:rtl/>
        </w:rPr>
        <w:tab/>
        <w:t>ראו לעיל</w:t>
      </w:r>
      <w:r>
        <w:rPr>
          <w:rFonts w:hint="cs"/>
          <w:rtl/>
        </w:rPr>
        <w:t>,</w:t>
      </w:r>
      <w:r w:rsidRPr="00271924">
        <w:rPr>
          <w:rFonts w:hint="cs"/>
          <w:rtl/>
        </w:rPr>
        <w:t xml:space="preserve"> הערה </w:t>
      </w:r>
      <w:r w:rsidR="00D242CB" w:rsidRPr="00271924">
        <w:rPr>
          <w:rFonts w:hint="cs"/>
          <w:rtl/>
        </w:rPr>
        <w:t>2</w:t>
      </w:r>
      <w:r w:rsidR="0050369F">
        <w:rPr>
          <w:rFonts w:hint="cs"/>
          <w:rtl/>
        </w:rPr>
        <w:t>7</w:t>
      </w:r>
      <w:r w:rsidRPr="00271924">
        <w:rPr>
          <w:rFonts w:hint="cs"/>
          <w:rtl/>
        </w:rPr>
        <w:t>.</w:t>
      </w:r>
      <w:r>
        <w:rPr>
          <w:rFonts w:hint="cs"/>
          <w:rtl/>
        </w:rPr>
        <w:t xml:space="preserve"> </w:t>
      </w:r>
    </w:p>
  </w:footnote>
  <w:footnote w:id="32">
    <w:p w:rsidR="0089346F" w:rsidRDefault="0089346F" w:rsidP="0089346F">
      <w:pPr>
        <w:pStyle w:val="a4"/>
        <w:bidi w:val="0"/>
      </w:pPr>
      <w:r>
        <w:rPr>
          <w:rStyle w:val="a6"/>
        </w:rPr>
        <w:footnoteRef/>
      </w:r>
      <w:r>
        <w:rPr>
          <w:rtl/>
        </w:rPr>
        <w:t xml:space="preserve"> </w:t>
      </w:r>
      <w:r>
        <w:rPr>
          <w:rFonts w:hint="cs"/>
          <w:rtl/>
        </w:rPr>
        <w:tab/>
      </w:r>
      <w:r>
        <w:t xml:space="preserve">Queensland Department of Health, </w:t>
      </w:r>
      <w:hyperlink r:id="rId27" w:history="1">
        <w:r w:rsidRPr="00EB5CF8">
          <w:rPr>
            <w:rStyle w:val="Hyperlink"/>
          </w:rPr>
          <w:t>Policy – The Use of Fluorides in Queensland</w:t>
        </w:r>
      </w:hyperlink>
      <w:r>
        <w:t>, March 2008, viewed: November 21</w:t>
      </w:r>
      <w:r w:rsidRPr="00604254">
        <w:rPr>
          <w:vertAlign w:val="superscript"/>
        </w:rPr>
        <w:t>st</w:t>
      </w:r>
      <w:r>
        <w:t>, 2011.</w:t>
      </w:r>
    </w:p>
  </w:footnote>
  <w:footnote w:id="33">
    <w:p w:rsidR="0089346F" w:rsidRDefault="0089346F" w:rsidP="0089346F">
      <w:pPr>
        <w:pStyle w:val="a4"/>
        <w:bidi w:val="0"/>
      </w:pPr>
      <w:r>
        <w:rPr>
          <w:rStyle w:val="a6"/>
        </w:rPr>
        <w:footnoteRef/>
      </w:r>
      <w:r>
        <w:rPr>
          <w:rtl/>
        </w:rPr>
        <w:t xml:space="preserve"> </w:t>
      </w:r>
      <w:r>
        <w:rPr>
          <w:rFonts w:hint="cs"/>
          <w:rtl/>
        </w:rPr>
        <w:tab/>
      </w:r>
      <w:hyperlink r:id="rId28" w:history="1">
        <w:r w:rsidRPr="00F8225F">
          <w:rPr>
            <w:rStyle w:val="Hyperlink"/>
          </w:rPr>
          <w:t>Water Fluoridation Act 2008</w:t>
        </w:r>
      </w:hyperlink>
      <w:r>
        <w:t>, Act No. 12 of 2008, viewed: November 21</w:t>
      </w:r>
      <w:r w:rsidRPr="00604254">
        <w:rPr>
          <w:vertAlign w:val="superscript"/>
        </w:rPr>
        <w:t>st</w:t>
      </w:r>
      <w:r>
        <w:t>, 2011.</w:t>
      </w:r>
    </w:p>
  </w:footnote>
  <w:footnote w:id="34">
    <w:p w:rsidR="0089346F" w:rsidRPr="0076378E" w:rsidRDefault="0089346F" w:rsidP="0050369F">
      <w:pPr>
        <w:pStyle w:val="a4"/>
        <w:rPr>
          <w:rtl/>
        </w:rPr>
      </w:pPr>
      <w:r>
        <w:rPr>
          <w:rStyle w:val="a6"/>
        </w:rPr>
        <w:footnoteRef/>
      </w:r>
      <w:r>
        <w:rPr>
          <w:rtl/>
        </w:rPr>
        <w:t xml:space="preserve"> </w:t>
      </w:r>
      <w:r>
        <w:rPr>
          <w:rFonts w:hint="cs"/>
          <w:rtl/>
        </w:rPr>
        <w:tab/>
        <w:t>סעיפים 6</w:t>
      </w:r>
      <w:r w:rsidRPr="00D242CB">
        <w:rPr>
          <w:rFonts w:hint="eastAsia"/>
          <w:rtl/>
        </w:rPr>
        <w:t>–7</w:t>
      </w:r>
      <w:r w:rsidRPr="00D242CB">
        <w:rPr>
          <w:rFonts w:hint="cs"/>
          <w:rtl/>
        </w:rPr>
        <w:t xml:space="preserve"> לחוק</w:t>
      </w:r>
      <w:r w:rsidRPr="0076378E">
        <w:rPr>
          <w:rFonts w:hint="cs"/>
          <w:rtl/>
        </w:rPr>
        <w:t xml:space="preserve">; ראו </w:t>
      </w:r>
      <w:r w:rsidRPr="0076378E">
        <w:rPr>
          <w:rFonts w:hint="eastAsia"/>
          <w:rtl/>
        </w:rPr>
        <w:t>לעיל</w:t>
      </w:r>
      <w:r w:rsidRPr="0076378E">
        <w:rPr>
          <w:rtl/>
        </w:rPr>
        <w:t xml:space="preserve">, הערה </w:t>
      </w:r>
      <w:r w:rsidR="0031673B">
        <w:rPr>
          <w:rFonts w:hint="cs"/>
          <w:rtl/>
        </w:rPr>
        <w:t>3</w:t>
      </w:r>
      <w:r w:rsidR="0050369F">
        <w:rPr>
          <w:rFonts w:hint="cs"/>
          <w:rtl/>
        </w:rPr>
        <w:t>3</w:t>
      </w:r>
      <w:r w:rsidRPr="00D242CB">
        <w:rPr>
          <w:rFonts w:hint="cs"/>
          <w:rtl/>
        </w:rPr>
        <w:t xml:space="preserve"> </w:t>
      </w:r>
    </w:p>
  </w:footnote>
  <w:footnote w:id="35">
    <w:p w:rsidR="0089346F" w:rsidRPr="00D242CB" w:rsidRDefault="0089346F" w:rsidP="0050369F">
      <w:pPr>
        <w:pStyle w:val="a4"/>
        <w:rPr>
          <w:rtl/>
        </w:rPr>
      </w:pPr>
      <w:r w:rsidRPr="00D242CB">
        <w:rPr>
          <w:rStyle w:val="a6"/>
        </w:rPr>
        <w:footnoteRef/>
      </w:r>
      <w:r w:rsidRPr="00D242CB">
        <w:rPr>
          <w:rtl/>
        </w:rPr>
        <w:t xml:space="preserve"> </w:t>
      </w:r>
      <w:r w:rsidRPr="00D242CB">
        <w:rPr>
          <w:rFonts w:hint="cs"/>
          <w:rtl/>
        </w:rPr>
        <w:tab/>
        <w:t xml:space="preserve">סעיף 11 לחוק; ראו לעיל, </w:t>
      </w:r>
      <w:r w:rsidRPr="0076378E">
        <w:rPr>
          <w:rFonts w:hint="eastAsia"/>
          <w:rtl/>
        </w:rPr>
        <w:t>הערה</w:t>
      </w:r>
      <w:r w:rsidRPr="0076378E">
        <w:rPr>
          <w:rtl/>
        </w:rPr>
        <w:t xml:space="preserve"> </w:t>
      </w:r>
      <w:r w:rsidR="0076378E">
        <w:rPr>
          <w:rFonts w:hint="cs"/>
          <w:rtl/>
        </w:rPr>
        <w:t>3</w:t>
      </w:r>
      <w:r w:rsidR="0050369F">
        <w:rPr>
          <w:rFonts w:hint="cs"/>
          <w:rtl/>
        </w:rPr>
        <w:t>3</w:t>
      </w:r>
      <w:r w:rsidRPr="00D242CB">
        <w:rPr>
          <w:rtl/>
        </w:rPr>
        <w:t>.</w:t>
      </w:r>
    </w:p>
  </w:footnote>
  <w:footnote w:id="36">
    <w:p w:rsidR="0089346F" w:rsidRPr="0076378E" w:rsidRDefault="0089346F" w:rsidP="0089346F">
      <w:pPr>
        <w:pStyle w:val="a4"/>
        <w:bidi w:val="0"/>
      </w:pPr>
      <w:r w:rsidRPr="00D242CB">
        <w:rPr>
          <w:rStyle w:val="a6"/>
        </w:rPr>
        <w:footnoteRef/>
      </w:r>
      <w:r w:rsidRPr="00D242CB">
        <w:rPr>
          <w:rtl/>
        </w:rPr>
        <w:t xml:space="preserve"> </w:t>
      </w:r>
      <w:r w:rsidRPr="00D242CB">
        <w:rPr>
          <w:rFonts w:hint="cs"/>
          <w:rtl/>
        </w:rPr>
        <w:tab/>
      </w:r>
      <w:hyperlink r:id="rId29" w:history="1">
        <w:r w:rsidRPr="00D242CB">
          <w:rPr>
            <w:rStyle w:val="Hyperlink"/>
          </w:rPr>
          <w:t>Water Fluoridation Regulation 2008</w:t>
        </w:r>
      </w:hyperlink>
      <w:r w:rsidRPr="00D242CB">
        <w:t>, Reprint No. 1C, reprinted as in force on 10 December 2010, viewed: November 21</w:t>
      </w:r>
      <w:r w:rsidRPr="0076378E">
        <w:rPr>
          <w:vertAlign w:val="superscript"/>
        </w:rPr>
        <w:t>st</w:t>
      </w:r>
      <w:r w:rsidRPr="0076378E">
        <w:t xml:space="preserve">, 2011. </w:t>
      </w:r>
    </w:p>
  </w:footnote>
  <w:footnote w:id="37">
    <w:p w:rsidR="0089346F" w:rsidRPr="0076378E" w:rsidRDefault="0089346F" w:rsidP="0050369F">
      <w:pPr>
        <w:pStyle w:val="a4"/>
        <w:rPr>
          <w:rtl/>
        </w:rPr>
      </w:pPr>
      <w:r w:rsidRPr="00D242CB">
        <w:rPr>
          <w:rStyle w:val="a6"/>
        </w:rPr>
        <w:footnoteRef/>
      </w:r>
      <w:r w:rsidRPr="00D242CB">
        <w:rPr>
          <w:rtl/>
        </w:rPr>
        <w:t xml:space="preserve"> </w:t>
      </w:r>
      <w:r w:rsidRPr="00D242CB">
        <w:rPr>
          <w:rFonts w:hint="cs"/>
          <w:rtl/>
        </w:rPr>
        <w:tab/>
        <w:t>תאריכי היעד נעים בין דצמבר 2008 לדצמבר 201</w:t>
      </w:r>
      <w:r w:rsidRPr="0076378E">
        <w:rPr>
          <w:rFonts w:hint="cs"/>
          <w:rtl/>
        </w:rPr>
        <w:t>2; ראו תקנה 4 והתוספת הראשונה לתקנות, לעיל ה</w:t>
      </w:r>
      <w:r w:rsidRPr="0076378E">
        <w:rPr>
          <w:rFonts w:hint="eastAsia"/>
          <w:rtl/>
        </w:rPr>
        <w:t>ערה</w:t>
      </w:r>
      <w:r w:rsidRPr="0076378E">
        <w:rPr>
          <w:rtl/>
        </w:rPr>
        <w:t xml:space="preserve"> </w:t>
      </w:r>
      <w:r w:rsidR="0031673B">
        <w:rPr>
          <w:rFonts w:hint="cs"/>
          <w:rtl/>
        </w:rPr>
        <w:t>3</w:t>
      </w:r>
      <w:r w:rsidR="0050369F">
        <w:rPr>
          <w:rFonts w:hint="cs"/>
          <w:rtl/>
        </w:rPr>
        <w:t>6</w:t>
      </w:r>
      <w:r w:rsidRPr="00D242CB">
        <w:rPr>
          <w:rtl/>
        </w:rPr>
        <w:t>.</w:t>
      </w:r>
      <w:r w:rsidRPr="00D242CB">
        <w:rPr>
          <w:rFonts w:hint="cs"/>
          <w:rtl/>
        </w:rPr>
        <w:t xml:space="preserve"> </w:t>
      </w:r>
    </w:p>
  </w:footnote>
  <w:footnote w:id="38">
    <w:p w:rsidR="0089346F" w:rsidRPr="00D242CB" w:rsidRDefault="0089346F" w:rsidP="0050369F">
      <w:pPr>
        <w:pStyle w:val="a4"/>
        <w:rPr>
          <w:rtl/>
        </w:rPr>
      </w:pPr>
      <w:r w:rsidRPr="00D242CB">
        <w:rPr>
          <w:rStyle w:val="a6"/>
        </w:rPr>
        <w:footnoteRef/>
      </w:r>
      <w:r w:rsidRPr="00D242CB">
        <w:rPr>
          <w:rtl/>
        </w:rPr>
        <w:t xml:space="preserve"> </w:t>
      </w:r>
      <w:r w:rsidRPr="00D242CB">
        <w:rPr>
          <w:rFonts w:hint="cs"/>
          <w:rtl/>
        </w:rPr>
        <w:tab/>
        <w:t>תקנה 6 והתוספת השנייה לתקנות</w:t>
      </w:r>
      <w:r w:rsidRPr="0076378E">
        <w:rPr>
          <w:rFonts w:hint="cs"/>
          <w:rtl/>
        </w:rPr>
        <w:t xml:space="preserve">; ראו לעיל, </w:t>
      </w:r>
      <w:r w:rsidRPr="0076378E">
        <w:rPr>
          <w:rFonts w:hint="eastAsia"/>
          <w:rtl/>
        </w:rPr>
        <w:t>הערה</w:t>
      </w:r>
      <w:r w:rsidRPr="0076378E">
        <w:rPr>
          <w:rtl/>
        </w:rPr>
        <w:t xml:space="preserve"> </w:t>
      </w:r>
      <w:r w:rsidR="0031673B">
        <w:rPr>
          <w:rFonts w:hint="cs"/>
          <w:rtl/>
        </w:rPr>
        <w:t>3</w:t>
      </w:r>
      <w:r w:rsidR="0050369F">
        <w:rPr>
          <w:rFonts w:hint="cs"/>
          <w:rtl/>
        </w:rPr>
        <w:t>6</w:t>
      </w:r>
      <w:r w:rsidRPr="00D242CB">
        <w:rPr>
          <w:rtl/>
        </w:rPr>
        <w:t xml:space="preserve"> .</w:t>
      </w:r>
    </w:p>
  </w:footnote>
  <w:footnote w:id="39">
    <w:p w:rsidR="0089346F" w:rsidRDefault="0089346F" w:rsidP="0050369F">
      <w:pPr>
        <w:pStyle w:val="a4"/>
        <w:rPr>
          <w:rtl/>
        </w:rPr>
      </w:pPr>
      <w:r w:rsidRPr="00D242CB">
        <w:rPr>
          <w:rStyle w:val="a6"/>
        </w:rPr>
        <w:footnoteRef/>
      </w:r>
      <w:r w:rsidRPr="00D242CB">
        <w:rPr>
          <w:rtl/>
        </w:rPr>
        <w:t xml:space="preserve"> </w:t>
      </w:r>
      <w:r w:rsidRPr="00D242CB">
        <w:rPr>
          <w:rFonts w:hint="cs"/>
          <w:rtl/>
        </w:rPr>
        <w:tab/>
        <w:t xml:space="preserve">במקרה כזה, על הספק </w:t>
      </w:r>
      <w:r w:rsidR="00750077" w:rsidRPr="0076378E">
        <w:rPr>
          <w:rFonts w:hint="cs"/>
          <w:rtl/>
        </w:rPr>
        <w:t>היה לפנות לשר בבקשה לפטור, השר ה</w:t>
      </w:r>
      <w:r w:rsidRPr="0076378E">
        <w:rPr>
          <w:rFonts w:hint="cs"/>
          <w:rtl/>
        </w:rPr>
        <w:t>עביר את הבקשה לוועדת ההפלרה (</w:t>
      </w:r>
      <w:r w:rsidRPr="0076378E">
        <w:t>Queensland Fluoridation Committee</w:t>
      </w:r>
      <w:r w:rsidRPr="0076378E">
        <w:rPr>
          <w:rFonts w:hint="cs"/>
          <w:rtl/>
        </w:rPr>
        <w:t xml:space="preserve">), וזו </w:t>
      </w:r>
      <w:r w:rsidR="00750077" w:rsidRPr="0076378E">
        <w:rPr>
          <w:rFonts w:hint="cs"/>
          <w:rtl/>
        </w:rPr>
        <w:t>המליצה</w:t>
      </w:r>
      <w:r>
        <w:rPr>
          <w:rFonts w:hint="cs"/>
          <w:rtl/>
        </w:rPr>
        <w:t xml:space="preserve"> לשר על עמדתה תוך 90 יום. לאחר מכן, השר </w:t>
      </w:r>
      <w:r w:rsidR="00750077">
        <w:rPr>
          <w:rFonts w:hint="cs"/>
          <w:rtl/>
        </w:rPr>
        <w:t>החליט</w:t>
      </w:r>
      <w:r>
        <w:rPr>
          <w:rFonts w:hint="cs"/>
          <w:rtl/>
        </w:rPr>
        <w:t xml:space="preserve"> את ההחלטה. עד קבלת החלטת השר, הספק רשאי </w:t>
      </w:r>
      <w:r w:rsidR="00750077">
        <w:rPr>
          <w:rFonts w:hint="cs"/>
          <w:rtl/>
        </w:rPr>
        <w:t xml:space="preserve">היה </w:t>
      </w:r>
      <w:r>
        <w:rPr>
          <w:rFonts w:hint="cs"/>
          <w:rtl/>
        </w:rPr>
        <w:t xml:space="preserve">שלא להפליר את המים שהוא מספק, ואם השר </w:t>
      </w:r>
      <w:r w:rsidR="00750077">
        <w:rPr>
          <w:rFonts w:hint="cs"/>
          <w:rtl/>
        </w:rPr>
        <w:t>דחה</w:t>
      </w:r>
      <w:r>
        <w:rPr>
          <w:rFonts w:hint="cs"/>
          <w:rtl/>
        </w:rPr>
        <w:t xml:space="preserve"> את בקשתו לפטור </w:t>
      </w:r>
      <w:r>
        <w:rPr>
          <w:rtl/>
        </w:rPr>
        <w:t>–</w:t>
      </w:r>
      <w:r>
        <w:rPr>
          <w:rFonts w:hint="cs"/>
          <w:rtl/>
        </w:rPr>
        <w:t xml:space="preserve"> עליו </w:t>
      </w:r>
      <w:r w:rsidR="00750077">
        <w:rPr>
          <w:rFonts w:hint="cs"/>
          <w:rtl/>
        </w:rPr>
        <w:t xml:space="preserve">היה </w:t>
      </w:r>
      <w:r>
        <w:rPr>
          <w:rFonts w:hint="cs"/>
          <w:rtl/>
        </w:rPr>
        <w:t xml:space="preserve">להתחיל להפליר את המים תוך שנה. סעיפים 9-8 לחוק; </w:t>
      </w:r>
      <w:r w:rsidRPr="00241A5B">
        <w:rPr>
          <w:rFonts w:hint="cs"/>
          <w:rtl/>
        </w:rPr>
        <w:t>ראו לעיל</w:t>
      </w:r>
      <w:r>
        <w:rPr>
          <w:rFonts w:hint="cs"/>
          <w:rtl/>
        </w:rPr>
        <w:t>,</w:t>
      </w:r>
      <w:r w:rsidRPr="00241A5B">
        <w:rPr>
          <w:rFonts w:hint="cs"/>
          <w:rtl/>
        </w:rPr>
        <w:t xml:space="preserve"> הערה </w:t>
      </w:r>
      <w:r w:rsidR="0031673B">
        <w:rPr>
          <w:rFonts w:hint="cs"/>
          <w:rtl/>
        </w:rPr>
        <w:t>3</w:t>
      </w:r>
      <w:r w:rsidR="0050369F">
        <w:rPr>
          <w:rFonts w:hint="cs"/>
          <w:rtl/>
        </w:rPr>
        <w:t>3</w:t>
      </w:r>
      <w:r>
        <w:rPr>
          <w:rFonts w:hint="cs"/>
          <w:rtl/>
        </w:rPr>
        <w:t xml:space="preserve">. </w:t>
      </w:r>
    </w:p>
  </w:footnote>
  <w:footnote w:id="40">
    <w:p w:rsidR="0089346F" w:rsidRDefault="0089346F" w:rsidP="0031673B">
      <w:pPr>
        <w:pStyle w:val="a4"/>
        <w:bidi w:val="0"/>
      </w:pPr>
      <w:r>
        <w:rPr>
          <w:rStyle w:val="a6"/>
        </w:rPr>
        <w:footnoteRef/>
      </w:r>
      <w:r>
        <w:rPr>
          <w:rtl/>
        </w:rPr>
        <w:t xml:space="preserve"> </w:t>
      </w:r>
      <w:r>
        <w:t xml:space="preserve">Queensland Health, </w:t>
      </w:r>
      <w:hyperlink r:id="rId30" w:history="1">
        <w:r w:rsidRPr="0031673B">
          <w:rPr>
            <w:rStyle w:val="Hyperlink"/>
          </w:rPr>
          <w:t>Water Fluoridation Code of Practice</w:t>
        </w:r>
      </w:hyperlink>
      <w:r>
        <w:t>, September 2013</w:t>
      </w:r>
      <w:r w:rsidR="0031673B">
        <w:t>.</w:t>
      </w:r>
    </w:p>
  </w:footnote>
  <w:footnote w:id="41">
    <w:p w:rsidR="006223D0" w:rsidRDefault="006223D0" w:rsidP="00241A5B">
      <w:pPr>
        <w:pStyle w:val="a4"/>
        <w:bidi w:val="0"/>
      </w:pPr>
      <w:r>
        <w:rPr>
          <w:rStyle w:val="a6"/>
        </w:rPr>
        <w:footnoteRef/>
      </w:r>
      <w:r>
        <w:rPr>
          <w:rtl/>
        </w:rPr>
        <w:t xml:space="preserve"> </w:t>
      </w:r>
      <w:r>
        <w:t xml:space="preserve">Christer Johansson, Chief Government Inspector, </w:t>
      </w:r>
      <w:smartTag w:uri="urn:schemas-microsoft-com:office:smarttags" w:element="place">
        <w:smartTag w:uri="urn:schemas-microsoft-com:office:smarttags" w:element="City">
          <w:r>
            <w:t>National Food Agency</w:t>
          </w:r>
        </w:smartTag>
        <w:r>
          <w:t xml:space="preserve">, </w:t>
        </w:r>
        <w:smartTag w:uri="urn:schemas-microsoft-com:office:smarttags" w:element="country-region">
          <w:r>
            <w:t>Sweden</w:t>
          </w:r>
        </w:smartTag>
      </w:smartTag>
      <w:r>
        <w:t>, email, November 7</w:t>
      </w:r>
      <w:r w:rsidRPr="00036483">
        <w:rPr>
          <w:vertAlign w:val="superscript"/>
        </w:rPr>
        <w:t>th</w:t>
      </w:r>
      <w:r>
        <w:t xml:space="preserve">, 2011. </w:t>
      </w:r>
    </w:p>
  </w:footnote>
  <w:footnote w:id="42">
    <w:p w:rsidR="0076378E" w:rsidRDefault="0076378E" w:rsidP="0076378E">
      <w:pPr>
        <w:pStyle w:val="a4"/>
        <w:rPr>
          <w:rtl/>
        </w:rPr>
      </w:pPr>
      <w:r>
        <w:rPr>
          <w:rStyle w:val="a6"/>
        </w:rPr>
        <w:footnoteRef/>
      </w:r>
      <w:r>
        <w:rPr>
          <w:rtl/>
        </w:rPr>
        <w:t xml:space="preserve"> </w:t>
      </w:r>
      <w:r>
        <w:rPr>
          <w:rFonts w:hint="cs"/>
          <w:rtl/>
        </w:rPr>
        <w:t>כאמור, המידע לגבי צ'כיה במסמך זה מעודכן לדצמבר 2011.</w:t>
      </w:r>
    </w:p>
  </w:footnote>
  <w:footnote w:id="43">
    <w:p w:rsidR="006223D0" w:rsidRPr="00342255" w:rsidRDefault="006223D0" w:rsidP="00241A5B">
      <w:pPr>
        <w:pStyle w:val="a4"/>
        <w:bidi w:val="0"/>
      </w:pPr>
      <w:r>
        <w:rPr>
          <w:rStyle w:val="a6"/>
        </w:rPr>
        <w:footnoteRef/>
      </w:r>
      <w:r>
        <w:rPr>
          <w:rtl/>
        </w:rPr>
        <w:t xml:space="preserve"> </w:t>
      </w:r>
      <w:r>
        <w:t>Viktor Kliment,</w:t>
      </w:r>
      <w:r w:rsidRPr="006561DB">
        <w:t xml:space="preserve"> </w:t>
      </w:r>
      <w:r w:rsidRPr="00342255">
        <w:t>Czech Republic</w:t>
      </w:r>
      <w:r>
        <w:t xml:space="preserve"> Water Protection Department, Ministry of Environment, letter, November 8</w:t>
      </w:r>
      <w:r w:rsidRPr="00342255">
        <w:rPr>
          <w:vertAlign w:val="superscript"/>
        </w:rPr>
        <w:t>th</w:t>
      </w:r>
      <w:r>
        <w:t>, 2011.</w:t>
      </w:r>
    </w:p>
  </w:footnote>
  <w:footnote w:id="44">
    <w:p w:rsidR="0076378E" w:rsidRDefault="0076378E" w:rsidP="0076378E">
      <w:pPr>
        <w:pStyle w:val="a4"/>
        <w:rPr>
          <w:rtl/>
        </w:rPr>
      </w:pPr>
      <w:r>
        <w:rPr>
          <w:rStyle w:val="a6"/>
        </w:rPr>
        <w:footnoteRef/>
      </w:r>
      <w:r>
        <w:rPr>
          <w:rtl/>
        </w:rPr>
        <w:t xml:space="preserve"> </w:t>
      </w:r>
      <w:r>
        <w:rPr>
          <w:rFonts w:hint="cs"/>
          <w:rtl/>
        </w:rPr>
        <w:t>כאמור, המידע לגבי הולנד במסמך זה מעודכן לדצמבר 2011.</w:t>
      </w:r>
    </w:p>
  </w:footnote>
  <w:footnote w:id="45">
    <w:p w:rsidR="006223D0" w:rsidRPr="00DD0A87" w:rsidRDefault="006223D0" w:rsidP="00241A5B">
      <w:pPr>
        <w:pStyle w:val="a4"/>
        <w:bidi w:val="0"/>
        <w:rPr>
          <w:spacing w:val="-4"/>
        </w:rPr>
      </w:pPr>
      <w:r>
        <w:rPr>
          <w:rStyle w:val="a6"/>
        </w:rPr>
        <w:footnoteRef/>
      </w:r>
      <w:r>
        <w:rPr>
          <w:sz w:val="18"/>
          <w:szCs w:val="18"/>
        </w:rPr>
        <w:t xml:space="preserve"> F</w:t>
      </w:r>
      <w:r w:rsidRPr="00DD0A87">
        <w:rPr>
          <w:spacing w:val="-4"/>
        </w:rPr>
        <w:t>. Wetsteyn, VROM</w:t>
      </w:r>
      <w:r>
        <w:rPr>
          <w:spacing w:val="-4"/>
        </w:rPr>
        <w:t xml:space="preserve"> – </w:t>
      </w:r>
      <w:r w:rsidRPr="00DD0A87">
        <w:rPr>
          <w:spacing w:val="-4"/>
        </w:rPr>
        <w:t>Inspectorate</w:t>
      </w:r>
      <w:r>
        <w:rPr>
          <w:spacing w:val="-4"/>
        </w:rPr>
        <w:t xml:space="preserve"> </w:t>
      </w:r>
      <w:smartTag w:uri="urn:schemas-microsoft-com:office:smarttags" w:element="place">
        <w:smartTag w:uri="urn:schemas-microsoft-com:office:smarttags" w:element="country-region">
          <w:r>
            <w:rPr>
              <w:spacing w:val="-4"/>
            </w:rPr>
            <w:t>Netherlands</w:t>
          </w:r>
        </w:smartTag>
      </w:smartTag>
      <w:r w:rsidRPr="00DD0A87">
        <w:rPr>
          <w:spacing w:val="-4"/>
        </w:rPr>
        <w:t xml:space="preserve"> </w:t>
      </w:r>
      <w:r>
        <w:rPr>
          <w:spacing w:val="-4"/>
        </w:rPr>
        <w:t>(t</w:t>
      </w:r>
      <w:r w:rsidRPr="00DD0A87">
        <w:rPr>
          <w:spacing w:val="-4"/>
        </w:rPr>
        <w:t>he Ministry of Housing, Spatial Planning and the Environment), letter, November 3</w:t>
      </w:r>
      <w:r w:rsidRPr="00E74CE8">
        <w:rPr>
          <w:spacing w:val="-4"/>
          <w:vertAlign w:val="superscript"/>
        </w:rPr>
        <w:t>rd</w:t>
      </w:r>
      <w:r w:rsidRPr="00DD0A87">
        <w:rPr>
          <w:spacing w:val="-4"/>
        </w:rPr>
        <w:t>, 2011.</w:t>
      </w:r>
    </w:p>
  </w:footnote>
  <w:footnote w:id="46">
    <w:p w:rsidR="00E768EF" w:rsidRPr="00E768EF" w:rsidRDefault="00E768EF">
      <w:pPr>
        <w:pStyle w:val="a4"/>
      </w:pPr>
      <w:r>
        <w:rPr>
          <w:rStyle w:val="a6"/>
        </w:rPr>
        <w:footnoteRef/>
      </w:r>
      <w:r>
        <w:rPr>
          <w:rtl/>
        </w:rPr>
        <w:t xml:space="preserve"> </w:t>
      </w:r>
      <w:r>
        <w:rPr>
          <w:rFonts w:hint="cs"/>
          <w:rtl/>
        </w:rPr>
        <w:t xml:space="preserve">איתן גברון, מהנדס הפלרה ראשי במשרד הבריאות, </w:t>
      </w:r>
      <w:r w:rsidRPr="00E768EF">
        <w:rPr>
          <w:u w:val="single"/>
          <w:rtl/>
        </w:rPr>
        <w:t>תגובת משרד הבריאות למסמך מממ סקירה משווה בנושא הפלרה</w:t>
      </w:r>
      <w:r>
        <w:rPr>
          <w:rFonts w:hint="cs"/>
          <w:u w:val="single"/>
          <w:rtl/>
        </w:rPr>
        <w:t xml:space="preserve">, </w:t>
      </w:r>
      <w:r>
        <w:rPr>
          <w:rFonts w:hint="cs"/>
          <w:rtl/>
        </w:rPr>
        <w:t xml:space="preserve">28 בפברואר 2012. </w:t>
      </w:r>
    </w:p>
  </w:footnote>
  <w:footnote w:id="47">
    <w:p w:rsidR="006223D0" w:rsidRPr="006F7A6B" w:rsidRDefault="006223D0" w:rsidP="002C16E4">
      <w:pPr>
        <w:pStyle w:val="a4"/>
        <w:bidi w:val="0"/>
      </w:pPr>
      <w:r>
        <w:rPr>
          <w:rStyle w:val="a6"/>
        </w:rPr>
        <w:footnoteRef/>
      </w:r>
      <w:r>
        <w:rPr>
          <w:rtl/>
        </w:rPr>
        <w:t xml:space="preserve"> </w:t>
      </w:r>
      <w:r>
        <w:rPr>
          <w:rFonts w:hint="cs"/>
          <w:rtl/>
        </w:rPr>
        <w:tab/>
      </w:r>
      <w:hyperlink r:id="rId31" w:history="1">
        <w:r w:rsidRPr="006F7A6B">
          <w:rPr>
            <w:rStyle w:val="Hyperlink"/>
          </w:rPr>
          <w:t>Health (Fluoridation of Water Supplies) Act, 1960</w:t>
        </w:r>
      </w:hyperlink>
      <w:r>
        <w:t xml:space="preserve">, </w:t>
      </w:r>
      <w:r w:rsidRPr="006F7A6B">
        <w:t>Number 46 of 1960</w:t>
      </w:r>
      <w:r>
        <w:t>, viewed: November 23</w:t>
      </w:r>
      <w:r w:rsidRPr="004B04CD">
        <w:rPr>
          <w:vertAlign w:val="superscript"/>
        </w:rPr>
        <w:t>rd</w:t>
      </w:r>
      <w:r>
        <w:t>, 2011</w:t>
      </w:r>
      <w:r w:rsidRPr="006F7A6B">
        <w:t>.</w:t>
      </w:r>
    </w:p>
  </w:footnote>
  <w:footnote w:id="48">
    <w:p w:rsidR="006223D0" w:rsidRDefault="006223D0" w:rsidP="002C16E4">
      <w:pPr>
        <w:pStyle w:val="a4"/>
        <w:bidi w:val="0"/>
      </w:pPr>
      <w:r>
        <w:rPr>
          <w:rStyle w:val="a6"/>
        </w:rPr>
        <w:footnoteRef/>
      </w:r>
      <w:r>
        <w:rPr>
          <w:rtl/>
        </w:rPr>
        <w:t xml:space="preserve"> </w:t>
      </w:r>
      <w:r>
        <w:rPr>
          <w:rFonts w:hint="cs"/>
          <w:rtl/>
        </w:rPr>
        <w:tab/>
      </w:r>
      <w:hyperlink r:id="rId32" w:history="1">
        <w:r w:rsidRPr="001F40C9">
          <w:rPr>
            <w:rStyle w:val="Hyperlink"/>
          </w:rPr>
          <w:t>Ryan v Attorney General</w:t>
        </w:r>
      </w:hyperlink>
      <w:r>
        <w:t xml:space="preserve"> </w:t>
      </w:r>
      <w:r w:rsidRPr="001F40C9">
        <w:t>[1965]</w:t>
      </w:r>
      <w:r>
        <w:t xml:space="preserve"> </w:t>
      </w:r>
      <w:r w:rsidRPr="001F40C9">
        <w:t>IR294</w:t>
      </w:r>
      <w:r>
        <w:t>, viewed: November 23</w:t>
      </w:r>
      <w:r w:rsidRPr="004B04CD">
        <w:rPr>
          <w:vertAlign w:val="superscript"/>
        </w:rPr>
        <w:t>rd</w:t>
      </w:r>
      <w:r>
        <w:t xml:space="preserve">, 2011. </w:t>
      </w:r>
    </w:p>
  </w:footnote>
  <w:footnote w:id="49">
    <w:p w:rsidR="006223D0" w:rsidRDefault="006223D0" w:rsidP="00E74CE8">
      <w:pPr>
        <w:pStyle w:val="a4"/>
        <w:rPr>
          <w:rtl/>
        </w:rPr>
      </w:pPr>
      <w:r>
        <w:rPr>
          <w:rStyle w:val="a6"/>
        </w:rPr>
        <w:footnoteRef/>
      </w:r>
      <w:r>
        <w:rPr>
          <w:rtl/>
        </w:rPr>
        <w:t xml:space="preserve"> </w:t>
      </w:r>
      <w:r>
        <w:rPr>
          <w:rFonts w:hint="cs"/>
          <w:rtl/>
        </w:rPr>
        <w:t>ראו למשל, לגבי אספקת מי שתייה באזור דבלין:</w:t>
      </w:r>
    </w:p>
    <w:p w:rsidR="006223D0" w:rsidRPr="00C64E6A" w:rsidRDefault="006223D0" w:rsidP="002C16E4">
      <w:pPr>
        <w:pStyle w:val="a4"/>
        <w:bidi w:val="0"/>
        <w:rPr>
          <w:spacing w:val="-10"/>
        </w:rPr>
      </w:pPr>
      <w:r>
        <w:tab/>
      </w:r>
      <w:hyperlink r:id="rId33" w:history="1">
        <w:r w:rsidRPr="00C64E6A">
          <w:rPr>
            <w:rStyle w:val="Hyperlink"/>
            <w:spacing w:val="-10"/>
            <w:lang w:val="en"/>
          </w:rPr>
          <w:t>Fluoridation of Water Supplies (Dublin) Regulations</w:t>
        </w:r>
      </w:hyperlink>
      <w:r w:rsidRPr="00C64E6A">
        <w:rPr>
          <w:spacing w:val="-10"/>
          <w:lang w:val="en"/>
        </w:rPr>
        <w:t xml:space="preserve">, 1962, S.I. No. 75/1962, section 5, </w:t>
      </w:r>
      <w:r w:rsidRPr="00C64E6A">
        <w:rPr>
          <w:spacing w:val="-10"/>
        </w:rPr>
        <w:t>viewed: November 23</w:t>
      </w:r>
      <w:r w:rsidRPr="00C64E6A">
        <w:rPr>
          <w:spacing w:val="-10"/>
          <w:vertAlign w:val="superscript"/>
        </w:rPr>
        <w:t>rd</w:t>
      </w:r>
      <w:r w:rsidRPr="00C64E6A">
        <w:rPr>
          <w:spacing w:val="-10"/>
        </w:rPr>
        <w:t>, 2011.</w:t>
      </w:r>
    </w:p>
  </w:footnote>
  <w:footnote w:id="50">
    <w:p w:rsidR="006223D0" w:rsidRDefault="006223D0" w:rsidP="002C16E4">
      <w:pPr>
        <w:pStyle w:val="a4"/>
        <w:bidi w:val="0"/>
      </w:pPr>
      <w:r>
        <w:rPr>
          <w:rStyle w:val="a6"/>
        </w:rPr>
        <w:footnoteRef/>
      </w:r>
      <w:r>
        <w:rPr>
          <w:rtl/>
        </w:rPr>
        <w:t xml:space="preserve"> </w:t>
      </w:r>
      <w:r>
        <w:rPr>
          <w:rFonts w:hint="cs"/>
          <w:rtl/>
        </w:rPr>
        <w:tab/>
      </w:r>
      <w:hyperlink r:id="rId34" w:history="1">
        <w:r w:rsidRPr="00A260BD">
          <w:rPr>
            <w:rStyle w:val="Hyperlink"/>
          </w:rPr>
          <w:t>Forum on Fluoridation 2002</w:t>
        </w:r>
      </w:hyperlink>
      <w:r>
        <w:t>, Recommendation 1, p. 15, viewed: November 23</w:t>
      </w:r>
      <w:r w:rsidRPr="00AB2127">
        <w:rPr>
          <w:vertAlign w:val="superscript"/>
        </w:rPr>
        <w:t>rd</w:t>
      </w:r>
      <w:r>
        <w:t xml:space="preserve">, 2011. </w:t>
      </w:r>
    </w:p>
  </w:footnote>
  <w:footnote w:id="51">
    <w:p w:rsidR="006223D0" w:rsidRPr="000F2543" w:rsidRDefault="006223D0" w:rsidP="002C16E4">
      <w:pPr>
        <w:pStyle w:val="a4"/>
        <w:bidi w:val="0"/>
      </w:pPr>
      <w:r>
        <w:rPr>
          <w:rStyle w:val="a6"/>
        </w:rPr>
        <w:footnoteRef/>
      </w:r>
      <w:r>
        <w:rPr>
          <w:rtl/>
        </w:rPr>
        <w:t xml:space="preserve"> </w:t>
      </w:r>
      <w:r>
        <w:rPr>
          <w:rFonts w:hint="cs"/>
          <w:rtl/>
        </w:rPr>
        <w:tab/>
      </w:r>
      <w:hyperlink r:id="rId35" w:history="1">
        <w:r w:rsidRPr="004B04CD">
          <w:rPr>
            <w:rStyle w:val="Hyperlink"/>
            <w:lang w:val="en"/>
          </w:rPr>
          <w:t>Fluoridation of Water Supplies Regulations 2007</w:t>
        </w:r>
      </w:hyperlink>
      <w:r>
        <w:rPr>
          <w:lang w:val="en"/>
        </w:rPr>
        <w:t>, S.I. No. 42/2007</w:t>
      </w:r>
      <w:r>
        <w:t>, section 6, viewed: November 23</w:t>
      </w:r>
      <w:r w:rsidRPr="004B04CD">
        <w:rPr>
          <w:vertAlign w:val="superscript"/>
        </w:rPr>
        <w:t>rd</w:t>
      </w:r>
      <w:r>
        <w:t>, 2011</w:t>
      </w:r>
      <w:r>
        <w:rPr>
          <w:lang w:val="en"/>
        </w:rPr>
        <w:t>.</w:t>
      </w:r>
    </w:p>
  </w:footnote>
  <w:footnote w:id="52">
    <w:p w:rsidR="006223D0" w:rsidRPr="00572A35" w:rsidRDefault="006223D0" w:rsidP="00E74CE8">
      <w:pPr>
        <w:pStyle w:val="a4"/>
        <w:bidi w:val="0"/>
        <w:rPr>
          <w:spacing w:val="-10"/>
          <w:lang w:val="en"/>
        </w:rPr>
      </w:pPr>
      <w:r>
        <w:rPr>
          <w:rStyle w:val="a6"/>
        </w:rPr>
        <w:footnoteRef/>
      </w:r>
      <w:r>
        <w:rPr>
          <w:rtl/>
        </w:rPr>
        <w:t xml:space="preserve"> </w:t>
      </w:r>
      <w:r>
        <w:rPr>
          <w:rFonts w:hint="cs"/>
          <w:rtl/>
        </w:rPr>
        <w:tab/>
      </w:r>
      <w:hyperlink r:id="rId36" w:history="1">
        <w:r w:rsidRPr="00572A35">
          <w:rPr>
            <w:rStyle w:val="Hyperlink"/>
            <w:spacing w:val="-10"/>
            <w:lang w:val="en"/>
          </w:rPr>
          <w:t>European Communities (Drinking Water) (No. 2) Regulations 2007</w:t>
        </w:r>
      </w:hyperlink>
      <w:r w:rsidRPr="00572A35">
        <w:rPr>
          <w:spacing w:val="-10"/>
          <w:lang w:val="en"/>
        </w:rPr>
        <w:t xml:space="preserve">, S.I. No. 278/2007, </w:t>
      </w:r>
      <w:r w:rsidRPr="00572A35">
        <w:rPr>
          <w:spacing w:val="-10"/>
        </w:rPr>
        <w:t>viewed: November 23</w:t>
      </w:r>
      <w:r w:rsidRPr="00572A35">
        <w:rPr>
          <w:spacing w:val="-10"/>
          <w:vertAlign w:val="superscript"/>
        </w:rPr>
        <w:t>rd</w:t>
      </w:r>
      <w:r w:rsidRPr="00572A35">
        <w:rPr>
          <w:spacing w:val="-10"/>
        </w:rPr>
        <w:t>, 2011</w:t>
      </w:r>
      <w:r>
        <w:rPr>
          <w:spacing w:val="-10"/>
        </w:rPr>
        <w:t xml:space="preserve"> </w:t>
      </w:r>
    </w:p>
  </w:footnote>
  <w:footnote w:id="53">
    <w:p w:rsidR="006223D0" w:rsidRDefault="006223D0" w:rsidP="0050369F">
      <w:pPr>
        <w:pStyle w:val="a4"/>
        <w:rPr>
          <w:rtl/>
        </w:rPr>
      </w:pPr>
      <w:r>
        <w:rPr>
          <w:rStyle w:val="a6"/>
        </w:rPr>
        <w:footnoteRef/>
      </w:r>
      <w:r>
        <w:rPr>
          <w:rtl/>
        </w:rPr>
        <w:t xml:space="preserve"> </w:t>
      </w:r>
      <w:r>
        <w:rPr>
          <w:rFonts w:hint="cs"/>
          <w:rtl/>
        </w:rPr>
        <w:tab/>
        <w:t xml:space="preserve">תקנה 4 לתקנות; ראו לעיל, הערה </w:t>
      </w:r>
      <w:r w:rsidR="0076378E">
        <w:rPr>
          <w:rFonts w:hint="cs"/>
          <w:rtl/>
        </w:rPr>
        <w:t>5</w:t>
      </w:r>
      <w:r w:rsidR="0050369F">
        <w:rPr>
          <w:rFonts w:hint="cs"/>
          <w:rtl/>
        </w:rPr>
        <w:t>2</w:t>
      </w:r>
      <w:r>
        <w:rPr>
          <w:rFonts w:hint="cs"/>
          <w:rtl/>
        </w:rPr>
        <w:t>.</w:t>
      </w:r>
    </w:p>
  </w:footnote>
  <w:footnote w:id="54">
    <w:p w:rsidR="006223D0" w:rsidRDefault="006223D0" w:rsidP="0050369F">
      <w:pPr>
        <w:pStyle w:val="a4"/>
        <w:rPr>
          <w:rtl/>
        </w:rPr>
      </w:pPr>
      <w:r>
        <w:rPr>
          <w:rStyle w:val="a6"/>
        </w:rPr>
        <w:footnoteRef/>
      </w:r>
      <w:r>
        <w:rPr>
          <w:rtl/>
        </w:rPr>
        <w:t xml:space="preserve"> </w:t>
      </w:r>
      <w:r>
        <w:rPr>
          <w:rFonts w:hint="cs"/>
          <w:rtl/>
        </w:rPr>
        <w:tab/>
        <w:t xml:space="preserve">טבלה </w:t>
      </w:r>
      <w:r>
        <w:rPr>
          <w:rFonts w:hint="cs"/>
        </w:rPr>
        <w:t>B</w:t>
      </w:r>
      <w:r>
        <w:rPr>
          <w:rFonts w:hint="cs"/>
          <w:rtl/>
        </w:rPr>
        <w:t xml:space="preserve"> בתוספת לתקנות; ראו לעיל, הערה </w:t>
      </w:r>
      <w:r w:rsidR="0076378E">
        <w:rPr>
          <w:rFonts w:hint="cs"/>
          <w:rtl/>
        </w:rPr>
        <w:t>5</w:t>
      </w:r>
      <w:r w:rsidR="0050369F">
        <w:rPr>
          <w:rFonts w:hint="cs"/>
          <w:rtl/>
        </w:rPr>
        <w:t>2</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1336D"/>
    <w:multiLevelType w:val="hybridMultilevel"/>
    <w:tmpl w:val="1F82412C"/>
    <w:lvl w:ilvl="0" w:tplc="839A3802">
      <w:start w:val="1"/>
      <w:numFmt w:val="bullet"/>
      <w:lvlText w:val=""/>
      <w:lvlJc w:val="left"/>
      <w:pPr>
        <w:tabs>
          <w:tab w:val="num" w:pos="720"/>
        </w:tabs>
        <w:ind w:left="720" w:hanging="360"/>
      </w:pPr>
      <w:rPr>
        <w:rFonts w:ascii="Wingdings" w:hAnsi="Wingdings" w:hint="default"/>
        <w:lang w:bidi="he-I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913E9A"/>
    <w:multiLevelType w:val="hybridMultilevel"/>
    <w:tmpl w:val="2E04A85C"/>
    <w:lvl w:ilvl="0" w:tplc="58682290">
      <w:start w:val="1"/>
      <w:numFmt w:val="bullet"/>
      <w:lvlText w:val="o"/>
      <w:lvlJc w:val="left"/>
      <w:pPr>
        <w:tabs>
          <w:tab w:val="num" w:pos="357"/>
        </w:tabs>
        <w:ind w:left="357" w:firstLine="3"/>
      </w:pPr>
      <w:rPr>
        <w:rFonts w:ascii="Courier New" w:hAnsi="Courier New" w:hint="default"/>
        <w:sz w:val="16"/>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A65B66"/>
    <w:multiLevelType w:val="hybridMultilevel"/>
    <w:tmpl w:val="37B6C220"/>
    <w:lvl w:ilvl="0" w:tplc="839A3802">
      <w:start w:val="1"/>
      <w:numFmt w:val="bullet"/>
      <w:lvlText w:val=""/>
      <w:lvlJc w:val="left"/>
      <w:pPr>
        <w:tabs>
          <w:tab w:val="num" w:pos="720"/>
        </w:tabs>
        <w:ind w:left="720" w:hanging="360"/>
      </w:pPr>
      <w:rPr>
        <w:rFonts w:ascii="Wingdings" w:hAnsi="Wingdings" w:hint="default"/>
        <w:lang w:bidi="he-I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CA54DE"/>
    <w:multiLevelType w:val="hybridMultilevel"/>
    <w:tmpl w:val="CD6E9EC2"/>
    <w:lvl w:ilvl="0" w:tplc="839A3802">
      <w:start w:val="1"/>
      <w:numFmt w:val="bullet"/>
      <w:lvlText w:val=""/>
      <w:lvlJc w:val="left"/>
      <w:pPr>
        <w:tabs>
          <w:tab w:val="num" w:pos="720"/>
        </w:tabs>
        <w:ind w:left="720" w:hanging="360"/>
      </w:pPr>
      <w:rPr>
        <w:rFonts w:ascii="Wingdings" w:hAnsi="Wingdings" w:hint="default"/>
        <w:lang w:bidi="he-I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EF7F3C"/>
    <w:multiLevelType w:val="hybridMultilevel"/>
    <w:tmpl w:val="C6D69530"/>
    <w:lvl w:ilvl="0" w:tplc="839A3802">
      <w:start w:val="1"/>
      <w:numFmt w:val="bullet"/>
      <w:lvlText w:val=""/>
      <w:lvlJc w:val="left"/>
      <w:pPr>
        <w:tabs>
          <w:tab w:val="num" w:pos="720"/>
        </w:tabs>
        <w:ind w:left="720" w:hanging="360"/>
      </w:pPr>
      <w:rPr>
        <w:rFonts w:ascii="Wingdings" w:hAnsi="Wingdings" w:hint="default"/>
        <w:lang w:bidi="he-I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300E6"/>
    <w:multiLevelType w:val="hybridMultilevel"/>
    <w:tmpl w:val="6D7CD0A2"/>
    <w:lvl w:ilvl="0" w:tplc="8490E8E6">
      <w:start w:val="1"/>
      <w:numFmt w:val="bullet"/>
      <w:lvlText w:val=""/>
      <w:lvlJc w:val="left"/>
      <w:pPr>
        <w:tabs>
          <w:tab w:val="num" w:pos="357"/>
        </w:tabs>
        <w:ind w:left="357" w:hanging="357"/>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597D40"/>
    <w:multiLevelType w:val="multilevel"/>
    <w:tmpl w:val="C2D88EC8"/>
    <w:lvl w:ilvl="0">
      <w:start w:val="1"/>
      <w:numFmt w:val="decimal"/>
      <w:pStyle w:val="1"/>
      <w:suff w:val="space"/>
      <w:lvlText w:val="%1."/>
      <w:lvlJc w:val="left"/>
      <w:pPr>
        <w:ind w:left="360" w:right="14" w:hanging="360"/>
      </w:pPr>
      <w:rPr>
        <w:rFonts w:hint="default"/>
      </w:rPr>
    </w:lvl>
    <w:lvl w:ilvl="1">
      <w:start w:val="1"/>
      <w:numFmt w:val="decimal"/>
      <w:pStyle w:val="11"/>
      <w:suff w:val="space"/>
      <w:lvlText w:val="%1.%2."/>
      <w:lvlJc w:val="left"/>
      <w:pPr>
        <w:ind w:left="357" w:right="11" w:hanging="357"/>
      </w:pPr>
      <w:rPr>
        <w:rFonts w:hint="default"/>
        <w:lang w:bidi="he-IL"/>
      </w:rPr>
    </w:lvl>
    <w:lvl w:ilvl="2">
      <w:start w:val="1"/>
      <w:numFmt w:val="decimal"/>
      <w:pStyle w:val="111"/>
      <w:suff w:val="space"/>
      <w:lvlText w:val="%1.%2.%3."/>
      <w:lvlJc w:val="left"/>
      <w:pPr>
        <w:ind w:left="357" w:right="11" w:hanging="357"/>
      </w:pPr>
      <w:rPr>
        <w:rFonts w:hint="default"/>
      </w:rPr>
    </w:lvl>
    <w:lvl w:ilvl="3">
      <w:start w:val="1"/>
      <w:numFmt w:val="decimal"/>
      <w:lvlText w:val="%1.%2.%3.%4."/>
      <w:lvlJc w:val="left"/>
      <w:pPr>
        <w:tabs>
          <w:tab w:val="num" w:pos="2880"/>
        </w:tabs>
        <w:ind w:left="1728" w:right="1382" w:hanging="648"/>
      </w:pPr>
      <w:rPr>
        <w:rFonts w:hint="default"/>
      </w:rPr>
    </w:lvl>
    <w:lvl w:ilvl="4">
      <w:start w:val="1"/>
      <w:numFmt w:val="decimal"/>
      <w:lvlText w:val="%1.%2.%3.%4.%5."/>
      <w:lvlJc w:val="left"/>
      <w:pPr>
        <w:tabs>
          <w:tab w:val="num" w:pos="2520"/>
        </w:tabs>
        <w:ind w:left="2232" w:right="1886" w:hanging="792"/>
      </w:pPr>
      <w:rPr>
        <w:rFonts w:hint="default"/>
      </w:rPr>
    </w:lvl>
    <w:lvl w:ilvl="5">
      <w:start w:val="1"/>
      <w:numFmt w:val="decimal"/>
      <w:lvlText w:val="%1.%2.%3.%4.%5.%6."/>
      <w:lvlJc w:val="left"/>
      <w:pPr>
        <w:tabs>
          <w:tab w:val="num" w:pos="2880"/>
        </w:tabs>
        <w:ind w:left="2736" w:right="2390" w:hanging="936"/>
      </w:pPr>
      <w:rPr>
        <w:rFonts w:hint="default"/>
      </w:rPr>
    </w:lvl>
    <w:lvl w:ilvl="6">
      <w:start w:val="1"/>
      <w:numFmt w:val="decimal"/>
      <w:lvlText w:val="%1.%2.%3.%4.%5.%6.%7."/>
      <w:lvlJc w:val="left"/>
      <w:pPr>
        <w:tabs>
          <w:tab w:val="num" w:pos="3600"/>
        </w:tabs>
        <w:ind w:left="3240" w:right="2894" w:hanging="1080"/>
      </w:pPr>
      <w:rPr>
        <w:rFonts w:hint="default"/>
      </w:rPr>
    </w:lvl>
    <w:lvl w:ilvl="7">
      <w:start w:val="1"/>
      <w:numFmt w:val="decimal"/>
      <w:lvlText w:val="%1.%2.%3.%4.%5.%6.%7.%8."/>
      <w:lvlJc w:val="left"/>
      <w:pPr>
        <w:tabs>
          <w:tab w:val="num" w:pos="3960"/>
        </w:tabs>
        <w:ind w:left="3744" w:right="3398" w:hanging="1224"/>
      </w:pPr>
      <w:rPr>
        <w:rFonts w:hint="default"/>
      </w:rPr>
    </w:lvl>
    <w:lvl w:ilvl="8">
      <w:start w:val="1"/>
      <w:numFmt w:val="decimal"/>
      <w:lvlText w:val="%1.%2.%3.%4.%5.%6.%7.%8.%9."/>
      <w:lvlJc w:val="left"/>
      <w:pPr>
        <w:tabs>
          <w:tab w:val="num" w:pos="4680"/>
        </w:tabs>
        <w:ind w:left="4320" w:right="3974" w:hanging="1440"/>
      </w:pPr>
      <w:rPr>
        <w:rFonts w:hint="default"/>
      </w:rPr>
    </w:lvl>
  </w:abstractNum>
  <w:abstractNum w:abstractNumId="7" w15:restartNumberingAfterBreak="0">
    <w:nsid w:val="35ED760C"/>
    <w:multiLevelType w:val="hybridMultilevel"/>
    <w:tmpl w:val="F67EE9C8"/>
    <w:lvl w:ilvl="0" w:tplc="839A3802">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1351F9"/>
    <w:multiLevelType w:val="hybridMultilevel"/>
    <w:tmpl w:val="64B83DA0"/>
    <w:lvl w:ilvl="0" w:tplc="040D0011">
      <w:start w:val="1"/>
      <w:numFmt w:val="decimal"/>
      <w:lvlText w:val="%1)"/>
      <w:lvlJc w:val="left"/>
      <w:pPr>
        <w:tabs>
          <w:tab w:val="num" w:pos="748"/>
        </w:tabs>
        <w:ind w:left="748" w:right="748" w:hanging="360"/>
      </w:pPr>
    </w:lvl>
    <w:lvl w:ilvl="1" w:tplc="91C6E582">
      <w:start w:val="1"/>
      <w:numFmt w:val="decimal"/>
      <w:lvlText w:val="%2."/>
      <w:lvlJc w:val="left"/>
      <w:pPr>
        <w:tabs>
          <w:tab w:val="num" w:pos="1468"/>
        </w:tabs>
        <w:ind w:left="1468" w:right="1468" w:hanging="360"/>
      </w:pPr>
      <w:rPr>
        <w:rFonts w:hint="cs"/>
      </w:rPr>
    </w:lvl>
    <w:lvl w:ilvl="2" w:tplc="040D001B" w:tentative="1">
      <w:start w:val="1"/>
      <w:numFmt w:val="lowerRoman"/>
      <w:lvlText w:val="%3."/>
      <w:lvlJc w:val="right"/>
      <w:pPr>
        <w:tabs>
          <w:tab w:val="num" w:pos="2188"/>
        </w:tabs>
        <w:ind w:left="2188" w:right="2188" w:hanging="180"/>
      </w:pPr>
    </w:lvl>
    <w:lvl w:ilvl="3" w:tplc="040D000F" w:tentative="1">
      <w:start w:val="1"/>
      <w:numFmt w:val="decimal"/>
      <w:lvlText w:val="%4."/>
      <w:lvlJc w:val="left"/>
      <w:pPr>
        <w:tabs>
          <w:tab w:val="num" w:pos="2908"/>
        </w:tabs>
        <w:ind w:left="2908" w:right="2908" w:hanging="360"/>
      </w:pPr>
    </w:lvl>
    <w:lvl w:ilvl="4" w:tplc="040D0019" w:tentative="1">
      <w:start w:val="1"/>
      <w:numFmt w:val="lowerLetter"/>
      <w:lvlText w:val="%5."/>
      <w:lvlJc w:val="left"/>
      <w:pPr>
        <w:tabs>
          <w:tab w:val="num" w:pos="3628"/>
        </w:tabs>
        <w:ind w:left="3628" w:right="3628" w:hanging="360"/>
      </w:pPr>
    </w:lvl>
    <w:lvl w:ilvl="5" w:tplc="040D001B" w:tentative="1">
      <w:start w:val="1"/>
      <w:numFmt w:val="lowerRoman"/>
      <w:lvlText w:val="%6."/>
      <w:lvlJc w:val="right"/>
      <w:pPr>
        <w:tabs>
          <w:tab w:val="num" w:pos="4348"/>
        </w:tabs>
        <w:ind w:left="4348" w:right="4348" w:hanging="180"/>
      </w:pPr>
    </w:lvl>
    <w:lvl w:ilvl="6" w:tplc="040D000F" w:tentative="1">
      <w:start w:val="1"/>
      <w:numFmt w:val="decimal"/>
      <w:lvlText w:val="%7."/>
      <w:lvlJc w:val="left"/>
      <w:pPr>
        <w:tabs>
          <w:tab w:val="num" w:pos="5068"/>
        </w:tabs>
        <w:ind w:left="5068" w:right="5068" w:hanging="360"/>
      </w:pPr>
    </w:lvl>
    <w:lvl w:ilvl="7" w:tplc="040D0019" w:tentative="1">
      <w:start w:val="1"/>
      <w:numFmt w:val="lowerLetter"/>
      <w:lvlText w:val="%8."/>
      <w:lvlJc w:val="left"/>
      <w:pPr>
        <w:tabs>
          <w:tab w:val="num" w:pos="5788"/>
        </w:tabs>
        <w:ind w:left="5788" w:right="5788" w:hanging="360"/>
      </w:pPr>
    </w:lvl>
    <w:lvl w:ilvl="8" w:tplc="040D001B" w:tentative="1">
      <w:start w:val="1"/>
      <w:numFmt w:val="lowerRoman"/>
      <w:lvlText w:val="%9."/>
      <w:lvlJc w:val="right"/>
      <w:pPr>
        <w:tabs>
          <w:tab w:val="num" w:pos="6508"/>
        </w:tabs>
        <w:ind w:left="6508" w:right="6508" w:hanging="180"/>
      </w:pPr>
    </w:lvl>
  </w:abstractNum>
  <w:abstractNum w:abstractNumId="9" w15:restartNumberingAfterBreak="0">
    <w:nsid w:val="3C927A8F"/>
    <w:multiLevelType w:val="hybridMultilevel"/>
    <w:tmpl w:val="AA7E5216"/>
    <w:lvl w:ilvl="0" w:tplc="839A3802">
      <w:start w:val="1"/>
      <w:numFmt w:val="bullet"/>
      <w:lvlText w:val=""/>
      <w:lvlJc w:val="left"/>
      <w:pPr>
        <w:tabs>
          <w:tab w:val="num" w:pos="720"/>
        </w:tabs>
        <w:ind w:left="720" w:hanging="360"/>
      </w:pPr>
      <w:rPr>
        <w:rFonts w:ascii="Wingdings" w:hAnsi="Wingdings" w:hint="default"/>
        <w:lang w:bidi="he-I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EB6533"/>
    <w:multiLevelType w:val="hybridMultilevel"/>
    <w:tmpl w:val="31389C72"/>
    <w:lvl w:ilvl="0" w:tplc="839A3802">
      <w:start w:val="1"/>
      <w:numFmt w:val="bullet"/>
      <w:lvlText w:val=""/>
      <w:lvlJc w:val="left"/>
      <w:pPr>
        <w:tabs>
          <w:tab w:val="num" w:pos="720"/>
        </w:tabs>
        <w:ind w:left="720" w:hanging="360"/>
      </w:pPr>
      <w:rPr>
        <w:rFonts w:ascii="Wingdings" w:hAnsi="Wingdings" w:hint="default"/>
        <w:lang w:bidi="he-I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735304"/>
    <w:multiLevelType w:val="hybridMultilevel"/>
    <w:tmpl w:val="DC8EEBC2"/>
    <w:lvl w:ilvl="0" w:tplc="839A3802">
      <w:start w:val="1"/>
      <w:numFmt w:val="bullet"/>
      <w:lvlText w:val=""/>
      <w:lvlJc w:val="left"/>
      <w:pPr>
        <w:tabs>
          <w:tab w:val="num" w:pos="720"/>
        </w:tabs>
        <w:ind w:left="720" w:hanging="360"/>
      </w:pPr>
      <w:rPr>
        <w:rFonts w:ascii="Wingdings" w:hAnsi="Wingdings" w:hint="default"/>
        <w:lang w:bidi="he-I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19636E"/>
    <w:multiLevelType w:val="hybridMultilevel"/>
    <w:tmpl w:val="88861F44"/>
    <w:lvl w:ilvl="0" w:tplc="040D0011">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15:restartNumberingAfterBreak="0">
    <w:nsid w:val="75F74708"/>
    <w:multiLevelType w:val="hybridMultilevel"/>
    <w:tmpl w:val="168A08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12"/>
  </w:num>
  <w:num w:numId="4">
    <w:abstractNumId w:val="4"/>
  </w:num>
  <w:num w:numId="5">
    <w:abstractNumId w:val="3"/>
  </w:num>
  <w:num w:numId="6">
    <w:abstractNumId w:val="2"/>
  </w:num>
  <w:num w:numId="7">
    <w:abstractNumId w:val="0"/>
  </w:num>
  <w:num w:numId="8">
    <w:abstractNumId w:val="9"/>
  </w:num>
  <w:num w:numId="9">
    <w:abstractNumId w:val="11"/>
  </w:num>
  <w:num w:numId="10">
    <w:abstractNumId w:val="10"/>
  </w:num>
  <w:num w:numId="11">
    <w:abstractNumId w:val="5"/>
  </w:num>
  <w:num w:numId="12">
    <w:abstractNumId w:val="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08A"/>
    <w:rsid w:val="000005A4"/>
    <w:rsid w:val="00006F97"/>
    <w:rsid w:val="00013864"/>
    <w:rsid w:val="00014DF4"/>
    <w:rsid w:val="00014E9E"/>
    <w:rsid w:val="00015FF4"/>
    <w:rsid w:val="000324EC"/>
    <w:rsid w:val="000411E4"/>
    <w:rsid w:val="000420FC"/>
    <w:rsid w:val="00043CB9"/>
    <w:rsid w:val="00045CE8"/>
    <w:rsid w:val="00051C2C"/>
    <w:rsid w:val="00052632"/>
    <w:rsid w:val="00060CF8"/>
    <w:rsid w:val="000721E6"/>
    <w:rsid w:val="00073710"/>
    <w:rsid w:val="00076944"/>
    <w:rsid w:val="00083CBB"/>
    <w:rsid w:val="0008587F"/>
    <w:rsid w:val="0009199D"/>
    <w:rsid w:val="00091C64"/>
    <w:rsid w:val="000937B1"/>
    <w:rsid w:val="00097300"/>
    <w:rsid w:val="000A1F11"/>
    <w:rsid w:val="000A2301"/>
    <w:rsid w:val="000A7EA6"/>
    <w:rsid w:val="000B40B2"/>
    <w:rsid w:val="000B703D"/>
    <w:rsid w:val="000B7E3E"/>
    <w:rsid w:val="000C5C6F"/>
    <w:rsid w:val="000C77E2"/>
    <w:rsid w:val="000D3D32"/>
    <w:rsid w:val="000E44CE"/>
    <w:rsid w:val="000E7DF4"/>
    <w:rsid w:val="000F563D"/>
    <w:rsid w:val="001018D1"/>
    <w:rsid w:val="00102888"/>
    <w:rsid w:val="001028E3"/>
    <w:rsid w:val="001041EE"/>
    <w:rsid w:val="001066E7"/>
    <w:rsid w:val="00120A3F"/>
    <w:rsid w:val="00137837"/>
    <w:rsid w:val="001400E8"/>
    <w:rsid w:val="001403ED"/>
    <w:rsid w:val="0014331C"/>
    <w:rsid w:val="00143F97"/>
    <w:rsid w:val="00145F83"/>
    <w:rsid w:val="00147B7B"/>
    <w:rsid w:val="00155419"/>
    <w:rsid w:val="001607DF"/>
    <w:rsid w:val="00160F87"/>
    <w:rsid w:val="00161729"/>
    <w:rsid w:val="00165C8F"/>
    <w:rsid w:val="001708F6"/>
    <w:rsid w:val="001733BC"/>
    <w:rsid w:val="001748A2"/>
    <w:rsid w:val="0017776B"/>
    <w:rsid w:val="00196BD3"/>
    <w:rsid w:val="001A28FB"/>
    <w:rsid w:val="001A628E"/>
    <w:rsid w:val="001A6919"/>
    <w:rsid w:val="001B14D8"/>
    <w:rsid w:val="001B5613"/>
    <w:rsid w:val="001C22F2"/>
    <w:rsid w:val="001D06BB"/>
    <w:rsid w:val="001D1CF9"/>
    <w:rsid w:val="001D3590"/>
    <w:rsid w:val="001E1841"/>
    <w:rsid w:val="001F66B0"/>
    <w:rsid w:val="00201C9A"/>
    <w:rsid w:val="00203850"/>
    <w:rsid w:val="00203EE8"/>
    <w:rsid w:val="0020443E"/>
    <w:rsid w:val="0021010F"/>
    <w:rsid w:val="00210BDB"/>
    <w:rsid w:val="00216A37"/>
    <w:rsid w:val="00216BF2"/>
    <w:rsid w:val="00222AB5"/>
    <w:rsid w:val="00224572"/>
    <w:rsid w:val="00227FEA"/>
    <w:rsid w:val="00230CCD"/>
    <w:rsid w:val="00230F37"/>
    <w:rsid w:val="002325F2"/>
    <w:rsid w:val="00232B0F"/>
    <w:rsid w:val="00241A5B"/>
    <w:rsid w:val="00242FED"/>
    <w:rsid w:val="0024501A"/>
    <w:rsid w:val="00251916"/>
    <w:rsid w:val="00255843"/>
    <w:rsid w:val="0026018A"/>
    <w:rsid w:val="00266A97"/>
    <w:rsid w:val="002671EE"/>
    <w:rsid w:val="002673A5"/>
    <w:rsid w:val="00271812"/>
    <w:rsid w:val="00271924"/>
    <w:rsid w:val="0027712D"/>
    <w:rsid w:val="0028582F"/>
    <w:rsid w:val="0028732F"/>
    <w:rsid w:val="002934FD"/>
    <w:rsid w:val="00297EBE"/>
    <w:rsid w:val="002A3C56"/>
    <w:rsid w:val="002B4A84"/>
    <w:rsid w:val="002B5D20"/>
    <w:rsid w:val="002C16E4"/>
    <w:rsid w:val="002C65B7"/>
    <w:rsid w:val="002C6B37"/>
    <w:rsid w:val="002D03A2"/>
    <w:rsid w:val="002E39CA"/>
    <w:rsid w:val="002E5366"/>
    <w:rsid w:val="002F15F4"/>
    <w:rsid w:val="003041C4"/>
    <w:rsid w:val="00304DE3"/>
    <w:rsid w:val="003119D7"/>
    <w:rsid w:val="00315373"/>
    <w:rsid w:val="003156E4"/>
    <w:rsid w:val="0031673B"/>
    <w:rsid w:val="00320E0F"/>
    <w:rsid w:val="003224F9"/>
    <w:rsid w:val="00337DBF"/>
    <w:rsid w:val="00344B7B"/>
    <w:rsid w:val="00345019"/>
    <w:rsid w:val="0035507B"/>
    <w:rsid w:val="00375FA7"/>
    <w:rsid w:val="00380E83"/>
    <w:rsid w:val="003815B9"/>
    <w:rsid w:val="00382E4B"/>
    <w:rsid w:val="003854E2"/>
    <w:rsid w:val="00387087"/>
    <w:rsid w:val="00391AC9"/>
    <w:rsid w:val="00391EDE"/>
    <w:rsid w:val="003955FE"/>
    <w:rsid w:val="003A72D7"/>
    <w:rsid w:val="003B0EE4"/>
    <w:rsid w:val="003B2F0A"/>
    <w:rsid w:val="003D0C12"/>
    <w:rsid w:val="003D4EF6"/>
    <w:rsid w:val="003D7658"/>
    <w:rsid w:val="003E66C4"/>
    <w:rsid w:val="003F7FDA"/>
    <w:rsid w:val="004021B0"/>
    <w:rsid w:val="004048EC"/>
    <w:rsid w:val="004073B8"/>
    <w:rsid w:val="0040780D"/>
    <w:rsid w:val="00410C69"/>
    <w:rsid w:val="00423684"/>
    <w:rsid w:val="004248C0"/>
    <w:rsid w:val="00425571"/>
    <w:rsid w:val="004261CF"/>
    <w:rsid w:val="00427659"/>
    <w:rsid w:val="00434843"/>
    <w:rsid w:val="00434A73"/>
    <w:rsid w:val="0043619A"/>
    <w:rsid w:val="0044069F"/>
    <w:rsid w:val="00442B6F"/>
    <w:rsid w:val="00445B78"/>
    <w:rsid w:val="004504CF"/>
    <w:rsid w:val="0045152F"/>
    <w:rsid w:val="004625C7"/>
    <w:rsid w:val="00465C20"/>
    <w:rsid w:val="00481FE9"/>
    <w:rsid w:val="00482A30"/>
    <w:rsid w:val="00484364"/>
    <w:rsid w:val="00490411"/>
    <w:rsid w:val="004A4685"/>
    <w:rsid w:val="004A5148"/>
    <w:rsid w:val="004B3C0E"/>
    <w:rsid w:val="004B48A4"/>
    <w:rsid w:val="004C5808"/>
    <w:rsid w:val="004C780F"/>
    <w:rsid w:val="004D125A"/>
    <w:rsid w:val="004D69E0"/>
    <w:rsid w:val="004D7B0A"/>
    <w:rsid w:val="004E28E5"/>
    <w:rsid w:val="004E28FC"/>
    <w:rsid w:val="004E3867"/>
    <w:rsid w:val="004F483F"/>
    <w:rsid w:val="0050369F"/>
    <w:rsid w:val="005139EA"/>
    <w:rsid w:val="00527776"/>
    <w:rsid w:val="00531ABA"/>
    <w:rsid w:val="005420D0"/>
    <w:rsid w:val="00551A47"/>
    <w:rsid w:val="00555FD1"/>
    <w:rsid w:val="005632CC"/>
    <w:rsid w:val="005662E8"/>
    <w:rsid w:val="00571EB4"/>
    <w:rsid w:val="00573707"/>
    <w:rsid w:val="00574BFC"/>
    <w:rsid w:val="00581575"/>
    <w:rsid w:val="00581831"/>
    <w:rsid w:val="00590DF3"/>
    <w:rsid w:val="005A2699"/>
    <w:rsid w:val="005A67AE"/>
    <w:rsid w:val="005B1CBE"/>
    <w:rsid w:val="005B3A50"/>
    <w:rsid w:val="005B7A88"/>
    <w:rsid w:val="005C169A"/>
    <w:rsid w:val="005C3BB7"/>
    <w:rsid w:val="005D1921"/>
    <w:rsid w:val="005D3505"/>
    <w:rsid w:val="005D46A8"/>
    <w:rsid w:val="005D507D"/>
    <w:rsid w:val="005D52E4"/>
    <w:rsid w:val="005E595F"/>
    <w:rsid w:val="005F0B54"/>
    <w:rsid w:val="005F143D"/>
    <w:rsid w:val="005F2BE5"/>
    <w:rsid w:val="005F2EC8"/>
    <w:rsid w:val="005F35C7"/>
    <w:rsid w:val="005F427E"/>
    <w:rsid w:val="005F7600"/>
    <w:rsid w:val="006036A4"/>
    <w:rsid w:val="00604B9D"/>
    <w:rsid w:val="00606A8E"/>
    <w:rsid w:val="006079A9"/>
    <w:rsid w:val="00610FE7"/>
    <w:rsid w:val="00611094"/>
    <w:rsid w:val="006223D0"/>
    <w:rsid w:val="00624243"/>
    <w:rsid w:val="0062669E"/>
    <w:rsid w:val="00630605"/>
    <w:rsid w:val="00631611"/>
    <w:rsid w:val="00644F39"/>
    <w:rsid w:val="00646385"/>
    <w:rsid w:val="00647637"/>
    <w:rsid w:val="0064778A"/>
    <w:rsid w:val="00652DBA"/>
    <w:rsid w:val="00655F24"/>
    <w:rsid w:val="00666EEB"/>
    <w:rsid w:val="00675964"/>
    <w:rsid w:val="00685E24"/>
    <w:rsid w:val="006936B2"/>
    <w:rsid w:val="00694EA5"/>
    <w:rsid w:val="006A4254"/>
    <w:rsid w:val="006B1D45"/>
    <w:rsid w:val="006C425E"/>
    <w:rsid w:val="006C7E0C"/>
    <w:rsid w:val="006D15EC"/>
    <w:rsid w:val="006D25A0"/>
    <w:rsid w:val="006D6C8C"/>
    <w:rsid w:val="006E5F32"/>
    <w:rsid w:val="006F3E9B"/>
    <w:rsid w:val="006F49B7"/>
    <w:rsid w:val="007155BA"/>
    <w:rsid w:val="00716B36"/>
    <w:rsid w:val="00720479"/>
    <w:rsid w:val="007206D6"/>
    <w:rsid w:val="00720C4C"/>
    <w:rsid w:val="00730159"/>
    <w:rsid w:val="00731E6B"/>
    <w:rsid w:val="007323D4"/>
    <w:rsid w:val="007339E1"/>
    <w:rsid w:val="007360A2"/>
    <w:rsid w:val="007368CA"/>
    <w:rsid w:val="00737215"/>
    <w:rsid w:val="00737B17"/>
    <w:rsid w:val="00742645"/>
    <w:rsid w:val="00750077"/>
    <w:rsid w:val="007546BB"/>
    <w:rsid w:val="00756BB4"/>
    <w:rsid w:val="0076378E"/>
    <w:rsid w:val="00765746"/>
    <w:rsid w:val="007701AF"/>
    <w:rsid w:val="00793BF3"/>
    <w:rsid w:val="007A435F"/>
    <w:rsid w:val="007B3011"/>
    <w:rsid w:val="007C22FD"/>
    <w:rsid w:val="007C5AD2"/>
    <w:rsid w:val="007D2CDA"/>
    <w:rsid w:val="007D56AC"/>
    <w:rsid w:val="007E1BB2"/>
    <w:rsid w:val="007E3AA5"/>
    <w:rsid w:val="007E6C2B"/>
    <w:rsid w:val="007F0CAC"/>
    <w:rsid w:val="007F1F50"/>
    <w:rsid w:val="007F3C80"/>
    <w:rsid w:val="007F4DA5"/>
    <w:rsid w:val="00801486"/>
    <w:rsid w:val="00801B81"/>
    <w:rsid w:val="00801C47"/>
    <w:rsid w:val="008036B4"/>
    <w:rsid w:val="00803F21"/>
    <w:rsid w:val="00804B81"/>
    <w:rsid w:val="0081184D"/>
    <w:rsid w:val="00815493"/>
    <w:rsid w:val="00827E75"/>
    <w:rsid w:val="008312E2"/>
    <w:rsid w:val="00832E4B"/>
    <w:rsid w:val="008348B6"/>
    <w:rsid w:val="00834E6F"/>
    <w:rsid w:val="008376B8"/>
    <w:rsid w:val="008417FB"/>
    <w:rsid w:val="0084184E"/>
    <w:rsid w:val="00844F18"/>
    <w:rsid w:val="00845888"/>
    <w:rsid w:val="00852317"/>
    <w:rsid w:val="00855859"/>
    <w:rsid w:val="00860F16"/>
    <w:rsid w:val="00861DC1"/>
    <w:rsid w:val="008662E3"/>
    <w:rsid w:val="00875E9B"/>
    <w:rsid w:val="00877765"/>
    <w:rsid w:val="008825C4"/>
    <w:rsid w:val="00891BAD"/>
    <w:rsid w:val="0089346F"/>
    <w:rsid w:val="008937BE"/>
    <w:rsid w:val="00896FC2"/>
    <w:rsid w:val="00897C6D"/>
    <w:rsid w:val="008A0495"/>
    <w:rsid w:val="008A1E0A"/>
    <w:rsid w:val="008A5E53"/>
    <w:rsid w:val="008A6AFD"/>
    <w:rsid w:val="008B3B39"/>
    <w:rsid w:val="008B674C"/>
    <w:rsid w:val="008B69D1"/>
    <w:rsid w:val="008C136B"/>
    <w:rsid w:val="008C2B90"/>
    <w:rsid w:val="008C3834"/>
    <w:rsid w:val="008D2931"/>
    <w:rsid w:val="008E293F"/>
    <w:rsid w:val="008E734D"/>
    <w:rsid w:val="008F4A07"/>
    <w:rsid w:val="009008DC"/>
    <w:rsid w:val="00904E64"/>
    <w:rsid w:val="00906D19"/>
    <w:rsid w:val="00915271"/>
    <w:rsid w:val="00937AE8"/>
    <w:rsid w:val="00945473"/>
    <w:rsid w:val="00946151"/>
    <w:rsid w:val="009553B1"/>
    <w:rsid w:val="009649A7"/>
    <w:rsid w:val="00965950"/>
    <w:rsid w:val="009664B0"/>
    <w:rsid w:val="0097117F"/>
    <w:rsid w:val="00973260"/>
    <w:rsid w:val="00973F55"/>
    <w:rsid w:val="009816E8"/>
    <w:rsid w:val="00983242"/>
    <w:rsid w:val="009907D4"/>
    <w:rsid w:val="00995039"/>
    <w:rsid w:val="009955FE"/>
    <w:rsid w:val="009B08BB"/>
    <w:rsid w:val="009B30CA"/>
    <w:rsid w:val="009B3861"/>
    <w:rsid w:val="009B3ABB"/>
    <w:rsid w:val="009B3F12"/>
    <w:rsid w:val="009B4D7B"/>
    <w:rsid w:val="009C00A1"/>
    <w:rsid w:val="009C1386"/>
    <w:rsid w:val="009C3405"/>
    <w:rsid w:val="009C48ED"/>
    <w:rsid w:val="009C5F07"/>
    <w:rsid w:val="009D4D8B"/>
    <w:rsid w:val="009E4303"/>
    <w:rsid w:val="009F08E6"/>
    <w:rsid w:val="009F557C"/>
    <w:rsid w:val="009F70CA"/>
    <w:rsid w:val="00A066A8"/>
    <w:rsid w:val="00A06F6E"/>
    <w:rsid w:val="00A10EE2"/>
    <w:rsid w:val="00A122AC"/>
    <w:rsid w:val="00A15E96"/>
    <w:rsid w:val="00A208D7"/>
    <w:rsid w:val="00A31667"/>
    <w:rsid w:val="00A36341"/>
    <w:rsid w:val="00A76E6F"/>
    <w:rsid w:val="00A832EF"/>
    <w:rsid w:val="00A8520B"/>
    <w:rsid w:val="00AA2E26"/>
    <w:rsid w:val="00AA47A2"/>
    <w:rsid w:val="00AB2474"/>
    <w:rsid w:val="00AB5645"/>
    <w:rsid w:val="00AB6FF9"/>
    <w:rsid w:val="00AC2306"/>
    <w:rsid w:val="00AC3494"/>
    <w:rsid w:val="00AC641B"/>
    <w:rsid w:val="00AC6FF5"/>
    <w:rsid w:val="00AD2238"/>
    <w:rsid w:val="00AD28C7"/>
    <w:rsid w:val="00AD70A1"/>
    <w:rsid w:val="00AE6160"/>
    <w:rsid w:val="00AF0FD9"/>
    <w:rsid w:val="00AF3C77"/>
    <w:rsid w:val="00B0496E"/>
    <w:rsid w:val="00B1208A"/>
    <w:rsid w:val="00B1605E"/>
    <w:rsid w:val="00B16DAD"/>
    <w:rsid w:val="00B23910"/>
    <w:rsid w:val="00B30B53"/>
    <w:rsid w:val="00B30D11"/>
    <w:rsid w:val="00B342F2"/>
    <w:rsid w:val="00B426E6"/>
    <w:rsid w:val="00B6716D"/>
    <w:rsid w:val="00B76B62"/>
    <w:rsid w:val="00B77CA1"/>
    <w:rsid w:val="00B825EB"/>
    <w:rsid w:val="00BB065E"/>
    <w:rsid w:val="00BB2334"/>
    <w:rsid w:val="00BD2DA7"/>
    <w:rsid w:val="00BD35FA"/>
    <w:rsid w:val="00BD74DB"/>
    <w:rsid w:val="00BD7F95"/>
    <w:rsid w:val="00BE6537"/>
    <w:rsid w:val="00BF20FB"/>
    <w:rsid w:val="00BF2FF3"/>
    <w:rsid w:val="00BF3A23"/>
    <w:rsid w:val="00BF64C1"/>
    <w:rsid w:val="00C149C7"/>
    <w:rsid w:val="00C20E86"/>
    <w:rsid w:val="00C228B6"/>
    <w:rsid w:val="00C26FC1"/>
    <w:rsid w:val="00C3312D"/>
    <w:rsid w:val="00C333E1"/>
    <w:rsid w:val="00C370A0"/>
    <w:rsid w:val="00C46F26"/>
    <w:rsid w:val="00C6544F"/>
    <w:rsid w:val="00C6571E"/>
    <w:rsid w:val="00C67479"/>
    <w:rsid w:val="00C71889"/>
    <w:rsid w:val="00C729FC"/>
    <w:rsid w:val="00C74830"/>
    <w:rsid w:val="00C75D92"/>
    <w:rsid w:val="00C84C4E"/>
    <w:rsid w:val="00C86E23"/>
    <w:rsid w:val="00C95605"/>
    <w:rsid w:val="00CA2A79"/>
    <w:rsid w:val="00CA6D90"/>
    <w:rsid w:val="00CA794E"/>
    <w:rsid w:val="00CB3426"/>
    <w:rsid w:val="00CB4391"/>
    <w:rsid w:val="00CB7720"/>
    <w:rsid w:val="00CC35CB"/>
    <w:rsid w:val="00CC5076"/>
    <w:rsid w:val="00CD4DF8"/>
    <w:rsid w:val="00CD59FF"/>
    <w:rsid w:val="00CD7866"/>
    <w:rsid w:val="00CE1FE0"/>
    <w:rsid w:val="00CE46DC"/>
    <w:rsid w:val="00CE6563"/>
    <w:rsid w:val="00CE78A9"/>
    <w:rsid w:val="00CF2B53"/>
    <w:rsid w:val="00CF4954"/>
    <w:rsid w:val="00D00411"/>
    <w:rsid w:val="00D1045E"/>
    <w:rsid w:val="00D13309"/>
    <w:rsid w:val="00D17523"/>
    <w:rsid w:val="00D177C0"/>
    <w:rsid w:val="00D20B37"/>
    <w:rsid w:val="00D214A8"/>
    <w:rsid w:val="00D242CB"/>
    <w:rsid w:val="00D33AF8"/>
    <w:rsid w:val="00D35926"/>
    <w:rsid w:val="00D40A7D"/>
    <w:rsid w:val="00D62B59"/>
    <w:rsid w:val="00D70CBE"/>
    <w:rsid w:val="00D714E5"/>
    <w:rsid w:val="00D76A3A"/>
    <w:rsid w:val="00D8087D"/>
    <w:rsid w:val="00D81752"/>
    <w:rsid w:val="00D92554"/>
    <w:rsid w:val="00D927A0"/>
    <w:rsid w:val="00DA1E58"/>
    <w:rsid w:val="00DA4C71"/>
    <w:rsid w:val="00DB4FC2"/>
    <w:rsid w:val="00DB5329"/>
    <w:rsid w:val="00DB56A9"/>
    <w:rsid w:val="00DD2DF7"/>
    <w:rsid w:val="00DD34D4"/>
    <w:rsid w:val="00DE037C"/>
    <w:rsid w:val="00DE7FB9"/>
    <w:rsid w:val="00DF5A23"/>
    <w:rsid w:val="00DF5B81"/>
    <w:rsid w:val="00DF7A18"/>
    <w:rsid w:val="00E04A08"/>
    <w:rsid w:val="00E06C9A"/>
    <w:rsid w:val="00E073B1"/>
    <w:rsid w:val="00E12093"/>
    <w:rsid w:val="00E13B6F"/>
    <w:rsid w:val="00E17956"/>
    <w:rsid w:val="00E213E3"/>
    <w:rsid w:val="00E350FB"/>
    <w:rsid w:val="00E47563"/>
    <w:rsid w:val="00E50A23"/>
    <w:rsid w:val="00E6372C"/>
    <w:rsid w:val="00E72AD2"/>
    <w:rsid w:val="00E74CE8"/>
    <w:rsid w:val="00E768EF"/>
    <w:rsid w:val="00E843FB"/>
    <w:rsid w:val="00E91051"/>
    <w:rsid w:val="00EA1939"/>
    <w:rsid w:val="00EB47ED"/>
    <w:rsid w:val="00EC6E0D"/>
    <w:rsid w:val="00ED11A9"/>
    <w:rsid w:val="00ED37A4"/>
    <w:rsid w:val="00EE4723"/>
    <w:rsid w:val="00EE7317"/>
    <w:rsid w:val="00EF010B"/>
    <w:rsid w:val="00EF6F24"/>
    <w:rsid w:val="00F036CE"/>
    <w:rsid w:val="00F04805"/>
    <w:rsid w:val="00F04A34"/>
    <w:rsid w:val="00F12AA1"/>
    <w:rsid w:val="00F13C67"/>
    <w:rsid w:val="00F15C15"/>
    <w:rsid w:val="00F174F9"/>
    <w:rsid w:val="00F229D7"/>
    <w:rsid w:val="00F23D89"/>
    <w:rsid w:val="00F31942"/>
    <w:rsid w:val="00F36E0C"/>
    <w:rsid w:val="00F377B7"/>
    <w:rsid w:val="00F46681"/>
    <w:rsid w:val="00F4729F"/>
    <w:rsid w:val="00F508A1"/>
    <w:rsid w:val="00F51455"/>
    <w:rsid w:val="00F57F9E"/>
    <w:rsid w:val="00F62124"/>
    <w:rsid w:val="00F64B5A"/>
    <w:rsid w:val="00F65411"/>
    <w:rsid w:val="00F65FCC"/>
    <w:rsid w:val="00F71817"/>
    <w:rsid w:val="00F766A2"/>
    <w:rsid w:val="00F773DB"/>
    <w:rsid w:val="00F818EF"/>
    <w:rsid w:val="00F82AC9"/>
    <w:rsid w:val="00F93FF2"/>
    <w:rsid w:val="00FB3D4C"/>
    <w:rsid w:val="00FC3C8A"/>
    <w:rsid w:val="00FC56AE"/>
    <w:rsid w:val="00FD37E8"/>
    <w:rsid w:val="00FE5D92"/>
    <w:rsid w:val="00FF3AF3"/>
    <w:rsid w:val="00FF6A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39CE62B4-018D-4B2B-AFFA-C2254B6C8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08A"/>
    <w:pPr>
      <w:bidi/>
      <w:spacing w:before="120" w:after="120" w:line="336" w:lineRule="auto"/>
      <w:jc w:val="both"/>
    </w:pPr>
    <w:rPr>
      <w:rFonts w:cs="David"/>
      <w:sz w:val="24"/>
      <w:szCs w:val="24"/>
      <w:lang w:eastAsia="he-IL"/>
    </w:rPr>
  </w:style>
  <w:style w:type="paragraph" w:styleId="10">
    <w:name w:val="heading 1"/>
    <w:basedOn w:val="a"/>
    <w:next w:val="a"/>
    <w:qFormat/>
    <w:rsid w:val="00B1208A"/>
    <w:pPr>
      <w:keepNext/>
      <w:spacing w:before="240" w:after="60"/>
      <w:outlineLvl w:val="0"/>
    </w:pPr>
    <w:rPr>
      <w:rFonts w:ascii="Arial" w:hAnsi="Arial" w:cs="Arial"/>
      <w:b/>
      <w:bCs/>
      <w:kern w:val="32"/>
      <w:sz w:val="32"/>
      <w:szCs w:val="32"/>
    </w:rPr>
  </w:style>
  <w:style w:type="paragraph" w:styleId="2">
    <w:name w:val="heading 2"/>
    <w:basedOn w:val="a"/>
    <w:next w:val="a"/>
    <w:qFormat/>
    <w:rsid w:val="00B1208A"/>
    <w:pPr>
      <w:keepNext/>
      <w:spacing w:before="240" w:after="60"/>
      <w:outlineLvl w:val="1"/>
    </w:pPr>
    <w:rPr>
      <w:rFonts w:ascii="Arial" w:hAnsi="Arial" w:cs="Arial"/>
      <w:b/>
      <w:bCs/>
      <w:i/>
      <w:iCs/>
      <w:sz w:val="28"/>
      <w:szCs w:val="28"/>
    </w:rPr>
  </w:style>
  <w:style w:type="paragraph" w:styleId="3">
    <w:name w:val="heading 3"/>
    <w:basedOn w:val="a"/>
    <w:qFormat/>
    <w:rsid w:val="00B1208A"/>
    <w:pPr>
      <w:spacing w:before="0" w:line="288" w:lineRule="auto"/>
      <w:outlineLvl w:val="2"/>
    </w:pPr>
  </w:style>
  <w:style w:type="paragraph" w:styleId="4">
    <w:name w:val="heading 4"/>
    <w:basedOn w:val="a"/>
    <w:qFormat/>
    <w:rsid w:val="00B1208A"/>
    <w:pPr>
      <w:spacing w:before="0" w:line="288" w:lineRule="auto"/>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פסקה רג"/>
    <w:basedOn w:val="a"/>
    <w:rsid w:val="00B1208A"/>
    <w:rPr>
      <w:lang w:eastAsia="en-US"/>
    </w:rPr>
  </w:style>
  <w:style w:type="paragraph" w:styleId="a4">
    <w:name w:val="footnote text"/>
    <w:basedOn w:val="a"/>
    <w:link w:val="a5"/>
    <w:uiPriority w:val="99"/>
    <w:semiHidden/>
    <w:rsid w:val="00B1208A"/>
    <w:pPr>
      <w:tabs>
        <w:tab w:val="left" w:pos="210"/>
      </w:tabs>
      <w:spacing w:before="0" w:after="60" w:line="240" w:lineRule="auto"/>
      <w:ind w:left="227" w:hanging="227"/>
    </w:pPr>
    <w:rPr>
      <w:sz w:val="20"/>
      <w:szCs w:val="20"/>
    </w:rPr>
  </w:style>
  <w:style w:type="character" w:styleId="a6">
    <w:name w:val="footnote reference"/>
    <w:uiPriority w:val="99"/>
    <w:semiHidden/>
    <w:rsid w:val="00B1208A"/>
    <w:rPr>
      <w:vertAlign w:val="superscript"/>
    </w:rPr>
  </w:style>
  <w:style w:type="paragraph" w:styleId="a7">
    <w:name w:val="header"/>
    <w:basedOn w:val="a"/>
    <w:rsid w:val="00B1208A"/>
    <w:pPr>
      <w:tabs>
        <w:tab w:val="center" w:pos="4153"/>
        <w:tab w:val="right" w:pos="8306"/>
      </w:tabs>
    </w:pPr>
  </w:style>
  <w:style w:type="character" w:styleId="a8">
    <w:name w:val="page number"/>
    <w:basedOn w:val="a0"/>
    <w:rsid w:val="00B1208A"/>
  </w:style>
  <w:style w:type="paragraph" w:styleId="a9">
    <w:name w:val="footer"/>
    <w:basedOn w:val="a"/>
    <w:rsid w:val="00B1208A"/>
    <w:pPr>
      <w:tabs>
        <w:tab w:val="center" w:pos="4153"/>
        <w:tab w:val="right" w:pos="8306"/>
      </w:tabs>
    </w:pPr>
  </w:style>
  <w:style w:type="character" w:styleId="Hyperlink">
    <w:name w:val="Hyperlink"/>
    <w:rsid w:val="00B1208A"/>
    <w:rPr>
      <w:color w:val="0000FF"/>
      <w:u w:val="single"/>
    </w:rPr>
  </w:style>
  <w:style w:type="paragraph" w:customStyle="1" w:styleId="aFootnoteText">
    <w:name w:val="a_Footnote Text"/>
    <w:basedOn w:val="a4"/>
    <w:rsid w:val="00B1208A"/>
    <w:pPr>
      <w:spacing w:before="120" w:line="336" w:lineRule="auto"/>
    </w:pPr>
  </w:style>
  <w:style w:type="paragraph" w:customStyle="1" w:styleId="aa">
    <w:name w:val="כות_ללא מספור"/>
    <w:basedOn w:val="a"/>
    <w:rsid w:val="00B1208A"/>
    <w:pPr>
      <w:spacing w:before="240" w:line="360" w:lineRule="auto"/>
    </w:pPr>
    <w:rPr>
      <w:b/>
      <w:bCs/>
      <w:sz w:val="28"/>
      <w:szCs w:val="28"/>
    </w:rPr>
  </w:style>
  <w:style w:type="paragraph" w:customStyle="1" w:styleId="1">
    <w:name w:val="כות_1"/>
    <w:basedOn w:val="a"/>
    <w:link w:val="12"/>
    <w:rsid w:val="00B1208A"/>
    <w:pPr>
      <w:numPr>
        <w:numId w:val="1"/>
      </w:numPr>
      <w:spacing w:before="240" w:line="360" w:lineRule="auto"/>
    </w:pPr>
    <w:rPr>
      <w:b/>
      <w:bCs/>
      <w:sz w:val="28"/>
      <w:szCs w:val="28"/>
    </w:rPr>
  </w:style>
  <w:style w:type="paragraph" w:customStyle="1" w:styleId="11">
    <w:name w:val="כות_1.1"/>
    <w:basedOn w:val="1"/>
    <w:link w:val="110"/>
    <w:rsid w:val="00B1208A"/>
    <w:pPr>
      <w:numPr>
        <w:ilvl w:val="1"/>
      </w:numPr>
    </w:pPr>
  </w:style>
  <w:style w:type="paragraph" w:customStyle="1" w:styleId="111">
    <w:name w:val="כות_1.1.1"/>
    <w:basedOn w:val="11"/>
    <w:rsid w:val="00B1208A"/>
    <w:pPr>
      <w:numPr>
        <w:ilvl w:val="2"/>
      </w:numPr>
      <w:ind w:left="350" w:right="0"/>
    </w:pPr>
  </w:style>
  <w:style w:type="paragraph" w:styleId="ab">
    <w:name w:val="Body Text"/>
    <w:basedOn w:val="a"/>
    <w:rsid w:val="00B1208A"/>
    <w:rPr>
      <w:b/>
      <w:bCs/>
      <w:spacing w:val="-4"/>
      <w:szCs w:val="20"/>
    </w:rPr>
  </w:style>
  <w:style w:type="table" w:styleId="13">
    <w:name w:val="Table Classic 1"/>
    <w:basedOn w:val="a1"/>
    <w:rsid w:val="00B1208A"/>
    <w:pPr>
      <w:bidi/>
      <w:spacing w:before="120" w:after="120" w:line="336"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FollowedHyperlink">
    <w:name w:val="FollowedHyperlink"/>
    <w:rsid w:val="00D35926"/>
    <w:rPr>
      <w:color w:val="606420"/>
      <w:u w:val="single"/>
    </w:rPr>
  </w:style>
  <w:style w:type="character" w:customStyle="1" w:styleId="12">
    <w:name w:val="כות_1 תו"/>
    <w:link w:val="1"/>
    <w:rsid w:val="005D1921"/>
    <w:rPr>
      <w:rFonts w:cs="David"/>
      <w:b/>
      <w:bCs/>
      <w:sz w:val="28"/>
      <w:szCs w:val="28"/>
      <w:lang w:val="en-US" w:eastAsia="he-IL" w:bidi="he-IL"/>
    </w:rPr>
  </w:style>
  <w:style w:type="character" w:customStyle="1" w:styleId="110">
    <w:name w:val="כות_1.1 תו"/>
    <w:basedOn w:val="12"/>
    <w:link w:val="11"/>
    <w:rsid w:val="005D1921"/>
    <w:rPr>
      <w:rFonts w:cs="David"/>
      <w:b/>
      <w:bCs/>
      <w:sz w:val="28"/>
      <w:szCs w:val="28"/>
      <w:lang w:val="en-US" w:eastAsia="he-IL" w:bidi="he-IL"/>
    </w:rPr>
  </w:style>
  <w:style w:type="paragraph" w:styleId="ac">
    <w:name w:val="Balloon Text"/>
    <w:basedOn w:val="a"/>
    <w:semiHidden/>
    <w:rsid w:val="008C136B"/>
    <w:rPr>
      <w:rFonts w:ascii="Tahoma" w:hAnsi="Tahoma" w:cs="Tahoma"/>
      <w:sz w:val="16"/>
      <w:szCs w:val="16"/>
    </w:rPr>
  </w:style>
  <w:style w:type="character" w:customStyle="1" w:styleId="a5">
    <w:name w:val="טקסט הערת שוליים תו"/>
    <w:link w:val="a4"/>
    <w:uiPriority w:val="99"/>
    <w:semiHidden/>
    <w:rsid w:val="00CE46DC"/>
    <w:rPr>
      <w:rFonts w:cs="David"/>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8" Type="http://schemas.openxmlformats.org/officeDocument/2006/relationships/hyperlink" Target="http://ec.europa.eu/health/scientific_committees/environmental_risks/docs/scher_o_139.pdf" TargetMode="External"/><Relationship Id="rId13" Type="http://schemas.openxmlformats.org/officeDocument/2006/relationships/hyperlink" Target="http://digitalcommons.wcl.american.edu/cgi/viewcontent.cgi?article=1002&amp;context=hlp" TargetMode="External"/><Relationship Id="rId18" Type="http://schemas.openxmlformats.org/officeDocument/2006/relationships/hyperlink" Target="http://www.nhmrc.gov.au/_files_nhmrc/publications/attachments/eh34_adwg_11_06.pdf" TargetMode="External"/><Relationship Id="rId26" Type="http://schemas.openxmlformats.org/officeDocument/2006/relationships/hyperlink" Target="http://www.legislation.act.gov.au/a/1989-13/19891009-5120/pdf/1989-13.pdf" TargetMode="External"/><Relationship Id="rId3" Type="http://schemas.openxmlformats.org/officeDocument/2006/relationships/hyperlink" Target="http://eur-lex.europa.eu/LexUriServ/LexUriServ.do?uri=CELEX:62003CJ0211:EN:NOT" TargetMode="External"/><Relationship Id="rId21" Type="http://schemas.openxmlformats.org/officeDocument/2006/relationships/hyperlink" Target="http://www.health.vic.gov.au/environment/downloads/fluori_qa07.pdf" TargetMode="External"/><Relationship Id="rId34" Type="http://schemas.openxmlformats.org/officeDocument/2006/relationships/hyperlink" Target="http://www.fluoridesandhealth.ie/background/fluoridation_forum.pdf" TargetMode="External"/><Relationship Id="rId7" Type="http://schemas.openxmlformats.org/officeDocument/2006/relationships/hyperlink" Target="http://eur-lex.europa.eu/LexUriServ/LexUriServ.do?uri=OJ:L:1998:330:0032:0054:EN:PDF" TargetMode="External"/><Relationship Id="rId12" Type="http://schemas.openxmlformats.org/officeDocument/2006/relationships/hyperlink" Target="http://www.publichealthreports.org/documents/PHS_2015_Fluoride_Guidelines.pdf" TargetMode="External"/><Relationship Id="rId17" Type="http://schemas.openxmlformats.org/officeDocument/2006/relationships/hyperlink" Target="https://www.businessreport.com/business/louisiana-fluoride" TargetMode="External"/><Relationship Id="rId25" Type="http://schemas.openxmlformats.org/officeDocument/2006/relationships/hyperlink" Target="http://www.slp.wa.gov.au/pco/prod/FileStore.nsf/Documents/MRDocument:5473P/$FILE/FluoridationofPublWatrSuppliesAct1966_01-d0-02.pdf?OpenElement" TargetMode="External"/><Relationship Id="rId33" Type="http://schemas.openxmlformats.org/officeDocument/2006/relationships/hyperlink" Target="http://www.irishstatutebook.ie/1962/en/si/0075.html" TargetMode="External"/><Relationship Id="rId2" Type="http://schemas.openxmlformats.org/officeDocument/2006/relationships/hyperlink" Target="http://eur-lex.europa.eu/LexUriServ/LexUriServ.do?uri=OJ:C:2005:193:0004:0005:EN:PDF" TargetMode="External"/><Relationship Id="rId16" Type="http://schemas.openxmlformats.org/officeDocument/2006/relationships/hyperlink" Target="http://www.fluidlaw.org/policy" TargetMode="External"/><Relationship Id="rId20" Type="http://schemas.openxmlformats.org/officeDocument/2006/relationships/hyperlink" Target="http://www.nhmrc.gov.au/_files_nhmrc/publications/attachments/eh34_adwg_11_06.pdf" TargetMode="External"/><Relationship Id="rId29" Type="http://schemas.openxmlformats.org/officeDocument/2006/relationships/hyperlink" Target="http://www.legislation.qld.gov.au/LEGISLTN/CURRENT/W/WatrFluorR08.pdf" TargetMode="External"/><Relationship Id="rId1" Type="http://schemas.openxmlformats.org/officeDocument/2006/relationships/hyperlink" Target="http://www.ukcaf.org/files/ecj_ruling_on_functional_foods.pdf" TargetMode="External"/><Relationship Id="rId6" Type="http://schemas.openxmlformats.org/officeDocument/2006/relationships/hyperlink" Target="http://eur-lex.europa.eu/en/droit_communautaire/droit_communautaire.htm" TargetMode="External"/><Relationship Id="rId11" Type="http://schemas.openxmlformats.org/officeDocument/2006/relationships/hyperlink" Target="http://www.cdc.gov/fluoridation/statistics/2008stats.htm" TargetMode="External"/><Relationship Id="rId24" Type="http://schemas.openxmlformats.org/officeDocument/2006/relationships/hyperlink" Target="http://www.legislation.vic.gov.au/Domino/Web_Notes/LDMS/LTObject_Store/LTObjSt2.nsf/DDE300B846EED9C7CA257616000A3571/A18AD87C28E36597CA2577610022078E/$FILE/73-8506a016.pdf" TargetMode="External"/><Relationship Id="rId32" Type="http://schemas.openxmlformats.org/officeDocument/2006/relationships/hyperlink" Target="http://www.courts.ie/supremecourt/sclibrary3.nsf/(WebFiles)/AD23E8418C11E5118025765E0037605A/$FILE/Ryan%20v%20AG_1964.rtf" TargetMode="External"/><Relationship Id="rId5" Type="http://schemas.openxmlformats.org/officeDocument/2006/relationships/hyperlink" Target="http://www.europarl.europa.eu/sides/getAllAnswers.do?reference=E-2008-4645&amp;language=EN" TargetMode="External"/><Relationship Id="rId15" Type="http://schemas.openxmlformats.org/officeDocument/2006/relationships/hyperlink" Target="http://fluoridealert.org/content/mandatory-fluoridation-in-the-u-s/" TargetMode="External"/><Relationship Id="rId23" Type="http://schemas.openxmlformats.org/officeDocument/2006/relationships/hyperlink" Target="http://www.thelaw.tas.gov.au/tocview/content.w3p;doc_id=87++1968+AT@EN+20111005000000;rec=0" TargetMode="External"/><Relationship Id="rId28" Type="http://schemas.openxmlformats.org/officeDocument/2006/relationships/hyperlink" Target="http://www.legislation.qld.gov.au/LEGISLTN/ACTS/2008/08AC012.pdf" TargetMode="External"/><Relationship Id="rId36" Type="http://schemas.openxmlformats.org/officeDocument/2006/relationships/hyperlink" Target="http://www.irishstatutebook.ie/2007/en/si/0278.html" TargetMode="External"/><Relationship Id="rId10" Type="http://schemas.openxmlformats.org/officeDocument/2006/relationships/hyperlink" Target="http://www.royalsociety.org.nz/media/2014/08/Health-effects-of-water-fluoridation_Aug_2014_corrected_Jan_2015.pdf" TargetMode="External"/><Relationship Id="rId19" Type="http://schemas.openxmlformats.org/officeDocument/2006/relationships/hyperlink" Target="http://www.nhmrc.gov.au/_files_nhmrc/publications/attachments/eh34_adwg_11_06.pdf" TargetMode="External"/><Relationship Id="rId31" Type="http://schemas.openxmlformats.org/officeDocument/2006/relationships/hyperlink" Target="http://www.irishstatutebook.ie/1960/en/act/pub/0046/print.html" TargetMode="External"/><Relationship Id="rId4" Type="http://schemas.openxmlformats.org/officeDocument/2006/relationships/hyperlink" Target="http://www.europarl.europa.eu/sides/getDoc.do?pubRef=-//EP//TEXT+WQ+E-2008-4645+0+DOC+XML+V0//EN&amp;language=EN" TargetMode="External"/><Relationship Id="rId9" Type="http://schemas.openxmlformats.org/officeDocument/2006/relationships/hyperlink" Target="http://researchbriefings.parliament.uk/ResearchBriefing/Summary/SN05689" TargetMode="External"/><Relationship Id="rId14" Type="http://schemas.openxmlformats.org/officeDocument/2006/relationships/hyperlink" Target="http://www.floridahealth.gov/programs-and-services/community-health/dental-health/fluoridation/ChildrensDentalHealthProject_State_Standards_Vary_for_Fluoridation.pdf" TargetMode="External"/><Relationship Id="rId22" Type="http://schemas.openxmlformats.org/officeDocument/2006/relationships/hyperlink" Target="http://www.legislation.nsw.gov.au/inforcepdf/1957-58.pdf?id=58a392ae-69c5-11dd-8fae-00144f4fe975" TargetMode="External"/><Relationship Id="rId27" Type="http://schemas.openxmlformats.org/officeDocument/2006/relationships/hyperlink" Target="http://www.health.qld.gov.au/fluoride/document/fluorides_qld_policy.pdf" TargetMode="External"/><Relationship Id="rId30" Type="http://schemas.openxmlformats.org/officeDocument/2006/relationships/hyperlink" Target="https://www.health.qld.gov.au/publications/public-health/industry-environment/environment-land-water/water/fluoride_codepractice.pdf" TargetMode="External"/><Relationship Id="rId35" Type="http://schemas.openxmlformats.org/officeDocument/2006/relationships/hyperlink" Target="http://www.irishstatutebook.ie/2007/en/si/0042.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02CB7-6A17-4208-B5D4-739A0011DC80}"/>
</file>

<file path=customXml/itemProps2.xml><?xml version="1.0" encoding="utf-8"?>
<ds:datastoreItem xmlns:ds="http://schemas.openxmlformats.org/officeDocument/2006/customXml" ds:itemID="{1C1B187F-61CA-497E-88EB-F9AB493A92C0}"/>
</file>

<file path=customXml/itemProps3.xml><?xml version="1.0" encoding="utf-8"?>
<ds:datastoreItem xmlns:ds="http://schemas.openxmlformats.org/officeDocument/2006/customXml" ds:itemID="{65103701-3D5A-45B5-8235-D211068D2C6D}"/>
</file>

<file path=customXml/itemProps4.xml><?xml version="1.0" encoding="utf-8"?>
<ds:datastoreItem xmlns:ds="http://schemas.openxmlformats.org/officeDocument/2006/customXml" ds:itemID="{00168E22-ED58-49D5-9C37-45B5D2CBB472}"/>
</file>

<file path=docProps/app.xml><?xml version="1.0" encoding="utf-8"?>
<Properties xmlns="http://schemas.openxmlformats.org/officeDocument/2006/extended-properties" xmlns:vt="http://schemas.openxmlformats.org/officeDocument/2006/docPropsVTypes">
  <Template>Normal</Template>
  <TotalTime>40</TotalTime>
  <Pages>1</Pages>
  <Words>2813</Words>
  <Characters>14068</Characters>
  <Application>Microsoft Office Word</Application>
  <DocSecurity>0</DocSecurity>
  <Lines>117</Lines>
  <Paragraphs>33</Paragraphs>
  <ScaleCrop>false</ScaleCrop>
  <HeadingPairs>
    <vt:vector size="2" baseType="variant">
      <vt:variant>
        <vt:lpstr>שם</vt:lpstr>
      </vt:variant>
      <vt:variant>
        <vt:i4>1</vt:i4>
      </vt:variant>
    </vt:vector>
  </HeadingPairs>
  <TitlesOfParts>
    <vt:vector size="1" baseType="lpstr">
      <vt:lpstr>מדיניות וחקיקה בנושא הפלרת מי שתייה- סקירה משווה.</vt:lpstr>
    </vt:vector>
  </TitlesOfParts>
  <Company>knesset</Company>
  <LinksUpToDate>false</LinksUpToDate>
  <CharactersWithSpaces>16848</CharactersWithSpaces>
  <SharedDoc>false</SharedDoc>
  <HLinks>
    <vt:vector size="210" baseType="variant">
      <vt:variant>
        <vt:i4>3342386</vt:i4>
      </vt:variant>
      <vt:variant>
        <vt:i4>6</vt:i4>
      </vt:variant>
      <vt:variant>
        <vt:i4>0</vt:i4>
      </vt:variant>
      <vt:variant>
        <vt:i4>5</vt:i4>
      </vt:variant>
      <vt:variant>
        <vt:lpwstr/>
      </vt:variant>
      <vt:variant>
        <vt:lpwstr>דירקטיבה</vt:lpwstr>
      </vt:variant>
      <vt:variant>
        <vt:i4>1966099</vt:i4>
      </vt:variant>
      <vt:variant>
        <vt:i4>126</vt:i4>
      </vt:variant>
      <vt:variant>
        <vt:i4>0</vt:i4>
      </vt:variant>
      <vt:variant>
        <vt:i4>5</vt:i4>
      </vt:variant>
      <vt:variant>
        <vt:lpwstr>http://www.legislation.qld.gov.au/LEGISLTN/CURRENT/W/WatrFluorR08.pdf</vt:lpwstr>
      </vt:variant>
      <vt:variant>
        <vt:lpwstr/>
      </vt:variant>
      <vt:variant>
        <vt:i4>393293</vt:i4>
      </vt:variant>
      <vt:variant>
        <vt:i4>117</vt:i4>
      </vt:variant>
      <vt:variant>
        <vt:i4>0</vt:i4>
      </vt:variant>
      <vt:variant>
        <vt:i4>5</vt:i4>
      </vt:variant>
      <vt:variant>
        <vt:lpwstr>http://www.legislation.qld.gov.au/LEGISLTN/ACTS/2008/08AC012.pdf</vt:lpwstr>
      </vt:variant>
      <vt:variant>
        <vt:lpwstr/>
      </vt:variant>
      <vt:variant>
        <vt:i4>7929907</vt:i4>
      </vt:variant>
      <vt:variant>
        <vt:i4>114</vt:i4>
      </vt:variant>
      <vt:variant>
        <vt:i4>0</vt:i4>
      </vt:variant>
      <vt:variant>
        <vt:i4>5</vt:i4>
      </vt:variant>
      <vt:variant>
        <vt:lpwstr>http://www.health.qld.gov.au/fluoride/document/fluorides_qld_policy.pdf</vt:lpwstr>
      </vt:variant>
      <vt:variant>
        <vt:lpwstr/>
      </vt:variant>
      <vt:variant>
        <vt:i4>6357096</vt:i4>
      </vt:variant>
      <vt:variant>
        <vt:i4>105</vt:i4>
      </vt:variant>
      <vt:variant>
        <vt:i4>0</vt:i4>
      </vt:variant>
      <vt:variant>
        <vt:i4>5</vt:i4>
      </vt:variant>
      <vt:variant>
        <vt:lpwstr>http://www.irishstatutebook.ie/2007/en/si/0278.html</vt:lpwstr>
      </vt:variant>
      <vt:variant>
        <vt:lpwstr/>
      </vt:variant>
      <vt:variant>
        <vt:i4>6881387</vt:i4>
      </vt:variant>
      <vt:variant>
        <vt:i4>102</vt:i4>
      </vt:variant>
      <vt:variant>
        <vt:i4>0</vt:i4>
      </vt:variant>
      <vt:variant>
        <vt:i4>5</vt:i4>
      </vt:variant>
      <vt:variant>
        <vt:lpwstr>http://www.irishstatutebook.ie/2007/en/si/0042.html</vt:lpwstr>
      </vt:variant>
      <vt:variant>
        <vt:lpwstr/>
      </vt:variant>
      <vt:variant>
        <vt:i4>3014661</vt:i4>
      </vt:variant>
      <vt:variant>
        <vt:i4>99</vt:i4>
      </vt:variant>
      <vt:variant>
        <vt:i4>0</vt:i4>
      </vt:variant>
      <vt:variant>
        <vt:i4>5</vt:i4>
      </vt:variant>
      <vt:variant>
        <vt:lpwstr>http://www.fluoridesandhealth.ie/background/fluoridation_forum.pdf</vt:lpwstr>
      </vt:variant>
      <vt:variant>
        <vt:lpwstr/>
      </vt:variant>
      <vt:variant>
        <vt:i4>7012452</vt:i4>
      </vt:variant>
      <vt:variant>
        <vt:i4>96</vt:i4>
      </vt:variant>
      <vt:variant>
        <vt:i4>0</vt:i4>
      </vt:variant>
      <vt:variant>
        <vt:i4>5</vt:i4>
      </vt:variant>
      <vt:variant>
        <vt:lpwstr>http://www.irishstatutebook.ie/1962/en/si/0075.html</vt:lpwstr>
      </vt:variant>
      <vt:variant>
        <vt:lpwstr/>
      </vt:variant>
      <vt:variant>
        <vt:i4>1048618</vt:i4>
      </vt:variant>
      <vt:variant>
        <vt:i4>93</vt:i4>
      </vt:variant>
      <vt:variant>
        <vt:i4>0</vt:i4>
      </vt:variant>
      <vt:variant>
        <vt:i4>5</vt:i4>
      </vt:variant>
      <vt:variant>
        <vt:lpwstr>http://www.courts.ie/supremecourt/sclibrary3.nsf/(WebFiles)/AD23E8418C11E5118025765E0037605A/$FILE/Ryan v AG_1964.rtf</vt:lpwstr>
      </vt:variant>
      <vt:variant>
        <vt:lpwstr/>
      </vt:variant>
      <vt:variant>
        <vt:i4>3211306</vt:i4>
      </vt:variant>
      <vt:variant>
        <vt:i4>90</vt:i4>
      </vt:variant>
      <vt:variant>
        <vt:i4>0</vt:i4>
      </vt:variant>
      <vt:variant>
        <vt:i4>5</vt:i4>
      </vt:variant>
      <vt:variant>
        <vt:lpwstr>http://www.irishstatutebook.ie/1960/en/act/pub/0046/print.html</vt:lpwstr>
      </vt:variant>
      <vt:variant>
        <vt:lpwstr/>
      </vt:variant>
      <vt:variant>
        <vt:i4>3866626</vt:i4>
      </vt:variant>
      <vt:variant>
        <vt:i4>87</vt:i4>
      </vt:variant>
      <vt:variant>
        <vt:i4>0</vt:i4>
      </vt:variant>
      <vt:variant>
        <vt:i4>5</vt:i4>
      </vt:variant>
      <vt:variant>
        <vt:lpwstr>https://www.health.qld.gov.au/publications/public-health/industry-environment/environment-land-water/water/fluoride_codepractice.pdf</vt:lpwstr>
      </vt:variant>
      <vt:variant>
        <vt:lpwstr/>
      </vt:variant>
      <vt:variant>
        <vt:i4>1966099</vt:i4>
      </vt:variant>
      <vt:variant>
        <vt:i4>75</vt:i4>
      </vt:variant>
      <vt:variant>
        <vt:i4>0</vt:i4>
      </vt:variant>
      <vt:variant>
        <vt:i4>5</vt:i4>
      </vt:variant>
      <vt:variant>
        <vt:lpwstr>http://www.legislation.qld.gov.au/LEGISLTN/CURRENT/W/WatrFluorR08.pdf</vt:lpwstr>
      </vt:variant>
      <vt:variant>
        <vt:lpwstr/>
      </vt:variant>
      <vt:variant>
        <vt:i4>393293</vt:i4>
      </vt:variant>
      <vt:variant>
        <vt:i4>66</vt:i4>
      </vt:variant>
      <vt:variant>
        <vt:i4>0</vt:i4>
      </vt:variant>
      <vt:variant>
        <vt:i4>5</vt:i4>
      </vt:variant>
      <vt:variant>
        <vt:lpwstr>http://www.legislation.qld.gov.au/LEGISLTN/ACTS/2008/08AC012.pdf</vt:lpwstr>
      </vt:variant>
      <vt:variant>
        <vt:lpwstr/>
      </vt:variant>
      <vt:variant>
        <vt:i4>7929907</vt:i4>
      </vt:variant>
      <vt:variant>
        <vt:i4>63</vt:i4>
      </vt:variant>
      <vt:variant>
        <vt:i4>0</vt:i4>
      </vt:variant>
      <vt:variant>
        <vt:i4>5</vt:i4>
      </vt:variant>
      <vt:variant>
        <vt:lpwstr>http://www.health.qld.gov.au/fluoride/document/fluorides_qld_policy.pdf</vt:lpwstr>
      </vt:variant>
      <vt:variant>
        <vt:lpwstr/>
      </vt:variant>
      <vt:variant>
        <vt:i4>6226015</vt:i4>
      </vt:variant>
      <vt:variant>
        <vt:i4>60</vt:i4>
      </vt:variant>
      <vt:variant>
        <vt:i4>0</vt:i4>
      </vt:variant>
      <vt:variant>
        <vt:i4>5</vt:i4>
      </vt:variant>
      <vt:variant>
        <vt:lpwstr>http://www.legislation.act.gov.au/a/1989-13/19891009-5120/pdf/1989-13.pdf</vt:lpwstr>
      </vt:variant>
      <vt:variant>
        <vt:lpwstr/>
      </vt:variant>
      <vt:variant>
        <vt:i4>8126547</vt:i4>
      </vt:variant>
      <vt:variant>
        <vt:i4>57</vt:i4>
      </vt:variant>
      <vt:variant>
        <vt:i4>0</vt:i4>
      </vt:variant>
      <vt:variant>
        <vt:i4>5</vt:i4>
      </vt:variant>
      <vt:variant>
        <vt:lpwstr>http://www.slp.wa.gov.au/pco/prod/FileStore.nsf/Documents/MRDocument:5473P/$FILE/FluoridationofPublWatrSuppliesAct1966_01-d0-02.pdf?OpenElement</vt:lpwstr>
      </vt:variant>
      <vt:variant>
        <vt:lpwstr/>
      </vt:variant>
      <vt:variant>
        <vt:i4>7667755</vt:i4>
      </vt:variant>
      <vt:variant>
        <vt:i4>54</vt:i4>
      </vt:variant>
      <vt:variant>
        <vt:i4>0</vt:i4>
      </vt:variant>
      <vt:variant>
        <vt:i4>5</vt:i4>
      </vt:variant>
      <vt:variant>
        <vt:lpwstr>http://www.legislation.vic.gov.au/Domino/Web_Notes/LDMS/LTObject_Store/LTObjSt2.nsf/DDE300B846EED9C7CA257616000A3571/A18AD87C28E36597CA2577610022078E/$FILE/73-8506a016.pdf</vt:lpwstr>
      </vt:variant>
      <vt:variant>
        <vt:lpwstr/>
      </vt:variant>
      <vt:variant>
        <vt:i4>4980751</vt:i4>
      </vt:variant>
      <vt:variant>
        <vt:i4>51</vt:i4>
      </vt:variant>
      <vt:variant>
        <vt:i4>0</vt:i4>
      </vt:variant>
      <vt:variant>
        <vt:i4>5</vt:i4>
      </vt:variant>
      <vt:variant>
        <vt:lpwstr>http://www.thelaw.tas.gov.au/tocview/content.w3p;doc_id=87++1968+AT@EN+20111005000000;rec=0</vt:lpwstr>
      </vt:variant>
      <vt:variant>
        <vt:lpwstr/>
      </vt:variant>
      <vt:variant>
        <vt:i4>5832720</vt:i4>
      </vt:variant>
      <vt:variant>
        <vt:i4>48</vt:i4>
      </vt:variant>
      <vt:variant>
        <vt:i4>0</vt:i4>
      </vt:variant>
      <vt:variant>
        <vt:i4>5</vt:i4>
      </vt:variant>
      <vt:variant>
        <vt:lpwstr>http://www.legislation.nsw.gov.au/inforcepdf/1957-58.pdf?id=58a392ae-69c5-11dd-8fae-00144f4fe975</vt:lpwstr>
      </vt:variant>
      <vt:variant>
        <vt:lpwstr/>
      </vt:variant>
      <vt:variant>
        <vt:i4>393339</vt:i4>
      </vt:variant>
      <vt:variant>
        <vt:i4>45</vt:i4>
      </vt:variant>
      <vt:variant>
        <vt:i4>0</vt:i4>
      </vt:variant>
      <vt:variant>
        <vt:i4>5</vt:i4>
      </vt:variant>
      <vt:variant>
        <vt:lpwstr>http://www.health.vic.gov.au/environment/downloads/fluori_qa07.pdf</vt:lpwstr>
      </vt:variant>
      <vt:variant>
        <vt:lpwstr/>
      </vt:variant>
      <vt:variant>
        <vt:i4>2228319</vt:i4>
      </vt:variant>
      <vt:variant>
        <vt:i4>42</vt:i4>
      </vt:variant>
      <vt:variant>
        <vt:i4>0</vt:i4>
      </vt:variant>
      <vt:variant>
        <vt:i4>5</vt:i4>
      </vt:variant>
      <vt:variant>
        <vt:lpwstr>http://www.nhmrc.gov.au/_files_nhmrc/publications/attachments/eh34_adwg_11_06.pdf</vt:lpwstr>
      </vt:variant>
      <vt:variant>
        <vt:lpwstr/>
      </vt:variant>
      <vt:variant>
        <vt:i4>2228319</vt:i4>
      </vt:variant>
      <vt:variant>
        <vt:i4>39</vt:i4>
      </vt:variant>
      <vt:variant>
        <vt:i4>0</vt:i4>
      </vt:variant>
      <vt:variant>
        <vt:i4>5</vt:i4>
      </vt:variant>
      <vt:variant>
        <vt:lpwstr>http://www.nhmrc.gov.au/_files_nhmrc/publications/attachments/eh34_adwg_11_06.pdf</vt:lpwstr>
      </vt:variant>
      <vt:variant>
        <vt:lpwstr/>
      </vt:variant>
      <vt:variant>
        <vt:i4>2228319</vt:i4>
      </vt:variant>
      <vt:variant>
        <vt:i4>36</vt:i4>
      </vt:variant>
      <vt:variant>
        <vt:i4>0</vt:i4>
      </vt:variant>
      <vt:variant>
        <vt:i4>5</vt:i4>
      </vt:variant>
      <vt:variant>
        <vt:lpwstr>http://www.nhmrc.gov.au/_files_nhmrc/publications/attachments/eh34_adwg_11_06.pdf</vt:lpwstr>
      </vt:variant>
      <vt:variant>
        <vt:lpwstr/>
      </vt:variant>
      <vt:variant>
        <vt:i4>2883610</vt:i4>
      </vt:variant>
      <vt:variant>
        <vt:i4>33</vt:i4>
      </vt:variant>
      <vt:variant>
        <vt:i4>0</vt:i4>
      </vt:variant>
      <vt:variant>
        <vt:i4>5</vt:i4>
      </vt:variant>
      <vt:variant>
        <vt:lpwstr>http://www.publichealthreports.org/documents/PHS_2015_Fluoride_Guidelines.pdf</vt:lpwstr>
      </vt:variant>
      <vt:variant>
        <vt:lpwstr/>
      </vt:variant>
      <vt:variant>
        <vt:i4>262215</vt:i4>
      </vt:variant>
      <vt:variant>
        <vt:i4>30</vt:i4>
      </vt:variant>
      <vt:variant>
        <vt:i4>0</vt:i4>
      </vt:variant>
      <vt:variant>
        <vt:i4>5</vt:i4>
      </vt:variant>
      <vt:variant>
        <vt:lpwstr>http://www.cdc.gov/fluoridation/statistics/2008stats.htm</vt:lpwstr>
      </vt:variant>
      <vt:variant>
        <vt:lpwstr/>
      </vt:variant>
      <vt:variant>
        <vt:i4>1114211</vt:i4>
      </vt:variant>
      <vt:variant>
        <vt:i4>27</vt:i4>
      </vt:variant>
      <vt:variant>
        <vt:i4>0</vt:i4>
      </vt:variant>
      <vt:variant>
        <vt:i4>5</vt:i4>
      </vt:variant>
      <vt:variant>
        <vt:lpwstr>http://www.royalsociety.org.nz/media/2014/08/Health-effects-of-water-fluoridation_Aug_2014_corrected_Jan_2015.pdf</vt:lpwstr>
      </vt:variant>
      <vt:variant>
        <vt:lpwstr/>
      </vt:variant>
      <vt:variant>
        <vt:i4>1769481</vt:i4>
      </vt:variant>
      <vt:variant>
        <vt:i4>24</vt:i4>
      </vt:variant>
      <vt:variant>
        <vt:i4>0</vt:i4>
      </vt:variant>
      <vt:variant>
        <vt:i4>5</vt:i4>
      </vt:variant>
      <vt:variant>
        <vt:lpwstr>http://researchbriefings.parliament.uk/ResearchBriefing/Summary/SN05689</vt:lpwstr>
      </vt:variant>
      <vt:variant>
        <vt:lpwstr>fullreport</vt:lpwstr>
      </vt:variant>
      <vt:variant>
        <vt:i4>2883632</vt:i4>
      </vt:variant>
      <vt:variant>
        <vt:i4>21</vt:i4>
      </vt:variant>
      <vt:variant>
        <vt:i4>0</vt:i4>
      </vt:variant>
      <vt:variant>
        <vt:i4>5</vt:i4>
      </vt:variant>
      <vt:variant>
        <vt:lpwstr>http://ec.europa.eu/health/scientific_committees/environmental_risks/docs/scher_o_139.pdf</vt:lpwstr>
      </vt:variant>
      <vt:variant>
        <vt:lpwstr/>
      </vt:variant>
      <vt:variant>
        <vt:i4>5898256</vt:i4>
      </vt:variant>
      <vt:variant>
        <vt:i4>18</vt:i4>
      </vt:variant>
      <vt:variant>
        <vt:i4>0</vt:i4>
      </vt:variant>
      <vt:variant>
        <vt:i4>5</vt:i4>
      </vt:variant>
      <vt:variant>
        <vt:lpwstr>http://eur-lex.europa.eu/LexUriServ/LexUriServ.do?uri=OJ:L:1998:330:0032:0054:EN:PDF</vt:lpwstr>
      </vt:variant>
      <vt:variant>
        <vt:lpwstr/>
      </vt:variant>
      <vt:variant>
        <vt:i4>327708</vt:i4>
      </vt:variant>
      <vt:variant>
        <vt:i4>15</vt:i4>
      </vt:variant>
      <vt:variant>
        <vt:i4>0</vt:i4>
      </vt:variant>
      <vt:variant>
        <vt:i4>5</vt:i4>
      </vt:variant>
      <vt:variant>
        <vt:lpwstr>http://eur-lex.europa.eu/en/droit_communautaire/droit_communautaire.htm</vt:lpwstr>
      </vt:variant>
      <vt:variant>
        <vt:lpwstr>1.3</vt:lpwstr>
      </vt:variant>
      <vt:variant>
        <vt:i4>2556000</vt:i4>
      </vt:variant>
      <vt:variant>
        <vt:i4>12</vt:i4>
      </vt:variant>
      <vt:variant>
        <vt:i4>0</vt:i4>
      </vt:variant>
      <vt:variant>
        <vt:i4>5</vt:i4>
      </vt:variant>
      <vt:variant>
        <vt:lpwstr>http://www.europarl.europa.eu/sides/getAllAnswers.do?reference=E-2008-4645&amp;language=EN</vt:lpwstr>
      </vt:variant>
      <vt:variant>
        <vt:lpwstr/>
      </vt:variant>
      <vt:variant>
        <vt:i4>6225996</vt:i4>
      </vt:variant>
      <vt:variant>
        <vt:i4>9</vt:i4>
      </vt:variant>
      <vt:variant>
        <vt:i4>0</vt:i4>
      </vt:variant>
      <vt:variant>
        <vt:i4>5</vt:i4>
      </vt:variant>
      <vt:variant>
        <vt:lpwstr>http://www.europarl.europa.eu/sides/getDoc.do?pubRef=-//EP//TEXT+WQ+E-2008-4645+0+DOC+XML+V0//EN&amp;language=EN</vt:lpwstr>
      </vt:variant>
      <vt:variant>
        <vt:lpwstr/>
      </vt:variant>
      <vt:variant>
        <vt:i4>3539040</vt:i4>
      </vt:variant>
      <vt:variant>
        <vt:i4>6</vt:i4>
      </vt:variant>
      <vt:variant>
        <vt:i4>0</vt:i4>
      </vt:variant>
      <vt:variant>
        <vt:i4>5</vt:i4>
      </vt:variant>
      <vt:variant>
        <vt:lpwstr>http://eur-lex.europa.eu/LexUriServ/LexUriServ.do?uri=CELEX:62003CJ0211:EN:NOT</vt:lpwstr>
      </vt:variant>
      <vt:variant>
        <vt:lpwstr/>
      </vt:variant>
      <vt:variant>
        <vt:i4>5636119</vt:i4>
      </vt:variant>
      <vt:variant>
        <vt:i4>3</vt:i4>
      </vt:variant>
      <vt:variant>
        <vt:i4>0</vt:i4>
      </vt:variant>
      <vt:variant>
        <vt:i4>5</vt:i4>
      </vt:variant>
      <vt:variant>
        <vt:lpwstr>http://eur-lex.europa.eu/LexUriServ/LexUriServ.do?uri=OJ:C:2005:193:0004:0005:EN:PDF</vt:lpwstr>
      </vt:variant>
      <vt:variant>
        <vt:lpwstr/>
      </vt:variant>
      <vt:variant>
        <vt:i4>524298</vt:i4>
      </vt:variant>
      <vt:variant>
        <vt:i4>0</vt:i4>
      </vt:variant>
      <vt:variant>
        <vt:i4>0</vt:i4>
      </vt:variant>
      <vt:variant>
        <vt:i4>5</vt:i4>
      </vt:variant>
      <vt:variant>
        <vt:lpwstr>http://www.ukcaf.org/files/ecj_ruling_on_functional_foods.pdf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וחקיקה בנושא הפלרת מי שתייה- סקירה משווה.</dc:title>
  <dc:subject/>
  <dc:creator>דינה צדוק, שירי בס ספקטור</dc:creator>
  <cp:keywords>הפלרת מי שתיה, פלואוריד</cp:keywords>
  <dc:description>מסמך זה נכתב לבקשתם של חה"כ מגלי והבה וחה"כ רחל אדטו, ועניינו סקירה משווה של מדיניות וחקיקה בנושא הוספת פלואוריד למי השתייה באופן מלאכותי (הפלרת מי שתייה). בסקירה נכללות מדינות המתירות הפלרה, בדרך כלל בכפוף להחלטת הרשות המקומית, מדינות האוסרות הפלרת מי שתייה בשטחן, ומדינות המחייבות הוספת פלואוריד למים. נוסף על כך מובא בסקירה מידע על ריכוז הפלואוריד המרבי המותר במי שתייה במדינות שבהן היה מידע זמין על כך.</dc:description>
  <cp:lastModifiedBy>שירי בס ספקטור</cp:lastModifiedBy>
  <cp:revision>6</cp:revision>
  <cp:lastPrinted>2016-03-15T06:38:00Z</cp:lastPrinted>
  <dcterms:created xsi:type="dcterms:W3CDTF">2016-03-15T11:52:00Z</dcterms:created>
  <dcterms:modified xsi:type="dcterms:W3CDTF">2016-03-21T06:11:00Z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