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61DF" w:rsidRPr="004D0E4A" w:rsidRDefault="005361DF" w:rsidP="004D0E4A">
      <w:pPr>
        <w:pBdr>
          <w:top w:val="thinThickThinMediumGap" w:sz="24" w:space="1" w:color="auto"/>
          <w:left w:val="thinThickThinMediumGap" w:sz="24" w:space="4" w:color="auto"/>
          <w:bottom w:val="thinThickThinMediumGap" w:sz="24" w:space="0" w:color="auto"/>
          <w:right w:val="thinThickThinMediumGap" w:sz="24" w:space="4" w:color="auto"/>
        </w:pBdr>
        <w:bidi/>
        <w:spacing w:after="0" w:line="360" w:lineRule="auto"/>
        <w:jc w:val="center"/>
        <w:rPr>
          <w:rFonts w:ascii="Times New Roman" w:hAnsi="Times New Roman" w:cs="David"/>
          <w:b/>
          <w:bCs/>
          <w:sz w:val="24"/>
          <w:szCs w:val="24"/>
          <w:lang w:bidi="he-IL"/>
        </w:rPr>
      </w:pPr>
      <w:smartTag w:uri="urn:schemas-microsoft-com:office:smarttags" w:element="PersonName">
        <w:smartTagPr>
          <w:attr w:name="ProductID" w:val="יחזקאל סיבק"/>
        </w:smartTagPr>
        <w:r w:rsidRPr="004D0E4A">
          <w:rPr>
            <w:rFonts w:ascii="Times New Roman" w:hAnsi="Times New Roman" w:cs="David"/>
            <w:b/>
            <w:bCs/>
            <w:sz w:val="24"/>
            <w:szCs w:val="24"/>
            <w:rtl/>
            <w:lang w:bidi="he-IL"/>
          </w:rPr>
          <w:t>יחזקאל סיבק</w:t>
        </w:r>
      </w:smartTag>
      <w:r w:rsidRPr="004D0E4A">
        <w:rPr>
          <w:rFonts w:ascii="Times New Roman" w:hAnsi="Times New Roman" w:cs="David"/>
          <w:b/>
          <w:bCs/>
          <w:sz w:val="24"/>
          <w:szCs w:val="24"/>
          <w:rtl/>
          <w:lang w:bidi="he-IL"/>
        </w:rPr>
        <w:t>, עו"ד</w:t>
      </w:r>
    </w:p>
    <w:p w:rsidR="005361DF" w:rsidRPr="004D0E4A" w:rsidRDefault="005361DF" w:rsidP="004D0E4A">
      <w:pPr>
        <w:pBdr>
          <w:top w:val="thinThickThinMediumGap" w:sz="24" w:space="1" w:color="auto"/>
          <w:left w:val="thinThickThinMediumGap" w:sz="24" w:space="4" w:color="auto"/>
          <w:bottom w:val="thinThickThinMediumGap" w:sz="24" w:space="0" w:color="auto"/>
          <w:right w:val="thinThickThinMediumGap" w:sz="24" w:space="4" w:color="auto"/>
        </w:pBdr>
        <w:bidi/>
        <w:spacing w:after="0" w:line="360" w:lineRule="auto"/>
        <w:jc w:val="center"/>
        <w:rPr>
          <w:rFonts w:ascii="Times New Roman" w:hAnsi="Times New Roman" w:cs="David"/>
          <w:b/>
          <w:bCs/>
          <w:sz w:val="24"/>
          <w:szCs w:val="24"/>
          <w:lang w:bidi="he-IL"/>
        </w:rPr>
      </w:pPr>
      <w:r w:rsidRPr="004D0E4A">
        <w:rPr>
          <w:rFonts w:ascii="Times New Roman" w:hAnsi="Times New Roman" w:cs="David"/>
          <w:b/>
          <w:bCs/>
          <w:sz w:val="24"/>
          <w:szCs w:val="24"/>
          <w:lang w:bidi="he-IL"/>
        </w:rPr>
        <w:t>Y. SIVAK- LAW OFFICE</w:t>
      </w:r>
      <w:r w:rsidRPr="004D0E4A">
        <w:rPr>
          <w:rFonts w:ascii="Times New Roman" w:hAnsi="Times New Roman" w:cs="David"/>
          <w:b/>
          <w:bCs/>
          <w:sz w:val="24"/>
          <w:szCs w:val="24"/>
          <w:rtl/>
          <w:lang w:bidi="he-IL"/>
        </w:rPr>
        <w:t xml:space="preserve"> - </w:t>
      </w:r>
      <w:smartTag w:uri="urn:schemas-microsoft-com:office:smarttags" w:element="PersonName">
        <w:smartTagPr>
          <w:attr w:name="ProductID" w:val="יחזקאל סיבק"/>
        </w:smartTagPr>
        <w:r w:rsidRPr="004D0E4A">
          <w:rPr>
            <w:rFonts w:ascii="Times New Roman" w:hAnsi="Times New Roman" w:cs="David"/>
            <w:b/>
            <w:bCs/>
            <w:sz w:val="24"/>
            <w:szCs w:val="24"/>
            <w:rtl/>
            <w:lang w:bidi="he-IL"/>
          </w:rPr>
          <w:t>יחזקאל סיבק</w:t>
        </w:r>
      </w:smartTag>
      <w:r w:rsidRPr="004D0E4A">
        <w:rPr>
          <w:rFonts w:ascii="Times New Roman" w:hAnsi="Times New Roman" w:cs="David"/>
          <w:b/>
          <w:bCs/>
          <w:sz w:val="24"/>
          <w:szCs w:val="24"/>
          <w:rtl/>
          <w:lang w:bidi="he-IL"/>
        </w:rPr>
        <w:t xml:space="preserve"> משרד עורכי דין</w:t>
      </w:r>
    </w:p>
    <w:p w:rsidR="005361DF" w:rsidRPr="004D0E4A" w:rsidRDefault="005361DF" w:rsidP="004D0E4A">
      <w:pPr>
        <w:pBdr>
          <w:top w:val="thinThickThinMediumGap" w:sz="24" w:space="1" w:color="auto"/>
          <w:left w:val="thinThickThinMediumGap" w:sz="24" w:space="4" w:color="auto"/>
          <w:bottom w:val="thinThickThinMediumGap" w:sz="24" w:space="0" w:color="auto"/>
          <w:right w:val="thinThickThinMediumGap" w:sz="24" w:space="4" w:color="auto"/>
        </w:pBdr>
        <w:bidi/>
        <w:spacing w:after="0" w:line="360" w:lineRule="auto"/>
        <w:jc w:val="center"/>
        <w:rPr>
          <w:rFonts w:ascii="Times New Roman" w:hAnsi="Times New Roman" w:cs="David"/>
          <w:b/>
          <w:bCs/>
          <w:sz w:val="24"/>
          <w:szCs w:val="24"/>
          <w:rtl/>
          <w:lang w:bidi="he-IL"/>
        </w:rPr>
      </w:pPr>
      <w:r w:rsidRPr="004D0E4A">
        <w:rPr>
          <w:rFonts w:ascii="Times New Roman" w:hAnsi="Times New Roman" w:cs="David"/>
          <w:b/>
          <w:bCs/>
          <w:sz w:val="24"/>
          <w:szCs w:val="24"/>
          <w:lang w:bidi="he-IL"/>
        </w:rPr>
        <w:t>YECHEZKEL SIVAK, ADV. (LL.M)</w:t>
      </w:r>
    </w:p>
    <w:p w:rsidR="005361DF" w:rsidRPr="004D0E4A" w:rsidRDefault="005361DF" w:rsidP="004D0E4A">
      <w:pPr>
        <w:pBdr>
          <w:top w:val="thinThickThinMediumGap" w:sz="24" w:space="1" w:color="auto"/>
          <w:left w:val="thinThickThinMediumGap" w:sz="24" w:space="4" w:color="auto"/>
          <w:bottom w:val="thinThickThinMediumGap" w:sz="24" w:space="0" w:color="auto"/>
          <w:right w:val="thinThickThinMediumGap" w:sz="24" w:space="4" w:color="auto"/>
        </w:pBdr>
        <w:bidi/>
        <w:spacing w:after="0" w:line="360" w:lineRule="auto"/>
        <w:jc w:val="center"/>
        <w:rPr>
          <w:rFonts w:ascii="Times New Roman" w:hAnsi="Times New Roman" w:cs="David"/>
          <w:b/>
          <w:bCs/>
          <w:sz w:val="24"/>
          <w:szCs w:val="24"/>
          <w:rtl/>
          <w:lang w:bidi="he-IL"/>
        </w:rPr>
      </w:pPr>
      <w:r w:rsidRPr="004D0E4A">
        <w:rPr>
          <w:rFonts w:ascii="Times New Roman" w:hAnsi="Times New Roman" w:cs="David"/>
          <w:b/>
          <w:bCs/>
          <w:sz w:val="24"/>
          <w:szCs w:val="24"/>
          <w:rtl/>
          <w:lang w:bidi="he-IL"/>
        </w:rPr>
        <w:t xml:space="preserve">מרח' קראוזה 10 נתניה 42401- </w:t>
      </w:r>
      <w:r w:rsidRPr="004D0E4A">
        <w:rPr>
          <w:rFonts w:ascii="Times New Roman" w:hAnsi="Times New Roman" w:cs="David"/>
          <w:b/>
          <w:bCs/>
          <w:sz w:val="24"/>
          <w:szCs w:val="24"/>
          <w:lang w:bidi="he-IL"/>
        </w:rPr>
        <w:t>10 Krauzest. Netanya 42401</w:t>
      </w:r>
    </w:p>
    <w:p w:rsidR="005361DF" w:rsidRPr="004D0E4A" w:rsidRDefault="005361DF" w:rsidP="004D0E4A">
      <w:pPr>
        <w:pBdr>
          <w:top w:val="thinThickThinMediumGap" w:sz="24" w:space="1" w:color="auto"/>
          <w:left w:val="thinThickThinMediumGap" w:sz="24" w:space="4" w:color="auto"/>
          <w:bottom w:val="thinThickThinMediumGap" w:sz="24" w:space="0" w:color="auto"/>
          <w:right w:val="thinThickThinMediumGap" w:sz="24" w:space="4" w:color="auto"/>
        </w:pBdr>
        <w:bidi/>
        <w:spacing w:after="0" w:line="360" w:lineRule="auto"/>
        <w:jc w:val="center"/>
        <w:rPr>
          <w:rFonts w:ascii="Times New Roman" w:hAnsi="Times New Roman" w:cs="David"/>
          <w:b/>
          <w:bCs/>
          <w:sz w:val="24"/>
          <w:szCs w:val="24"/>
          <w:rtl/>
          <w:lang w:bidi="he-IL"/>
        </w:rPr>
      </w:pPr>
      <w:r w:rsidRPr="004D0E4A">
        <w:rPr>
          <w:rFonts w:ascii="Times New Roman" w:hAnsi="Times New Roman" w:cs="David"/>
          <w:b/>
          <w:bCs/>
          <w:sz w:val="24"/>
          <w:szCs w:val="24"/>
          <w:rtl/>
          <w:lang w:bidi="he-IL"/>
        </w:rPr>
        <w:t xml:space="preserve">ת.ד </w:t>
      </w:r>
      <w:r w:rsidRPr="004D0E4A">
        <w:rPr>
          <w:rFonts w:ascii="Times New Roman" w:hAnsi="Times New Roman" w:cs="David"/>
          <w:b/>
          <w:bCs/>
          <w:sz w:val="24"/>
          <w:szCs w:val="24"/>
          <w:lang w:bidi="he-IL"/>
        </w:rPr>
        <w:t>2542</w:t>
      </w:r>
      <w:r w:rsidRPr="004D0E4A">
        <w:rPr>
          <w:rFonts w:ascii="Times New Roman" w:hAnsi="Times New Roman" w:cs="David"/>
          <w:b/>
          <w:bCs/>
          <w:sz w:val="24"/>
          <w:szCs w:val="24"/>
          <w:rtl/>
          <w:lang w:bidi="he-IL"/>
        </w:rPr>
        <w:t xml:space="preserve"> נתניה </w:t>
      </w:r>
      <w:r w:rsidRPr="004D0E4A">
        <w:rPr>
          <w:rFonts w:ascii="Times New Roman" w:hAnsi="Times New Roman" w:cs="David"/>
          <w:b/>
          <w:bCs/>
          <w:sz w:val="24"/>
          <w:szCs w:val="24"/>
          <w:lang w:bidi="he-IL"/>
        </w:rPr>
        <w:t>42124</w:t>
      </w:r>
      <w:r w:rsidRPr="004D0E4A">
        <w:rPr>
          <w:rFonts w:ascii="Times New Roman" w:hAnsi="Times New Roman" w:cs="David"/>
          <w:b/>
          <w:bCs/>
          <w:sz w:val="24"/>
          <w:szCs w:val="24"/>
          <w:rtl/>
          <w:lang w:bidi="he-IL"/>
        </w:rPr>
        <w:t xml:space="preserve"> - </w:t>
      </w:r>
      <w:r w:rsidRPr="004D0E4A">
        <w:rPr>
          <w:rFonts w:ascii="Times New Roman" w:hAnsi="Times New Roman" w:cs="David"/>
          <w:b/>
          <w:bCs/>
          <w:sz w:val="24"/>
          <w:szCs w:val="24"/>
          <w:lang w:bidi="he-IL"/>
        </w:rPr>
        <w:t>P.o.b 2542 Netanya 42124</w:t>
      </w:r>
    </w:p>
    <w:p w:rsidR="005361DF" w:rsidRPr="004D0E4A" w:rsidRDefault="005361DF" w:rsidP="004D0E4A">
      <w:pPr>
        <w:pBdr>
          <w:top w:val="thinThickThinMediumGap" w:sz="24" w:space="1" w:color="auto"/>
          <w:left w:val="thinThickThinMediumGap" w:sz="24" w:space="4" w:color="auto"/>
          <w:bottom w:val="thinThickThinMediumGap" w:sz="24" w:space="0" w:color="auto"/>
          <w:right w:val="thinThickThinMediumGap" w:sz="24" w:space="4" w:color="auto"/>
        </w:pBdr>
        <w:bidi/>
        <w:spacing w:after="0" w:line="360" w:lineRule="auto"/>
        <w:jc w:val="center"/>
        <w:rPr>
          <w:rFonts w:ascii="Times New Roman" w:hAnsi="Times New Roman" w:cs="David"/>
          <w:b/>
          <w:bCs/>
          <w:sz w:val="24"/>
          <w:szCs w:val="24"/>
          <w:lang w:bidi="he-IL"/>
        </w:rPr>
      </w:pPr>
      <w:r w:rsidRPr="004D0E4A">
        <w:rPr>
          <w:rFonts w:ascii="Times New Roman" w:hAnsi="Times New Roman" w:cs="David"/>
          <w:b/>
          <w:bCs/>
          <w:sz w:val="24"/>
          <w:szCs w:val="24"/>
          <w:rtl/>
          <w:lang w:bidi="he-IL"/>
        </w:rPr>
        <w:t xml:space="preserve">טל: 09-8656147 </w:t>
      </w:r>
      <w:r w:rsidRPr="004D0E4A">
        <w:rPr>
          <w:rFonts w:ascii="Times New Roman" w:hAnsi="Times New Roman" w:cs="David"/>
          <w:b/>
          <w:bCs/>
          <w:sz w:val="24"/>
          <w:szCs w:val="24"/>
          <w:lang w:bidi="he-IL"/>
        </w:rPr>
        <w:t>Tel</w:t>
      </w:r>
      <w:r w:rsidRPr="004D0E4A">
        <w:rPr>
          <w:rFonts w:ascii="Times New Roman" w:hAnsi="Times New Roman" w:cs="David"/>
          <w:b/>
          <w:bCs/>
          <w:sz w:val="24"/>
          <w:szCs w:val="24"/>
          <w:rtl/>
          <w:lang w:bidi="he-IL"/>
        </w:rPr>
        <w:t xml:space="preserve"> פקס: 09-8858752 </w:t>
      </w:r>
      <w:r w:rsidRPr="004D0E4A">
        <w:rPr>
          <w:rFonts w:ascii="Times New Roman" w:hAnsi="Times New Roman" w:cs="David"/>
          <w:b/>
          <w:bCs/>
          <w:sz w:val="24"/>
          <w:szCs w:val="24"/>
          <w:lang w:bidi="he-IL"/>
        </w:rPr>
        <w:t xml:space="preserve">Fax </w:t>
      </w:r>
    </w:p>
    <w:p w:rsidR="005361DF" w:rsidRPr="004D0E4A" w:rsidRDefault="005361DF" w:rsidP="004D0E4A">
      <w:pPr>
        <w:pBdr>
          <w:top w:val="thinThickThinMediumGap" w:sz="24" w:space="1" w:color="auto"/>
          <w:left w:val="thinThickThinMediumGap" w:sz="24" w:space="4" w:color="auto"/>
          <w:bottom w:val="thinThickThinMediumGap" w:sz="24" w:space="0" w:color="auto"/>
          <w:right w:val="thinThickThinMediumGap" w:sz="24" w:space="4" w:color="auto"/>
        </w:pBdr>
        <w:bidi/>
        <w:spacing w:after="0" w:line="360" w:lineRule="auto"/>
        <w:jc w:val="center"/>
        <w:rPr>
          <w:rFonts w:ascii="Times New Roman" w:hAnsi="Times New Roman" w:cs="David"/>
          <w:b/>
          <w:bCs/>
          <w:sz w:val="24"/>
          <w:szCs w:val="24"/>
          <w:rtl/>
          <w:lang w:bidi="he-IL"/>
        </w:rPr>
      </w:pPr>
      <w:r w:rsidRPr="004D0E4A">
        <w:rPr>
          <w:rFonts w:ascii="Times New Roman" w:hAnsi="Times New Roman" w:cs="David"/>
          <w:b/>
          <w:bCs/>
          <w:sz w:val="24"/>
          <w:szCs w:val="24"/>
          <w:lang w:bidi="he-IL"/>
        </w:rPr>
        <w:t xml:space="preserve"> Email: sivakadv@netvision.net.il</w:t>
      </w:r>
    </w:p>
    <w:p w:rsidR="005361DF" w:rsidRPr="004D0E4A" w:rsidRDefault="005361DF" w:rsidP="004D0E4A">
      <w:pPr>
        <w:bidi/>
        <w:spacing w:after="0" w:line="360" w:lineRule="auto"/>
        <w:rPr>
          <w:rFonts w:ascii="Times New Roman" w:hAnsi="Times New Roman" w:cs="David"/>
          <w:sz w:val="24"/>
          <w:szCs w:val="24"/>
          <w:rtl/>
          <w:lang w:bidi="he-IL"/>
        </w:rPr>
      </w:pPr>
      <w:r w:rsidRPr="004D0E4A">
        <w:rPr>
          <w:rFonts w:ascii="Times New Roman" w:hAnsi="Times New Roman" w:cs="David"/>
          <w:sz w:val="24"/>
          <w:szCs w:val="24"/>
          <w:rtl/>
          <w:lang w:bidi="he-IL"/>
        </w:rPr>
        <w:tab/>
      </w:r>
      <w:r w:rsidRPr="004D0E4A">
        <w:rPr>
          <w:rFonts w:ascii="Times New Roman" w:hAnsi="Times New Roman" w:cs="David"/>
          <w:sz w:val="24"/>
          <w:szCs w:val="24"/>
          <w:rtl/>
          <w:lang w:bidi="he-IL"/>
        </w:rPr>
        <w:tab/>
      </w:r>
      <w:r w:rsidRPr="004D0E4A">
        <w:rPr>
          <w:rFonts w:ascii="Times New Roman" w:hAnsi="Times New Roman" w:cs="David"/>
          <w:sz w:val="24"/>
          <w:szCs w:val="24"/>
          <w:rtl/>
          <w:lang w:bidi="he-IL"/>
        </w:rPr>
        <w:tab/>
        <w:t>‏מוצש"ק ה' טבת תשע"ב‏31 דצמבר 2011</w:t>
      </w:r>
    </w:p>
    <w:p w:rsidR="005361DF" w:rsidRPr="004D0E4A" w:rsidRDefault="005361DF" w:rsidP="004D0E4A">
      <w:pPr>
        <w:bidi/>
        <w:spacing w:after="0" w:line="360" w:lineRule="auto"/>
        <w:jc w:val="both"/>
        <w:rPr>
          <w:rFonts w:ascii="Times New Roman" w:hAnsi="Times New Roman" w:cs="David"/>
          <w:sz w:val="24"/>
          <w:szCs w:val="24"/>
          <w:rtl/>
          <w:lang w:bidi="he-IL"/>
        </w:rPr>
      </w:pPr>
      <w:r w:rsidRPr="004D0E4A">
        <w:rPr>
          <w:rFonts w:ascii="Times New Roman" w:hAnsi="Times New Roman" w:cs="David"/>
          <w:sz w:val="24"/>
          <w:szCs w:val="24"/>
          <w:rtl/>
          <w:lang w:bidi="he-IL"/>
        </w:rPr>
        <w:t xml:space="preserve">לכבוד </w:t>
      </w:r>
    </w:p>
    <w:p w:rsidR="005361DF" w:rsidRPr="004D0E4A" w:rsidRDefault="005361DF" w:rsidP="004D0E4A">
      <w:pPr>
        <w:bidi/>
        <w:spacing w:after="0" w:line="360" w:lineRule="auto"/>
        <w:jc w:val="both"/>
        <w:rPr>
          <w:rFonts w:ascii="Times New Roman" w:hAnsi="Times New Roman" w:cs="David"/>
          <w:sz w:val="24"/>
          <w:szCs w:val="24"/>
          <w:rtl/>
          <w:lang w:bidi="he-IL"/>
        </w:rPr>
      </w:pPr>
      <w:r w:rsidRPr="004D0E4A">
        <w:rPr>
          <w:rFonts w:ascii="Times New Roman" w:hAnsi="Times New Roman" w:cs="David"/>
          <w:sz w:val="24"/>
          <w:szCs w:val="24"/>
          <w:rtl/>
          <w:lang w:bidi="he-IL"/>
        </w:rPr>
        <w:t xml:space="preserve">ח"כ </w:t>
      </w:r>
      <w:smartTag w:uri="urn:schemas-microsoft-com:office:smarttags" w:element="PersonName">
        <w:smartTagPr>
          <w:attr w:name="ProductID" w:val="דוד רותם"/>
        </w:smartTagPr>
        <w:r w:rsidRPr="004D0E4A">
          <w:rPr>
            <w:rFonts w:ascii="Times New Roman" w:hAnsi="Times New Roman" w:cs="David"/>
            <w:sz w:val="24"/>
            <w:szCs w:val="24"/>
            <w:rtl/>
            <w:lang w:bidi="he-IL"/>
          </w:rPr>
          <w:t>דוד רותם</w:t>
        </w:r>
      </w:smartTag>
    </w:p>
    <w:p w:rsidR="005361DF" w:rsidRPr="004D0E4A" w:rsidRDefault="005361DF" w:rsidP="004D0E4A">
      <w:pPr>
        <w:bidi/>
        <w:spacing w:after="0" w:line="360" w:lineRule="auto"/>
        <w:jc w:val="both"/>
        <w:rPr>
          <w:rFonts w:ascii="Times New Roman" w:hAnsi="Times New Roman" w:cs="David"/>
          <w:sz w:val="24"/>
          <w:szCs w:val="24"/>
          <w:rtl/>
          <w:lang w:bidi="he-IL"/>
        </w:rPr>
      </w:pPr>
      <w:r w:rsidRPr="004D0E4A">
        <w:rPr>
          <w:rFonts w:ascii="Times New Roman" w:hAnsi="Times New Roman" w:cs="David"/>
          <w:sz w:val="24"/>
          <w:szCs w:val="24"/>
          <w:rtl/>
          <w:lang w:bidi="he-IL"/>
        </w:rPr>
        <w:t xml:space="preserve">יו"ר ועדת חוקה חוק ומשפט </w:t>
      </w:r>
    </w:p>
    <w:p w:rsidR="005361DF" w:rsidRPr="004D0E4A" w:rsidRDefault="005361DF" w:rsidP="004D0E4A">
      <w:pPr>
        <w:bidi/>
        <w:spacing w:after="0" w:line="360" w:lineRule="auto"/>
        <w:jc w:val="both"/>
        <w:rPr>
          <w:rFonts w:ascii="Times New Roman" w:hAnsi="Times New Roman" w:cs="David"/>
          <w:sz w:val="24"/>
          <w:szCs w:val="24"/>
          <w:rtl/>
          <w:lang w:bidi="he-IL"/>
        </w:rPr>
      </w:pPr>
      <w:r w:rsidRPr="004D0E4A">
        <w:rPr>
          <w:rFonts w:ascii="Times New Roman" w:hAnsi="Times New Roman" w:cs="David"/>
          <w:sz w:val="24"/>
          <w:szCs w:val="24"/>
          <w:rtl/>
          <w:lang w:bidi="he-IL"/>
        </w:rPr>
        <w:t>=================</w:t>
      </w:r>
    </w:p>
    <w:p w:rsidR="005361DF" w:rsidRPr="004D0E4A" w:rsidRDefault="005361DF" w:rsidP="004D0E4A">
      <w:pPr>
        <w:bidi/>
        <w:spacing w:after="0" w:line="360" w:lineRule="auto"/>
        <w:jc w:val="both"/>
        <w:rPr>
          <w:rFonts w:ascii="Times New Roman" w:hAnsi="Times New Roman" w:cs="David"/>
          <w:sz w:val="24"/>
          <w:szCs w:val="24"/>
          <w:rtl/>
          <w:lang w:bidi="he-IL"/>
        </w:rPr>
      </w:pPr>
      <w:r w:rsidRPr="004D0E4A">
        <w:rPr>
          <w:rFonts w:ascii="Times New Roman" w:hAnsi="Times New Roman" w:cs="David"/>
          <w:sz w:val="24"/>
          <w:szCs w:val="24"/>
          <w:rtl/>
          <w:lang w:bidi="he-IL"/>
        </w:rPr>
        <w:t>נכבדי,</w:t>
      </w:r>
    </w:p>
    <w:p w:rsidR="005361DF" w:rsidRPr="004D0E4A" w:rsidRDefault="005361DF" w:rsidP="004D0E4A">
      <w:pPr>
        <w:bidi/>
        <w:spacing w:after="0" w:line="360" w:lineRule="auto"/>
        <w:jc w:val="both"/>
        <w:rPr>
          <w:rFonts w:ascii="Times New Roman" w:hAnsi="Times New Roman" w:cs="David"/>
          <w:sz w:val="24"/>
          <w:szCs w:val="24"/>
          <w:rtl/>
          <w:lang w:bidi="he-IL"/>
        </w:rPr>
      </w:pPr>
    </w:p>
    <w:p w:rsidR="005361DF" w:rsidRPr="004D0E4A" w:rsidRDefault="005361DF" w:rsidP="004D0E4A">
      <w:pPr>
        <w:bidi/>
        <w:spacing w:after="0" w:line="360" w:lineRule="auto"/>
        <w:jc w:val="center"/>
        <w:rPr>
          <w:rFonts w:ascii="Times New Roman" w:hAnsi="Times New Roman" w:cs="David"/>
          <w:b/>
          <w:bCs/>
          <w:sz w:val="28"/>
          <w:szCs w:val="28"/>
          <w:u w:val="single"/>
          <w:rtl/>
          <w:lang w:bidi="he-IL"/>
        </w:rPr>
      </w:pPr>
      <w:r w:rsidRPr="004D0E4A">
        <w:rPr>
          <w:rFonts w:ascii="Times New Roman" w:hAnsi="Times New Roman" w:cs="David"/>
          <w:b/>
          <w:bCs/>
          <w:sz w:val="24"/>
          <w:szCs w:val="24"/>
          <w:rtl/>
          <w:lang w:bidi="he-IL"/>
        </w:rPr>
        <w:t>הנדון:</w:t>
      </w:r>
      <w:r w:rsidRPr="004D0E4A">
        <w:rPr>
          <w:rFonts w:ascii="Times New Roman" w:hAnsi="Times New Roman" w:cs="David"/>
          <w:b/>
          <w:bCs/>
          <w:sz w:val="28"/>
          <w:szCs w:val="28"/>
          <w:u w:val="single"/>
          <w:rtl/>
          <w:lang w:bidi="he-IL"/>
        </w:rPr>
        <w:t xml:space="preserve"> הצעת חוק בתי המשפט (בוררות חובה) (הוראת שעה) התשע"א 2011 –</w:t>
      </w:r>
    </w:p>
    <w:p w:rsidR="005361DF" w:rsidRPr="004D0E4A" w:rsidRDefault="005361DF" w:rsidP="004D0E4A">
      <w:pPr>
        <w:bidi/>
        <w:spacing w:after="0" w:line="360" w:lineRule="auto"/>
        <w:jc w:val="center"/>
        <w:rPr>
          <w:rFonts w:ascii="Times New Roman" w:hAnsi="Times New Roman" w:cs="David"/>
          <w:b/>
          <w:bCs/>
          <w:sz w:val="28"/>
          <w:szCs w:val="28"/>
          <w:u w:val="single"/>
          <w:rtl/>
          <w:lang w:bidi="he-IL"/>
        </w:rPr>
      </w:pPr>
      <w:r w:rsidRPr="004D0E4A">
        <w:rPr>
          <w:rFonts w:ascii="Times New Roman" w:hAnsi="Times New Roman" w:cs="David"/>
          <w:b/>
          <w:bCs/>
          <w:sz w:val="28"/>
          <w:szCs w:val="28"/>
          <w:u w:val="single"/>
          <w:rtl/>
          <w:lang w:bidi="he-IL"/>
        </w:rPr>
        <w:t>הפרטת מערכתהמשפט ופגיעה במתדיינים</w:t>
      </w:r>
    </w:p>
    <w:p w:rsidR="005361DF" w:rsidRPr="004D0E4A" w:rsidRDefault="005361DF" w:rsidP="004D0E4A">
      <w:pPr>
        <w:numPr>
          <w:ilvl w:val="0"/>
          <w:numId w:val="2"/>
        </w:numPr>
        <w:bidi/>
        <w:spacing w:after="0" w:line="360" w:lineRule="auto"/>
        <w:jc w:val="center"/>
        <w:rPr>
          <w:rFonts w:ascii="Times New Roman" w:hAnsi="Times New Roman" w:cs="David"/>
          <w:b/>
          <w:bCs/>
          <w:sz w:val="28"/>
          <w:szCs w:val="28"/>
          <w:u w:val="single"/>
          <w:rtl/>
          <w:lang w:bidi="he-IL"/>
        </w:rPr>
      </w:pPr>
      <w:r w:rsidRPr="004D0E4A">
        <w:rPr>
          <w:rFonts w:ascii="Times New Roman" w:hAnsi="Times New Roman" w:cs="David"/>
          <w:b/>
          <w:bCs/>
          <w:sz w:val="28"/>
          <w:szCs w:val="28"/>
          <w:u w:val="single"/>
          <w:rtl/>
          <w:lang w:bidi="he-IL"/>
        </w:rPr>
        <w:t>נייר עמדה לקראת דיון בועדת חוקה חוק ומשפט הקבוע ליום 10/1/2012</w:t>
      </w:r>
    </w:p>
    <w:p w:rsidR="005361DF" w:rsidRPr="004D0E4A" w:rsidRDefault="005361DF" w:rsidP="004D0E4A">
      <w:pPr>
        <w:bidi/>
        <w:spacing w:after="0" w:line="360" w:lineRule="auto"/>
        <w:jc w:val="center"/>
        <w:rPr>
          <w:rFonts w:ascii="Times New Roman" w:hAnsi="Times New Roman" w:cs="David"/>
          <w:b/>
          <w:bCs/>
          <w:sz w:val="28"/>
          <w:szCs w:val="28"/>
          <w:u w:val="single"/>
          <w:rtl/>
          <w:lang w:bidi="he-IL"/>
        </w:rPr>
      </w:pPr>
    </w:p>
    <w:p w:rsidR="005361DF" w:rsidRPr="004D0E4A" w:rsidRDefault="005361DF" w:rsidP="004D0E4A">
      <w:pPr>
        <w:numPr>
          <w:ilvl w:val="0"/>
          <w:numId w:val="1"/>
        </w:numPr>
        <w:tabs>
          <w:tab w:val="num" w:pos="-2692"/>
          <w:tab w:val="num" w:pos="-1702"/>
        </w:tabs>
        <w:bidi/>
        <w:spacing w:after="0" w:line="360" w:lineRule="auto"/>
        <w:ind w:left="368" w:hanging="360"/>
        <w:jc w:val="both"/>
        <w:rPr>
          <w:rFonts w:ascii="Times New Roman" w:hAnsi="Times New Roman" w:cs="David"/>
          <w:sz w:val="24"/>
          <w:szCs w:val="24"/>
          <w:lang w:bidi="he-IL"/>
        </w:rPr>
      </w:pPr>
      <w:r w:rsidRPr="004D0E4A">
        <w:rPr>
          <w:rFonts w:ascii="Times New Roman" w:hAnsi="Times New Roman" w:cs="David"/>
          <w:sz w:val="24"/>
          <w:szCs w:val="24"/>
          <w:rtl/>
          <w:lang w:bidi="he-IL"/>
        </w:rPr>
        <w:t xml:space="preserve">אני עורך דין פעיל  מזה כעשרים שנים. ובעל ניסיון בניהול הליכים בערכאות שונות. הייתי חבר פורום בתי משפט של לשכת עורכי הדין  ונוטל חלק בתהליכי חקיקה שונים . אבקש להביא  בפני  הועדה בקצרה את עמדתי כמייצג  וכאזרח –  מנקודת מבטו של צרכן מערכת המשפט וכאזרח בכלל,  ביחס להצעת חוק "בוררות חובה". </w:t>
      </w:r>
    </w:p>
    <w:p w:rsidR="005361DF" w:rsidRPr="004D0E4A" w:rsidRDefault="005361DF" w:rsidP="00187E4C">
      <w:pPr>
        <w:numPr>
          <w:ilvl w:val="0"/>
          <w:numId w:val="1"/>
        </w:numPr>
        <w:tabs>
          <w:tab w:val="num" w:pos="-2692"/>
        </w:tabs>
        <w:bidi/>
        <w:spacing w:after="0" w:line="360" w:lineRule="auto"/>
        <w:ind w:left="368" w:hanging="360"/>
        <w:jc w:val="both"/>
        <w:rPr>
          <w:rFonts w:ascii="Times New Roman" w:hAnsi="Times New Roman" w:cs="David"/>
          <w:sz w:val="24"/>
          <w:szCs w:val="24"/>
          <w:lang w:bidi="he-IL"/>
        </w:rPr>
      </w:pPr>
      <w:r w:rsidRPr="004D0E4A">
        <w:rPr>
          <w:rFonts w:ascii="Times New Roman" w:hAnsi="Times New Roman" w:cs="David"/>
          <w:sz w:val="24"/>
          <w:szCs w:val="24"/>
          <w:rtl/>
          <w:lang w:bidi="he-IL"/>
        </w:rPr>
        <w:t>בפתח הדברים אציין למען הסדר</w:t>
      </w:r>
      <w:r>
        <w:rPr>
          <w:rFonts w:ascii="Times New Roman" w:hAnsi="Times New Roman" w:cs="David"/>
          <w:sz w:val="24"/>
          <w:szCs w:val="24"/>
          <w:rtl/>
          <w:lang w:bidi="he-IL"/>
        </w:rPr>
        <w:t xml:space="preserve"> הטוב, כי אני אישית מתנגד להצעה.</w:t>
      </w:r>
    </w:p>
    <w:p w:rsidR="005361DF" w:rsidRPr="004D0E4A" w:rsidRDefault="005361DF" w:rsidP="004D0E4A">
      <w:pPr>
        <w:numPr>
          <w:ilvl w:val="0"/>
          <w:numId w:val="1"/>
        </w:numPr>
        <w:tabs>
          <w:tab w:val="num" w:pos="-2692"/>
          <w:tab w:val="num" w:pos="8"/>
        </w:tabs>
        <w:bidi/>
        <w:spacing w:after="0" w:line="360" w:lineRule="auto"/>
        <w:ind w:left="368" w:hanging="360"/>
        <w:jc w:val="both"/>
        <w:rPr>
          <w:rFonts w:ascii="Times New Roman" w:hAnsi="Times New Roman" w:cs="David"/>
          <w:sz w:val="24"/>
          <w:szCs w:val="24"/>
          <w:lang w:bidi="he-IL"/>
        </w:rPr>
      </w:pPr>
      <w:r w:rsidRPr="004D0E4A">
        <w:rPr>
          <w:rFonts w:ascii="Times New Roman" w:hAnsi="Times New Roman" w:cs="David"/>
          <w:sz w:val="24"/>
          <w:szCs w:val="24"/>
          <w:rtl/>
          <w:lang w:bidi="he-IL"/>
        </w:rPr>
        <w:t>המונח בוררות חובה הינו בבחינת "תרתי דסתרי" - בוררות במהותה הינה פעולה של</w:t>
      </w:r>
      <w:r w:rsidRPr="004D0E4A">
        <w:rPr>
          <w:rFonts w:ascii="Times New Roman" w:hAnsi="Times New Roman" w:cs="David"/>
          <w:b/>
          <w:bCs/>
          <w:sz w:val="24"/>
          <w:szCs w:val="24"/>
          <w:u w:val="single"/>
          <w:rtl/>
          <w:lang w:bidi="he-IL"/>
        </w:rPr>
        <w:t xml:space="preserve"> רצון</w:t>
      </w:r>
      <w:r w:rsidRPr="004D0E4A">
        <w:rPr>
          <w:rFonts w:ascii="Times New Roman" w:hAnsi="Times New Roman" w:cs="David"/>
          <w:sz w:val="24"/>
          <w:szCs w:val="24"/>
          <w:rtl/>
          <w:lang w:bidi="he-IL"/>
        </w:rPr>
        <w:t xml:space="preserve"> להכרעה בסכסוך על ידי גורם מוסכם (רצון שיכול שיווצר על ידי הסכמה מראש  לרבות לענין מנגנון קביעה של הבורר מראש וכו' -). מכל מקום מילת המפתח הינה "רצונית"</w:t>
      </w:r>
      <w:r w:rsidRPr="004D0E4A">
        <w:rPr>
          <w:rFonts w:ascii="Times New Roman" w:hAnsi="Times New Roman" w:cs="David"/>
          <w:sz w:val="24"/>
          <w:szCs w:val="24"/>
          <w:vertAlign w:val="superscript"/>
          <w:rtl/>
          <w:lang w:bidi="he-IL"/>
        </w:rPr>
        <w:footnoteReference w:id="2"/>
      </w:r>
      <w:r w:rsidRPr="004D0E4A">
        <w:rPr>
          <w:rFonts w:ascii="Times New Roman" w:hAnsi="Times New Roman" w:cs="David"/>
          <w:sz w:val="24"/>
          <w:szCs w:val="24"/>
          <w:rtl/>
          <w:lang w:bidi="he-IL"/>
        </w:rPr>
        <w:t xml:space="preserve"> עיקרון זה בא לביטוי בחוק הבוררות הפותח בהגדרת "הסכם בוררות" והפרק המהותי הראשון שלו עוסק ב"הסכם בוררות"</w:t>
      </w:r>
      <w:r w:rsidRPr="004D0E4A">
        <w:rPr>
          <w:rFonts w:ascii="Times New Roman" w:hAnsi="Times New Roman" w:cs="David"/>
          <w:sz w:val="24"/>
          <w:szCs w:val="24"/>
          <w:vertAlign w:val="superscript"/>
          <w:rtl/>
          <w:lang w:bidi="he-IL"/>
        </w:rPr>
        <w:footnoteReference w:id="3"/>
      </w:r>
      <w:r w:rsidRPr="004D0E4A">
        <w:rPr>
          <w:rFonts w:ascii="Times New Roman" w:hAnsi="Times New Roman" w:cs="David"/>
          <w:sz w:val="24"/>
          <w:szCs w:val="24"/>
          <w:rtl/>
          <w:lang w:bidi="he-IL"/>
        </w:rPr>
        <w:t>.  עקרון זה בא ידי ביטוי גם בסמכות בית המשפט להעביר בהסכמת הצדדים המנהלים לפניו הליך משפטי את הענין לבוררות</w:t>
      </w:r>
      <w:r w:rsidRPr="004D0E4A">
        <w:rPr>
          <w:rFonts w:ascii="Times New Roman" w:hAnsi="Times New Roman" w:cs="David"/>
          <w:sz w:val="24"/>
          <w:szCs w:val="24"/>
          <w:vertAlign w:val="superscript"/>
          <w:rtl/>
          <w:lang w:bidi="he-IL"/>
        </w:rPr>
        <w:footnoteReference w:id="4"/>
      </w:r>
      <w:r w:rsidRPr="004D0E4A">
        <w:rPr>
          <w:rFonts w:ascii="Times New Roman" w:hAnsi="Times New Roman" w:cs="David"/>
          <w:sz w:val="24"/>
          <w:szCs w:val="24"/>
          <w:rtl/>
          <w:lang w:bidi="he-IL"/>
        </w:rPr>
        <w:t>.</w:t>
      </w:r>
    </w:p>
    <w:p w:rsidR="005361DF" w:rsidRPr="004D0E4A" w:rsidRDefault="005361DF" w:rsidP="00187E4C">
      <w:pPr>
        <w:numPr>
          <w:ilvl w:val="0"/>
          <w:numId w:val="1"/>
        </w:numPr>
        <w:tabs>
          <w:tab w:val="num" w:pos="-2692"/>
        </w:tabs>
        <w:bidi/>
        <w:spacing w:after="0" w:line="360" w:lineRule="auto"/>
        <w:ind w:left="368" w:hanging="360"/>
        <w:jc w:val="both"/>
        <w:rPr>
          <w:rFonts w:ascii="Times New Roman" w:hAnsi="Times New Roman" w:cs="David"/>
          <w:sz w:val="24"/>
          <w:szCs w:val="24"/>
          <w:lang w:bidi="he-IL"/>
        </w:rPr>
      </w:pPr>
      <w:r w:rsidRPr="004D0E4A">
        <w:rPr>
          <w:rFonts w:ascii="Times New Roman" w:hAnsi="Times New Roman" w:cs="David"/>
          <w:sz w:val="24"/>
          <w:szCs w:val="24"/>
          <w:rtl/>
          <w:lang w:bidi="he-IL"/>
        </w:rPr>
        <w:t>מדובר בערבוב בין מוסדות המשפטיים שונים  (באם נתיחס גם למערכת הבוררויות" כמעין מוסד משפטי) .  ערבוב זה יוצר שיח משפטי מעוות.</w:t>
      </w:r>
    </w:p>
    <w:p w:rsidR="005361DF" w:rsidRPr="004D0E4A" w:rsidRDefault="005361DF" w:rsidP="004D0E4A">
      <w:pPr>
        <w:bidi/>
        <w:spacing w:after="0" w:line="360" w:lineRule="auto"/>
        <w:ind w:left="368"/>
        <w:jc w:val="both"/>
        <w:rPr>
          <w:rFonts w:ascii="Times New Roman" w:hAnsi="Times New Roman" w:cs="David"/>
          <w:sz w:val="24"/>
          <w:szCs w:val="24"/>
          <w:rtl/>
          <w:lang w:bidi="he-IL"/>
        </w:rPr>
      </w:pPr>
    </w:p>
    <w:p w:rsidR="005361DF" w:rsidRPr="004D0E4A" w:rsidRDefault="005361DF" w:rsidP="004D0E4A">
      <w:pPr>
        <w:bidi/>
        <w:spacing w:after="0" w:line="360" w:lineRule="auto"/>
        <w:ind w:left="368"/>
        <w:jc w:val="both"/>
        <w:rPr>
          <w:rFonts w:ascii="Times New Roman" w:hAnsi="Times New Roman" w:cs="David"/>
          <w:sz w:val="24"/>
          <w:szCs w:val="24"/>
          <w:lang w:bidi="he-IL"/>
        </w:rPr>
      </w:pPr>
    </w:p>
    <w:p w:rsidR="005361DF" w:rsidRPr="004D0E4A" w:rsidRDefault="005361DF" w:rsidP="004D0E4A">
      <w:pPr>
        <w:bidi/>
        <w:spacing w:after="0" w:line="360" w:lineRule="auto"/>
        <w:jc w:val="both"/>
        <w:rPr>
          <w:rFonts w:ascii="Times New Roman" w:hAnsi="Times New Roman" w:cs="David"/>
          <w:b/>
          <w:bCs/>
          <w:sz w:val="24"/>
          <w:szCs w:val="24"/>
          <w:u w:val="single"/>
          <w:lang w:bidi="he-IL"/>
        </w:rPr>
      </w:pPr>
      <w:r w:rsidRPr="004D0E4A">
        <w:rPr>
          <w:rFonts w:ascii="Times New Roman" w:hAnsi="Times New Roman" w:cs="David"/>
          <w:b/>
          <w:bCs/>
          <w:sz w:val="24"/>
          <w:szCs w:val="24"/>
          <w:u w:val="single"/>
          <w:rtl/>
          <w:lang w:bidi="he-IL"/>
        </w:rPr>
        <w:t xml:space="preserve">התייחסות קצרה להוראות שונות הקבועות בהצעת החוק שבנדון: </w:t>
      </w:r>
    </w:p>
    <w:p w:rsidR="005361DF" w:rsidRPr="004D0E4A" w:rsidRDefault="005361DF" w:rsidP="004D0E4A">
      <w:pPr>
        <w:numPr>
          <w:ilvl w:val="0"/>
          <w:numId w:val="1"/>
        </w:numPr>
        <w:tabs>
          <w:tab w:val="num" w:pos="-2692"/>
          <w:tab w:val="num" w:pos="8"/>
        </w:tabs>
        <w:bidi/>
        <w:spacing w:after="0" w:line="360" w:lineRule="auto"/>
        <w:ind w:left="368" w:hanging="360"/>
        <w:jc w:val="both"/>
        <w:rPr>
          <w:rFonts w:ascii="Times New Roman" w:hAnsi="Times New Roman" w:cs="David"/>
          <w:sz w:val="24"/>
          <w:szCs w:val="24"/>
          <w:lang w:bidi="he-IL"/>
        </w:rPr>
      </w:pPr>
      <w:r w:rsidRPr="004D0E4A">
        <w:rPr>
          <w:rFonts w:ascii="Times New Roman" w:hAnsi="Times New Roman" w:cs="David"/>
          <w:b/>
          <w:bCs/>
          <w:sz w:val="24"/>
          <w:szCs w:val="24"/>
          <w:rtl/>
          <w:lang w:bidi="he-IL"/>
        </w:rPr>
        <w:t xml:space="preserve">ההצעה מקימה, למעשה, ערכאה משפטית </w:t>
      </w:r>
      <w:r w:rsidRPr="004D0E4A">
        <w:rPr>
          <w:rFonts w:ascii="Times New Roman" w:hAnsi="Times New Roman" w:cs="David"/>
          <w:sz w:val="24"/>
          <w:szCs w:val="24"/>
          <w:rtl/>
          <w:lang w:bidi="he-IL"/>
        </w:rPr>
        <w:t xml:space="preserve">מקבילה " קאדר" של בוררים משפטנים – סעיף 53 ח לחוק – עורכי דין ושופטים – שיכהנו ב"רשימת הבוררים" 5 שנים או עד גיל 75 . מטרת ההגבלות, כנראה, לאפשר הכללתם ברשימה של שופטים בדימוס, עם פרישתם בגיל 70  - ראה ס 53 ו) </w:t>
      </w:r>
    </w:p>
    <w:p w:rsidR="005361DF" w:rsidRPr="004D0E4A" w:rsidRDefault="005361DF" w:rsidP="004D0E4A">
      <w:pPr>
        <w:numPr>
          <w:ilvl w:val="0"/>
          <w:numId w:val="1"/>
        </w:numPr>
        <w:tabs>
          <w:tab w:val="num" w:pos="-2692"/>
        </w:tabs>
        <w:bidi/>
        <w:spacing w:after="0" w:line="360" w:lineRule="auto"/>
        <w:ind w:left="368" w:hanging="360"/>
        <w:jc w:val="both"/>
        <w:rPr>
          <w:rFonts w:ascii="Times New Roman" w:hAnsi="Times New Roman" w:cs="David"/>
          <w:sz w:val="24"/>
          <w:szCs w:val="24"/>
          <w:lang w:bidi="he-IL"/>
        </w:rPr>
      </w:pPr>
      <w:r w:rsidRPr="004D0E4A">
        <w:rPr>
          <w:rFonts w:ascii="Times New Roman" w:hAnsi="Times New Roman" w:cs="David"/>
          <w:sz w:val="24"/>
          <w:szCs w:val="24"/>
          <w:rtl/>
          <w:lang w:bidi="he-IL"/>
        </w:rPr>
        <w:t xml:space="preserve">כמובן </w:t>
      </w:r>
      <w:r w:rsidRPr="004D0E4A">
        <w:rPr>
          <w:rFonts w:ascii="Times New Roman" w:hAnsi="Times New Roman" w:cs="David"/>
          <w:b/>
          <w:bCs/>
          <w:sz w:val="24"/>
          <w:szCs w:val="24"/>
          <w:rtl/>
          <w:lang w:bidi="he-IL"/>
        </w:rPr>
        <w:t>שההצעה מחייבת, באותה נשימה, הקמת מנגנונים נוספים</w:t>
      </w:r>
      <w:r w:rsidRPr="004D0E4A">
        <w:rPr>
          <w:rFonts w:ascii="Times New Roman" w:hAnsi="Times New Roman" w:cs="David"/>
          <w:sz w:val="24"/>
          <w:szCs w:val="24"/>
          <w:rtl/>
          <w:lang w:bidi="he-IL"/>
        </w:rPr>
        <w:t xml:space="preserve"> למינויהבוררים – ועדה מייעצת סעיף 53 א ו-53 ז  ופיקוח עליהם– 53 יד (לא ברור מי בדיוק יבצע פיקוח שוטף). </w:t>
      </w:r>
    </w:p>
    <w:p w:rsidR="005361DF" w:rsidRPr="004D0E4A" w:rsidRDefault="005361DF" w:rsidP="004D0E4A">
      <w:pPr>
        <w:numPr>
          <w:ilvl w:val="0"/>
          <w:numId w:val="1"/>
        </w:numPr>
        <w:tabs>
          <w:tab w:val="num" w:pos="-2692"/>
        </w:tabs>
        <w:bidi/>
        <w:spacing w:after="0" w:line="360" w:lineRule="auto"/>
        <w:ind w:left="368" w:hanging="360"/>
        <w:jc w:val="both"/>
        <w:rPr>
          <w:rFonts w:ascii="Times New Roman" w:hAnsi="Times New Roman" w:cs="David"/>
          <w:sz w:val="24"/>
          <w:szCs w:val="24"/>
          <w:lang w:bidi="he-IL"/>
        </w:rPr>
      </w:pPr>
      <w:r w:rsidRPr="004D0E4A">
        <w:rPr>
          <w:rFonts w:ascii="Times New Roman" w:hAnsi="Times New Roman" w:cs="David"/>
          <w:sz w:val="24"/>
          <w:szCs w:val="24"/>
          <w:rtl/>
          <w:lang w:bidi="he-IL"/>
        </w:rPr>
        <w:t xml:space="preserve">שאלה נוספת העולה הינה </w:t>
      </w:r>
      <w:r w:rsidRPr="004D0E4A">
        <w:rPr>
          <w:rFonts w:ascii="Times New Roman" w:hAnsi="Times New Roman" w:cs="David"/>
          <w:b/>
          <w:bCs/>
          <w:sz w:val="24"/>
          <w:szCs w:val="24"/>
          <w:rtl/>
          <w:lang w:bidi="he-IL"/>
        </w:rPr>
        <w:t>מדוע להגביל את רשימת הבוררים למשפטנים בלבד</w:t>
      </w:r>
      <w:r w:rsidRPr="004D0E4A">
        <w:rPr>
          <w:rFonts w:ascii="Times New Roman" w:hAnsi="Times New Roman" w:cs="David"/>
          <w:sz w:val="24"/>
          <w:szCs w:val="24"/>
          <w:rtl/>
          <w:lang w:bidi="he-IL"/>
        </w:rPr>
        <w:t xml:space="preserve"> –כזכור על פי חוק הבוררות אין מגבלה כי רק משפטנים ימונו כבוררים. והרי סכסוכים המחייבים התמקצעות מסוימת,  טכנית למשל. לעיתים יכול מי שאינו משפטן להכריע בהם ביעילות ומקצועיות אף יותר ממשפטן  - וראה למשל השתתפות נציגי ציבור ונציגי עובדים בהרכב השיפוט בבית הדין לעבודה</w:t>
      </w:r>
      <w:r w:rsidRPr="004D0E4A">
        <w:rPr>
          <w:rFonts w:ascii="Times New Roman" w:hAnsi="Times New Roman" w:cs="Times New Roman"/>
          <w:sz w:val="24"/>
          <w:szCs w:val="24"/>
          <w:vertAlign w:val="superscript"/>
          <w:rtl/>
          <w:lang w:bidi="he-IL"/>
        </w:rPr>
        <w:footnoteReference w:id="5"/>
      </w:r>
      <w:r w:rsidRPr="004D0E4A">
        <w:rPr>
          <w:rFonts w:ascii="Times New Roman" w:hAnsi="Times New Roman" w:cs="David"/>
          <w:sz w:val="24"/>
          <w:szCs w:val="24"/>
          <w:rtl/>
          <w:lang w:bidi="he-IL"/>
        </w:rPr>
        <w:t xml:space="preserve">. </w:t>
      </w:r>
    </w:p>
    <w:p w:rsidR="005361DF" w:rsidRPr="004D0E4A" w:rsidRDefault="005361DF" w:rsidP="004D0E4A">
      <w:pPr>
        <w:numPr>
          <w:ilvl w:val="0"/>
          <w:numId w:val="1"/>
        </w:numPr>
        <w:tabs>
          <w:tab w:val="num" w:pos="-2692"/>
        </w:tabs>
        <w:bidi/>
        <w:spacing w:after="0" w:line="360" w:lineRule="auto"/>
        <w:ind w:left="368" w:hanging="360"/>
        <w:jc w:val="both"/>
        <w:rPr>
          <w:rFonts w:ascii="Times New Roman" w:hAnsi="Times New Roman" w:cs="David"/>
          <w:sz w:val="24"/>
          <w:szCs w:val="24"/>
          <w:lang w:bidi="he-IL"/>
        </w:rPr>
      </w:pPr>
      <w:r w:rsidRPr="004D0E4A">
        <w:rPr>
          <w:rFonts w:ascii="Times New Roman" w:hAnsi="Times New Roman" w:cs="David"/>
          <w:b/>
          <w:bCs/>
          <w:sz w:val="24"/>
          <w:szCs w:val="24"/>
          <w:rtl/>
          <w:lang w:bidi="he-IL"/>
        </w:rPr>
        <w:t>ההצעה מגדירהבאופן מעורפל את  סוגי התיקים שיועברו לבוררות חובה</w:t>
      </w:r>
      <w:r w:rsidRPr="004D0E4A">
        <w:rPr>
          <w:rFonts w:ascii="Times New Roman" w:hAnsi="Times New Roman" w:cs="David"/>
          <w:sz w:val="24"/>
          <w:szCs w:val="24"/>
          <w:rtl/>
          <w:lang w:bidi="he-IL"/>
        </w:rPr>
        <w:t xml:space="preserve"> (סעיף 53 ד) ויותר מכך, קובעת הגדרה רחבה של סוגי התיקים </w:t>
      </w:r>
      <w:r w:rsidRPr="004D0E4A">
        <w:rPr>
          <w:rFonts w:ascii="Times New Roman" w:hAnsi="Times New Roman" w:cs="David"/>
          <w:sz w:val="24"/>
          <w:szCs w:val="24"/>
          <w:u w:val="single"/>
          <w:rtl/>
          <w:lang w:bidi="he-IL"/>
        </w:rPr>
        <w:t>שלא יועברו</w:t>
      </w:r>
      <w:r w:rsidRPr="004D0E4A">
        <w:rPr>
          <w:rFonts w:ascii="Times New Roman" w:hAnsi="Times New Roman" w:cs="David"/>
          <w:sz w:val="24"/>
          <w:szCs w:val="24"/>
          <w:rtl/>
          <w:lang w:bidi="he-IL"/>
        </w:rPr>
        <w:t xml:space="preserve"> לבוררות חובה (סעיף 53ג). למעשה לתוך סעיף 53ג –ניתן לקרוא כמעט את כל התביעות הקיימות למעט אולי תביעות הקטנות.</w:t>
      </w:r>
      <w:r w:rsidRPr="004D0E4A">
        <w:rPr>
          <w:rFonts w:ascii="Times New Roman" w:hAnsi="Times New Roman" w:cs="David"/>
          <w:b/>
          <w:bCs/>
          <w:sz w:val="24"/>
          <w:szCs w:val="24"/>
          <w:u w:val="single"/>
          <w:rtl/>
          <w:lang w:bidi="he-IL"/>
        </w:rPr>
        <w:t>אם כוונת המחוקק הינה הוצאת התביעות הקטנות מבתי המשפט  יתכבד המחוקק ויצהיר על כונה זו מפורשות.</w:t>
      </w:r>
    </w:p>
    <w:p w:rsidR="005361DF" w:rsidRPr="004D0E4A" w:rsidRDefault="005361DF" w:rsidP="00187E4C">
      <w:pPr>
        <w:numPr>
          <w:ilvl w:val="0"/>
          <w:numId w:val="1"/>
        </w:numPr>
        <w:tabs>
          <w:tab w:val="num" w:pos="-2692"/>
        </w:tabs>
        <w:bidi/>
        <w:spacing w:after="0" w:line="360" w:lineRule="auto"/>
        <w:ind w:left="368" w:hanging="360"/>
        <w:jc w:val="both"/>
        <w:rPr>
          <w:rFonts w:ascii="Times New Roman" w:hAnsi="Times New Roman" w:cs="David"/>
          <w:sz w:val="24"/>
          <w:szCs w:val="24"/>
          <w:lang w:bidi="he-IL"/>
        </w:rPr>
      </w:pPr>
      <w:r w:rsidRPr="004D0E4A">
        <w:rPr>
          <w:rFonts w:ascii="Times New Roman" w:hAnsi="Times New Roman" w:cs="David"/>
          <w:sz w:val="24"/>
          <w:szCs w:val="24"/>
          <w:rtl/>
          <w:lang w:bidi="he-IL"/>
        </w:rPr>
        <w:t xml:space="preserve">לעניין זה, </w:t>
      </w:r>
      <w:r w:rsidRPr="004D0E4A">
        <w:rPr>
          <w:rFonts w:ascii="Times New Roman" w:hAnsi="Times New Roman" w:cs="David"/>
          <w:b/>
          <w:bCs/>
          <w:sz w:val="24"/>
          <w:szCs w:val="24"/>
          <w:rtl/>
          <w:lang w:bidi="he-IL"/>
        </w:rPr>
        <w:t>לא ברורה גם ההחרגה המוצעת ביחס לתיקיםשלא יועברו</w:t>
      </w:r>
      <w:r w:rsidRPr="004D0E4A">
        <w:rPr>
          <w:rFonts w:ascii="Times New Roman" w:hAnsi="Times New Roman" w:cs="David"/>
          <w:sz w:val="24"/>
          <w:szCs w:val="24"/>
          <w:rtl/>
          <w:lang w:bidi="he-IL"/>
        </w:rPr>
        <w:t xml:space="preserve"> לבוררות חובה. בסעיף 53 ג  – בצד רשימה מעורפלת למדי (ס"ק א(2)  ואילך)  – מוחרגים  תיקי  "נזקי הגוף", ס"ק (1)  – במה זכו דוקא ההליכים אלה לפטור גורף זה?? והרי דווקא שם מדובר בתיקים הגוזלים זמן ומשאבי שיפוט אדירים ויתכן כי בוררות היתה מקצרת ומייעלת את ההליכים ומונעת </w:t>
      </w:r>
      <w:r>
        <w:rPr>
          <w:rFonts w:ascii="Times New Roman" w:hAnsi="Times New Roman" w:cs="David"/>
          <w:sz w:val="24"/>
          <w:szCs w:val="24"/>
          <w:rtl/>
          <w:lang w:bidi="he-IL"/>
        </w:rPr>
        <w:t xml:space="preserve">את החשש של משיכת </w:t>
      </w:r>
      <w:r w:rsidRPr="004D0E4A">
        <w:rPr>
          <w:rFonts w:ascii="Times New Roman" w:hAnsi="Times New Roman" w:cs="David"/>
          <w:sz w:val="24"/>
          <w:szCs w:val="24"/>
          <w:rtl/>
          <w:lang w:bidi="he-IL"/>
        </w:rPr>
        <w:t>הליכים לנצח.</w:t>
      </w:r>
      <w:r>
        <w:rPr>
          <w:rStyle w:val="FootnoteReference"/>
          <w:rFonts w:ascii="Times New Roman" w:hAnsi="Times New Roman"/>
          <w:sz w:val="24"/>
          <w:szCs w:val="24"/>
          <w:rtl/>
          <w:lang w:bidi="he-IL"/>
        </w:rPr>
        <w:footnoteReference w:id="6"/>
      </w:r>
    </w:p>
    <w:p w:rsidR="005361DF" w:rsidRPr="004D0E4A" w:rsidRDefault="005361DF" w:rsidP="004D0E4A">
      <w:pPr>
        <w:numPr>
          <w:ilvl w:val="0"/>
          <w:numId w:val="1"/>
        </w:numPr>
        <w:tabs>
          <w:tab w:val="num" w:pos="-2692"/>
        </w:tabs>
        <w:bidi/>
        <w:spacing w:after="0" w:line="360" w:lineRule="auto"/>
        <w:ind w:left="368" w:hanging="360"/>
        <w:jc w:val="both"/>
        <w:rPr>
          <w:rFonts w:ascii="Times New Roman" w:hAnsi="Times New Roman" w:cs="David"/>
          <w:sz w:val="24"/>
          <w:szCs w:val="24"/>
          <w:lang w:bidi="he-IL"/>
        </w:rPr>
      </w:pPr>
      <w:r w:rsidRPr="004D0E4A">
        <w:rPr>
          <w:rFonts w:ascii="Times New Roman" w:hAnsi="Times New Roman" w:cs="David"/>
          <w:b/>
          <w:bCs/>
          <w:sz w:val="24"/>
          <w:szCs w:val="24"/>
          <w:u w:val="single"/>
          <w:rtl/>
          <w:lang w:bidi="he-IL"/>
        </w:rPr>
        <w:t>הפעלת הסמכות להעברה לבוררות " חובה" על פי ההצעה מוטלת על נשיא בימ"ש שלום</w:t>
      </w:r>
      <w:r w:rsidRPr="004D0E4A">
        <w:rPr>
          <w:rFonts w:ascii="Times New Roman" w:hAnsi="Times New Roman" w:cs="David"/>
          <w:sz w:val="24"/>
          <w:szCs w:val="24"/>
          <w:rtl/>
          <w:lang w:bidi="he-IL"/>
        </w:rPr>
        <w:t xml:space="preserve"> – מדובר </w:t>
      </w:r>
      <w:r w:rsidRPr="004D0E4A">
        <w:rPr>
          <w:rFonts w:ascii="Times New Roman" w:hAnsi="Times New Roman" w:cs="David"/>
          <w:b/>
          <w:bCs/>
          <w:sz w:val="24"/>
          <w:szCs w:val="24"/>
          <w:rtl/>
          <w:lang w:bidi="he-IL"/>
        </w:rPr>
        <w:t xml:space="preserve">בנטל טכני ומהותי בלתי סביר </w:t>
      </w:r>
      <w:r w:rsidRPr="004D0E4A">
        <w:rPr>
          <w:rFonts w:ascii="Times New Roman" w:hAnsi="Times New Roman" w:cs="David"/>
          <w:sz w:val="24"/>
          <w:szCs w:val="24"/>
          <w:rtl/>
          <w:lang w:bidi="he-IL"/>
        </w:rPr>
        <w:t xml:space="preserve">בעליל . כזכור, הנשיא אחראי על מחוז שלם. האם בעקבות התיקון מצופה ממנו כי מבוקר עד ליל יעבור על כל התיקים במחוזו לבחון איזה מהם מתאים להעברה לבוררות חובה ואיזה אינו מתאים ????. על החלטת הנשיא להעברת תיק לבוררות חובה  יש זכות ערעור לביהמ"ש המחוזי (ס' 53ה). </w:t>
      </w:r>
      <w:r w:rsidRPr="004D0E4A">
        <w:rPr>
          <w:rFonts w:ascii="Times New Roman" w:hAnsi="Times New Roman" w:cs="David"/>
          <w:b/>
          <w:bCs/>
          <w:sz w:val="24"/>
          <w:szCs w:val="24"/>
          <w:rtl/>
          <w:lang w:bidi="he-IL"/>
        </w:rPr>
        <w:t>דומה ויש לצפות להצפה של ערעורים רבים</w:t>
      </w:r>
      <w:r w:rsidRPr="004D0E4A">
        <w:rPr>
          <w:rFonts w:ascii="Times New Roman" w:hAnsi="Times New Roman" w:cs="David"/>
          <w:sz w:val="24"/>
          <w:szCs w:val="24"/>
          <w:rtl/>
          <w:lang w:bidi="he-IL"/>
        </w:rPr>
        <w:t xml:space="preserve"> על העברה לבוררות חובה. כאמור. משכך ברור כי הוראות סעיפים 53ג ו 53ד  יביאו לכך, שלא רק שבוררות חובה לא תצמצם ותייעל את הדיונים בבתי המשפט, אלא תפתח חזית בלתי צפויה של דיונים מיותרים בשאלת עצם העברת הדיון לבוררות חובה. דיונים שיגזלו עוד זמן שיפוטי, שחסר ממילא.</w:t>
      </w:r>
      <w:r w:rsidRPr="004D0E4A">
        <w:rPr>
          <w:rFonts w:ascii="Times New Roman" w:hAnsi="Times New Roman" w:cs="David"/>
          <w:b/>
          <w:bCs/>
          <w:sz w:val="24"/>
          <w:szCs w:val="24"/>
          <w:rtl/>
          <w:lang w:bidi="he-IL"/>
        </w:rPr>
        <w:t>בסופו של יום, באופן פרדוקסלי, הצעת החוק שמטרתה לייעל את ההליכים ולצמצם את הדיונים בבתי המשפט, תביא דווקא להרחבה של דיוני סרק על הצורך או אי הצורך להעביר תביעות לבוררות חובה, כאשר באותו זמן ניתן היה כבר לסיים את ההליך העיקרי</w:t>
      </w:r>
    </w:p>
    <w:p w:rsidR="005361DF" w:rsidRPr="004D0E4A" w:rsidRDefault="005361DF" w:rsidP="004D0E4A">
      <w:pPr>
        <w:numPr>
          <w:ilvl w:val="0"/>
          <w:numId w:val="1"/>
        </w:numPr>
        <w:tabs>
          <w:tab w:val="num" w:pos="-2692"/>
        </w:tabs>
        <w:bidi/>
        <w:spacing w:after="0" w:line="360" w:lineRule="auto"/>
        <w:ind w:left="368" w:hanging="360"/>
        <w:jc w:val="both"/>
        <w:rPr>
          <w:rFonts w:ascii="Times New Roman" w:hAnsi="Times New Roman" w:cs="David"/>
          <w:sz w:val="24"/>
          <w:szCs w:val="24"/>
          <w:lang w:bidi="he-IL"/>
        </w:rPr>
      </w:pPr>
      <w:r w:rsidRPr="004D0E4A">
        <w:rPr>
          <w:rFonts w:ascii="Times New Roman" w:hAnsi="Times New Roman" w:cs="David"/>
          <w:b/>
          <w:bCs/>
          <w:sz w:val="24"/>
          <w:szCs w:val="24"/>
          <w:rtl/>
          <w:lang w:bidi="he-IL"/>
        </w:rPr>
        <w:t>גם סעיף 53 כ שענינו השבת התיק לבימ"ש להמשיך בדיון בו מעלה סימן שאלה גדול ביחס ליעילות</w:t>
      </w:r>
      <w:r w:rsidRPr="004D0E4A">
        <w:rPr>
          <w:rFonts w:ascii="Times New Roman" w:hAnsi="Times New Roman" w:cs="David"/>
          <w:sz w:val="24"/>
          <w:szCs w:val="24"/>
          <w:rtl/>
          <w:lang w:bidi="he-IL"/>
        </w:rPr>
        <w:t xml:space="preserve"> – הבורר אמור לסיים ההליך במועד הקבוע בחוק הבוררות משמע 3 חודשים. באם לא עשה כן מוחזר התיק לשופט שלום ש"ימשיך" את הדיון המהותי בו- משמע לרבות שמיעת ראיות. ונזכיר – במקרה כזה, הבורר כבר שמע חלק מן הראיות, אולי את כל הראיות. האם ביהמ"ש יחל לשמען מחדש? האם ישמע רק חלק מהן ? האם יתן החלטה בלא לשמוע ולבחון ראיות ? למה הכונה?  נראה כי אין מנגנון יותר בעיתי וחסר יעילות מזה. </w:t>
      </w:r>
    </w:p>
    <w:p w:rsidR="005361DF" w:rsidRPr="004D0E4A" w:rsidRDefault="005361DF" w:rsidP="004D0E4A">
      <w:pPr>
        <w:numPr>
          <w:ilvl w:val="0"/>
          <w:numId w:val="1"/>
        </w:numPr>
        <w:tabs>
          <w:tab w:val="num" w:pos="-2692"/>
        </w:tabs>
        <w:bidi/>
        <w:spacing w:after="0" w:line="360" w:lineRule="auto"/>
        <w:ind w:left="368" w:hanging="360"/>
        <w:jc w:val="both"/>
        <w:rPr>
          <w:rFonts w:ascii="Times New Roman" w:hAnsi="Times New Roman" w:cs="David"/>
          <w:sz w:val="24"/>
          <w:szCs w:val="24"/>
          <w:lang w:bidi="he-IL"/>
        </w:rPr>
      </w:pPr>
      <w:r w:rsidRPr="004D0E4A">
        <w:rPr>
          <w:rFonts w:ascii="Times New Roman" w:hAnsi="Times New Roman" w:cs="David"/>
          <w:sz w:val="24"/>
          <w:szCs w:val="24"/>
          <w:rtl/>
          <w:lang w:bidi="he-IL"/>
        </w:rPr>
        <w:t xml:space="preserve">יתרה מכך ע"פ  המוצע גם ערכאת  ערעור על פסק הבורר בבוררות חובה מוסמכת לשמוע ראיות </w:t>
      </w:r>
      <w:r w:rsidRPr="004D0E4A">
        <w:rPr>
          <w:rFonts w:ascii="Times New Roman" w:hAnsi="Times New Roman" w:cs="David"/>
          <w:sz w:val="24"/>
          <w:szCs w:val="24"/>
          <w:u w:val="single"/>
          <w:rtl/>
          <w:lang w:bidi="he-IL"/>
        </w:rPr>
        <w:t>כערכאה ראשונה</w:t>
      </w:r>
      <w:r w:rsidRPr="004D0E4A">
        <w:rPr>
          <w:rFonts w:ascii="Times New Roman" w:hAnsi="Times New Roman" w:cs="David"/>
          <w:sz w:val="24"/>
          <w:szCs w:val="24"/>
          <w:rtl/>
          <w:lang w:bidi="he-IL"/>
        </w:rPr>
        <w:t xml:space="preserve"> – סעיף 53 כא – משמע </w:t>
      </w:r>
      <w:r w:rsidRPr="004D0E4A">
        <w:rPr>
          <w:rFonts w:ascii="Times New Roman" w:hAnsi="Times New Roman" w:cs="David"/>
          <w:b/>
          <w:bCs/>
          <w:sz w:val="24"/>
          <w:szCs w:val="24"/>
          <w:rtl/>
          <w:lang w:bidi="he-IL"/>
        </w:rPr>
        <w:t>ניתן למעשה לפתוח מחדש את כל התיק  בערכאת ערעור</w:t>
      </w:r>
      <w:r w:rsidRPr="004D0E4A">
        <w:rPr>
          <w:rFonts w:ascii="Times New Roman" w:hAnsi="Times New Roman" w:cs="David"/>
          <w:sz w:val="24"/>
          <w:szCs w:val="24"/>
          <w:rtl/>
          <w:lang w:bidi="he-IL"/>
        </w:rPr>
        <w:t>.</w:t>
      </w:r>
    </w:p>
    <w:p w:rsidR="005361DF" w:rsidRPr="004D0E4A" w:rsidRDefault="005361DF" w:rsidP="004D0E4A">
      <w:pPr>
        <w:numPr>
          <w:ilvl w:val="0"/>
          <w:numId w:val="1"/>
        </w:numPr>
        <w:tabs>
          <w:tab w:val="num" w:pos="-2692"/>
        </w:tabs>
        <w:bidi/>
        <w:spacing w:after="0" w:line="360" w:lineRule="auto"/>
        <w:ind w:left="368" w:hanging="360"/>
        <w:jc w:val="both"/>
        <w:rPr>
          <w:rFonts w:ascii="Times New Roman" w:hAnsi="Times New Roman" w:cs="David"/>
          <w:sz w:val="24"/>
          <w:szCs w:val="24"/>
          <w:lang w:bidi="he-IL"/>
        </w:rPr>
      </w:pPr>
      <w:r w:rsidRPr="004D0E4A">
        <w:rPr>
          <w:rFonts w:ascii="Times New Roman" w:hAnsi="Times New Roman" w:cs="David"/>
          <w:sz w:val="24"/>
          <w:szCs w:val="24"/>
          <w:rtl/>
          <w:lang w:bidi="he-IL"/>
        </w:rPr>
        <w:t xml:space="preserve">עוד קובעת ההצעה כי  </w:t>
      </w:r>
      <w:r w:rsidRPr="004D0E4A">
        <w:rPr>
          <w:rFonts w:ascii="Times New Roman" w:hAnsi="Times New Roman" w:cs="David"/>
          <w:b/>
          <w:bCs/>
          <w:sz w:val="24"/>
          <w:szCs w:val="24"/>
          <w:rtl/>
          <w:lang w:bidi="he-IL"/>
        </w:rPr>
        <w:t>מימון שכר הבוררים</w:t>
      </w:r>
      <w:r w:rsidRPr="004D0E4A">
        <w:rPr>
          <w:rFonts w:ascii="Times New Roman" w:hAnsi="Times New Roman" w:cs="David"/>
          <w:sz w:val="24"/>
          <w:szCs w:val="24"/>
          <w:rtl/>
          <w:lang w:bidi="he-IL"/>
        </w:rPr>
        <w:t xml:space="preserve"> יעשה מתקציב המדינה  – ראה סעיף 53 כג  – אם מתכוונת המדינה לממן את ההליכים, מדוע להעביר לבוררות ? מדוע לא להעביר תקציבים אלה לבתי המשפט ? אולמות המשפט עומדים ריקים חלקים ניכרים מן היום וניתן לנצלם לכמות גדולה יותר של דיונים.  במקום הקמת ועדה מייעצת, והטלת נטל מיותר על נשיא בימ"ש שלום ועל ערכאת הערעורים, לא </w:t>
      </w:r>
      <w:r w:rsidRPr="004D0E4A">
        <w:rPr>
          <w:rFonts w:ascii="Times New Roman" w:hAnsi="Times New Roman" w:cs="David"/>
          <w:b/>
          <w:bCs/>
          <w:sz w:val="24"/>
          <w:szCs w:val="24"/>
          <w:rtl/>
          <w:lang w:bidi="he-IL"/>
        </w:rPr>
        <w:t>פשוט יותר להוסיף תקני שיפוט לבתי המשפט</w:t>
      </w:r>
      <w:r w:rsidRPr="004D0E4A">
        <w:rPr>
          <w:rFonts w:ascii="Times New Roman" w:hAnsi="Times New Roman" w:cs="David"/>
          <w:sz w:val="24"/>
          <w:szCs w:val="24"/>
          <w:rtl/>
          <w:lang w:bidi="he-IL"/>
        </w:rPr>
        <w:t>?</w:t>
      </w:r>
    </w:p>
    <w:p w:rsidR="005361DF" w:rsidRDefault="005361DF" w:rsidP="004D0E4A">
      <w:pPr>
        <w:tabs>
          <w:tab w:val="num" w:pos="720"/>
        </w:tabs>
        <w:bidi/>
        <w:spacing w:after="0" w:line="360" w:lineRule="auto"/>
        <w:ind w:left="8"/>
        <w:jc w:val="both"/>
        <w:rPr>
          <w:rFonts w:ascii="Times New Roman" w:hAnsi="Times New Roman" w:cs="David"/>
          <w:b/>
          <w:bCs/>
          <w:sz w:val="24"/>
          <w:szCs w:val="24"/>
          <w:u w:val="single"/>
          <w:lang w:bidi="he-IL"/>
        </w:rPr>
      </w:pPr>
    </w:p>
    <w:p w:rsidR="005361DF" w:rsidRPr="004D0E4A" w:rsidRDefault="005361DF" w:rsidP="00C35DE9">
      <w:pPr>
        <w:tabs>
          <w:tab w:val="num" w:pos="720"/>
        </w:tabs>
        <w:bidi/>
        <w:spacing w:after="0" w:line="360" w:lineRule="auto"/>
        <w:ind w:left="8"/>
        <w:jc w:val="both"/>
        <w:rPr>
          <w:rFonts w:ascii="Times New Roman" w:hAnsi="Times New Roman" w:cs="David"/>
          <w:b/>
          <w:bCs/>
          <w:sz w:val="24"/>
          <w:szCs w:val="24"/>
          <w:u w:val="single"/>
          <w:lang w:bidi="he-IL"/>
        </w:rPr>
      </w:pPr>
      <w:r w:rsidRPr="004D0E4A">
        <w:rPr>
          <w:rFonts w:ascii="Times New Roman" w:hAnsi="Times New Roman" w:cs="David"/>
          <w:b/>
          <w:bCs/>
          <w:sz w:val="24"/>
          <w:szCs w:val="24"/>
          <w:u w:val="single"/>
          <w:rtl/>
          <w:lang w:bidi="he-IL"/>
        </w:rPr>
        <w:t xml:space="preserve">התיחסות כללית </w:t>
      </w:r>
    </w:p>
    <w:p w:rsidR="005361DF" w:rsidRPr="004D0E4A" w:rsidRDefault="005361DF" w:rsidP="004D0E4A">
      <w:pPr>
        <w:numPr>
          <w:ilvl w:val="0"/>
          <w:numId w:val="1"/>
        </w:numPr>
        <w:tabs>
          <w:tab w:val="num" w:pos="-2692"/>
        </w:tabs>
        <w:bidi/>
        <w:spacing w:after="0" w:line="360" w:lineRule="auto"/>
        <w:ind w:left="368" w:hanging="360"/>
        <w:jc w:val="both"/>
        <w:rPr>
          <w:rFonts w:ascii="Times New Roman" w:hAnsi="Times New Roman" w:cs="David"/>
          <w:sz w:val="24"/>
          <w:szCs w:val="24"/>
          <w:highlight w:val="yellow"/>
          <w:lang w:bidi="he-IL"/>
        </w:rPr>
      </w:pPr>
      <w:r w:rsidRPr="004D0E4A">
        <w:rPr>
          <w:rFonts w:ascii="Times New Roman" w:hAnsi="Times New Roman" w:cs="David"/>
          <w:sz w:val="24"/>
          <w:szCs w:val="24"/>
          <w:rtl/>
          <w:lang w:bidi="he-IL"/>
        </w:rPr>
        <w:t>הצעה לבוררות חובה  לא נזכרה ולו ברמז בדו"ח ועדת רונן</w:t>
      </w:r>
      <w:r w:rsidRPr="004D0E4A">
        <w:rPr>
          <w:rFonts w:ascii="Times New Roman" w:hAnsi="Times New Roman" w:cs="David"/>
          <w:sz w:val="24"/>
          <w:szCs w:val="24"/>
          <w:vertAlign w:val="superscript"/>
          <w:rtl/>
          <w:lang w:bidi="he-IL"/>
        </w:rPr>
        <w:footnoteReference w:id="7"/>
      </w:r>
      <w:r w:rsidRPr="004D0E4A">
        <w:rPr>
          <w:rFonts w:ascii="Times New Roman" w:hAnsi="Times New Roman" w:cs="David"/>
          <w:sz w:val="24"/>
          <w:szCs w:val="24"/>
          <w:rtl/>
          <w:lang w:bidi="he-IL"/>
        </w:rPr>
        <w:t>. גם לשכת עורכי הדין– הביעה את תמיכתה בפיתוח מסלול בוררות כ</w:t>
      </w:r>
      <w:r w:rsidRPr="004D0E4A">
        <w:rPr>
          <w:rFonts w:ascii="Times New Roman" w:hAnsi="Times New Roman" w:cs="David"/>
          <w:b/>
          <w:bCs/>
          <w:sz w:val="24"/>
          <w:szCs w:val="24"/>
          <w:u w:val="single"/>
          <w:rtl/>
          <w:lang w:bidi="he-IL"/>
        </w:rPr>
        <w:t xml:space="preserve">רשות </w:t>
      </w:r>
      <w:r w:rsidRPr="004D0E4A">
        <w:rPr>
          <w:rFonts w:ascii="Times New Roman" w:hAnsi="Times New Roman" w:cs="David"/>
          <w:sz w:val="24"/>
          <w:szCs w:val="24"/>
          <w:rtl/>
          <w:lang w:bidi="he-IL"/>
        </w:rPr>
        <w:t>ולא כחובה.</w:t>
      </w:r>
      <w:r w:rsidRPr="004D0E4A">
        <w:rPr>
          <w:rFonts w:ascii="Times New Roman" w:hAnsi="Times New Roman" w:cs="David"/>
          <w:sz w:val="24"/>
          <w:szCs w:val="24"/>
          <w:vertAlign w:val="superscript"/>
          <w:rtl/>
          <w:lang w:bidi="he-IL"/>
        </w:rPr>
        <w:footnoteReference w:id="8"/>
      </w:r>
      <w:r w:rsidRPr="004D0E4A">
        <w:rPr>
          <w:rFonts w:ascii="Times New Roman" w:hAnsi="Times New Roman" w:cs="David"/>
          <w:sz w:val="24"/>
          <w:szCs w:val="24"/>
          <w:rtl/>
          <w:lang w:bidi="he-IL"/>
        </w:rPr>
        <w:t xml:space="preserve"> במקביל למינוי 300 שופטים חדשים שיקלו על העומס במערכת. (לשכת עורכי הדין גם הקימה מוסד לבוררות- רשות, כדי לעודד עורכי דין לעשות שימוש רחב יותר במסלול זה.</w:t>
      </w:r>
    </w:p>
    <w:p w:rsidR="005361DF" w:rsidRPr="004D0E4A" w:rsidRDefault="005361DF" w:rsidP="004D0E4A">
      <w:pPr>
        <w:numPr>
          <w:ilvl w:val="0"/>
          <w:numId w:val="1"/>
        </w:numPr>
        <w:tabs>
          <w:tab w:val="num" w:pos="-2692"/>
        </w:tabs>
        <w:bidi/>
        <w:spacing w:after="0" w:line="360" w:lineRule="auto"/>
        <w:ind w:left="368" w:hanging="360"/>
        <w:jc w:val="both"/>
        <w:rPr>
          <w:rFonts w:ascii="Times New Roman" w:hAnsi="Times New Roman" w:cs="David"/>
          <w:sz w:val="24"/>
          <w:szCs w:val="24"/>
          <w:lang w:bidi="he-IL"/>
        </w:rPr>
      </w:pPr>
      <w:r w:rsidRPr="004D0E4A">
        <w:rPr>
          <w:rFonts w:ascii="Times New Roman" w:hAnsi="Times New Roman" w:cs="David"/>
          <w:sz w:val="24"/>
          <w:szCs w:val="24"/>
          <w:rtl/>
          <w:lang w:bidi="he-IL"/>
        </w:rPr>
        <w:t xml:space="preserve">כבר כמעט נשתכח מלבנו כי למדינה מוסד שתפקידו הכרעה בסכסוכים בין אזרחים ושמו "בית משפט". בהתאם נקבעו בחוק סמכויותיו, ודרכי ההתדיינות בו (חוק יסוד השפיטה, חוק בתי המשפט, תקנות סדר הדין וכו').  ביהמ"ש אמור מספק את שירותי השיפוט כנגד "אגרה" ולא כנגד "מחיר". זאת בהיות השירות של הכרעה בסכסוכים שירות בסיסי שמדינה חבה לאזרחיה ואחד מאדני המשטר הדמוקרטי המבוסס על 3 רשויות. הרשות השופטת, אינה רשאית "להתפשט" מסמכויותיה ולהפריט אותן. </w:t>
      </w:r>
    </w:p>
    <w:p w:rsidR="005361DF" w:rsidRPr="004D0E4A" w:rsidRDefault="005361DF" w:rsidP="004D0E4A">
      <w:pPr>
        <w:numPr>
          <w:ilvl w:val="0"/>
          <w:numId w:val="1"/>
        </w:numPr>
        <w:tabs>
          <w:tab w:val="num" w:pos="-2692"/>
        </w:tabs>
        <w:bidi/>
        <w:spacing w:after="0" w:line="360" w:lineRule="auto"/>
        <w:ind w:left="368" w:hanging="360"/>
        <w:jc w:val="both"/>
        <w:rPr>
          <w:rFonts w:ascii="Times New Roman" w:hAnsi="Times New Roman" w:cs="David"/>
          <w:sz w:val="24"/>
          <w:szCs w:val="24"/>
          <w:lang w:bidi="he-IL"/>
        </w:rPr>
      </w:pPr>
      <w:r w:rsidRPr="004D0E4A">
        <w:rPr>
          <w:rFonts w:ascii="Times New Roman" w:hAnsi="Times New Roman" w:cs="David"/>
          <w:sz w:val="24"/>
          <w:szCs w:val="24"/>
          <w:rtl/>
          <w:lang w:bidi="he-IL"/>
        </w:rPr>
        <w:t xml:space="preserve">גישור, מהו"ת, "בוררות חובה" כל המושגים הם "מכבסת מילים" לתהליך שעוברת המערכת המשפטית - </w:t>
      </w:r>
      <w:r w:rsidRPr="004D0E4A">
        <w:rPr>
          <w:rFonts w:ascii="Times New Roman" w:hAnsi="Times New Roman" w:cs="David"/>
          <w:b/>
          <w:bCs/>
          <w:sz w:val="24"/>
          <w:szCs w:val="24"/>
          <w:u w:val="single"/>
          <w:rtl/>
          <w:lang w:bidi="he-IL"/>
        </w:rPr>
        <w:t>הפרטה</w:t>
      </w:r>
      <w:r w:rsidRPr="004D0E4A">
        <w:rPr>
          <w:rFonts w:ascii="Times New Roman" w:hAnsi="Times New Roman" w:cs="David"/>
          <w:sz w:val="24"/>
          <w:szCs w:val="24"/>
          <w:rtl/>
          <w:lang w:bidi="he-IL"/>
        </w:rPr>
        <w:t xml:space="preserve"> - יתכבדו אזרחי המדינה וינהלו את התדיינויותיהם אצל גורמים פרטיים מחוץ לכתלי ביהמ"ש. ולמה נועד ביהמ"ש ?? . </w:t>
      </w:r>
    </w:p>
    <w:p w:rsidR="005361DF" w:rsidRPr="004D0E4A" w:rsidRDefault="005361DF" w:rsidP="004D0E4A">
      <w:pPr>
        <w:numPr>
          <w:ilvl w:val="0"/>
          <w:numId w:val="1"/>
        </w:numPr>
        <w:tabs>
          <w:tab w:val="num" w:pos="-2692"/>
        </w:tabs>
        <w:bidi/>
        <w:spacing w:after="0" w:line="360" w:lineRule="auto"/>
        <w:ind w:left="368" w:hanging="360"/>
        <w:jc w:val="both"/>
        <w:rPr>
          <w:rFonts w:ascii="Times New Roman" w:hAnsi="Times New Roman" w:cs="David"/>
          <w:sz w:val="24"/>
          <w:szCs w:val="24"/>
          <w:lang w:bidi="he-IL"/>
        </w:rPr>
      </w:pPr>
      <w:r w:rsidRPr="004D0E4A">
        <w:rPr>
          <w:rFonts w:ascii="Times New Roman" w:hAnsi="Times New Roman" w:cs="David"/>
          <w:sz w:val="24"/>
          <w:szCs w:val="24"/>
          <w:rtl/>
          <w:lang w:bidi="he-IL"/>
        </w:rPr>
        <w:t>מדובר בביטול זכויות יסוד בחקיקה ראשית וחקיקת משנה באמצעות "שתילת" הוראות מנהליות במהותן (תופעה שלא החלה בחוק זה ר' לדוגמא  : הוראות בדבר ביעור תיקים בהוצל"פ – תוך רמיסת הוראות חוק ההתישנות, ניוד תיקים בבתי המשפט האזרחיים – תוך רמיסת הוראות תקנות סדר הדין האזרחי לענין סמכות מקומית).</w:t>
      </w:r>
    </w:p>
    <w:p w:rsidR="005361DF" w:rsidRPr="004D0E4A" w:rsidRDefault="005361DF" w:rsidP="004D0E4A">
      <w:pPr>
        <w:numPr>
          <w:ilvl w:val="0"/>
          <w:numId w:val="1"/>
        </w:numPr>
        <w:tabs>
          <w:tab w:val="num" w:pos="-2692"/>
        </w:tabs>
        <w:bidi/>
        <w:spacing w:after="0" w:line="360" w:lineRule="auto"/>
        <w:ind w:left="368" w:hanging="360"/>
        <w:jc w:val="both"/>
        <w:rPr>
          <w:rFonts w:ascii="Times New Roman" w:hAnsi="Times New Roman" w:cs="David"/>
          <w:sz w:val="24"/>
          <w:szCs w:val="24"/>
          <w:lang w:bidi="he-IL"/>
        </w:rPr>
      </w:pPr>
      <w:r w:rsidRPr="004D0E4A">
        <w:rPr>
          <w:rFonts w:ascii="Times New Roman" w:hAnsi="Times New Roman" w:cs="David"/>
          <w:sz w:val="24"/>
          <w:szCs w:val="24"/>
          <w:rtl/>
          <w:lang w:bidi="he-IL"/>
        </w:rPr>
        <w:t xml:space="preserve">אם בחר אדם להביא את עניינו להכרעה לביהמ"ש  - הרי שהביע בכך את רצונו שהסכסוך יוכרע על ידי  הרשות השופטת. והנה הוא "מושלך" לפתע, ללא הסכמתו, למערכת חיצונית, פרטית, אשר מקבלת סמכות "מדינתית" להכריע בעניינו. </w:t>
      </w:r>
    </w:p>
    <w:p w:rsidR="005361DF" w:rsidRPr="004D0E4A" w:rsidRDefault="005361DF" w:rsidP="004D0E4A">
      <w:pPr>
        <w:numPr>
          <w:ilvl w:val="0"/>
          <w:numId w:val="1"/>
        </w:numPr>
        <w:tabs>
          <w:tab w:val="num" w:pos="-2692"/>
        </w:tabs>
        <w:bidi/>
        <w:spacing w:after="0" w:line="360" w:lineRule="auto"/>
        <w:ind w:left="368" w:hanging="360"/>
        <w:jc w:val="both"/>
        <w:rPr>
          <w:rFonts w:ascii="Times New Roman" w:hAnsi="Times New Roman" w:cs="David"/>
          <w:sz w:val="24"/>
          <w:szCs w:val="24"/>
          <w:lang w:bidi="he-IL"/>
        </w:rPr>
      </w:pPr>
      <w:r w:rsidRPr="004D0E4A">
        <w:rPr>
          <w:rFonts w:ascii="Times New Roman" w:hAnsi="Times New Roman" w:cs="David"/>
          <w:sz w:val="24"/>
          <w:szCs w:val="24"/>
          <w:rtl/>
          <w:lang w:bidi="he-IL"/>
        </w:rPr>
        <w:t xml:space="preserve">העברת המתדין בכפיה, מהמערכת הרשמית, בה בחר, למערכת הפרטית יוצרת : </w:t>
      </w:r>
    </w:p>
    <w:p w:rsidR="005361DF" w:rsidRPr="004D0E4A" w:rsidRDefault="005361DF" w:rsidP="004D0E4A">
      <w:pPr>
        <w:numPr>
          <w:ilvl w:val="1"/>
          <w:numId w:val="1"/>
        </w:numPr>
        <w:tabs>
          <w:tab w:val="num" w:pos="-2692"/>
        </w:tabs>
        <w:bidi/>
        <w:spacing w:after="0" w:line="360" w:lineRule="auto"/>
        <w:ind w:left="728"/>
        <w:jc w:val="both"/>
        <w:rPr>
          <w:rFonts w:ascii="Times New Roman" w:hAnsi="Times New Roman" w:cs="David"/>
          <w:sz w:val="24"/>
          <w:szCs w:val="24"/>
          <w:rtl/>
          <w:lang w:bidi="he-IL"/>
        </w:rPr>
      </w:pPr>
      <w:r w:rsidRPr="004D0E4A">
        <w:rPr>
          <w:rFonts w:ascii="Times New Roman" w:hAnsi="Times New Roman" w:cs="David"/>
          <w:sz w:val="24"/>
          <w:szCs w:val="24"/>
          <w:rtl/>
          <w:lang w:bidi="he-IL"/>
        </w:rPr>
        <w:t>חוסר אימון במוסדות המדינה המצהירים בהעברה זו  על חוסר יכולתם למלא את התפקיד  השיפוטי.</w:t>
      </w:r>
    </w:p>
    <w:p w:rsidR="005361DF" w:rsidRPr="004D0E4A" w:rsidRDefault="005361DF" w:rsidP="004D0E4A">
      <w:pPr>
        <w:numPr>
          <w:ilvl w:val="1"/>
          <w:numId w:val="1"/>
        </w:numPr>
        <w:tabs>
          <w:tab w:val="num" w:pos="-2692"/>
        </w:tabs>
        <w:bidi/>
        <w:spacing w:after="0" w:line="360" w:lineRule="auto"/>
        <w:ind w:left="368"/>
        <w:jc w:val="both"/>
        <w:rPr>
          <w:rFonts w:ascii="Times New Roman" w:hAnsi="Times New Roman" w:cs="David"/>
          <w:sz w:val="24"/>
          <w:szCs w:val="24"/>
          <w:lang w:bidi="he-IL"/>
        </w:rPr>
      </w:pPr>
      <w:r w:rsidRPr="004D0E4A">
        <w:rPr>
          <w:rFonts w:ascii="Times New Roman" w:hAnsi="Times New Roman" w:cs="David"/>
          <w:sz w:val="24"/>
          <w:szCs w:val="24"/>
          <w:rtl/>
          <w:lang w:bidi="he-IL"/>
        </w:rPr>
        <w:t xml:space="preserve">פגיעה בצפיות הסבירה שלו לגבי אופן ניהול ההליך. </w:t>
      </w:r>
    </w:p>
    <w:p w:rsidR="005361DF" w:rsidRPr="004D0E4A" w:rsidRDefault="005361DF" w:rsidP="004D0E4A">
      <w:pPr>
        <w:numPr>
          <w:ilvl w:val="0"/>
          <w:numId w:val="1"/>
        </w:numPr>
        <w:tabs>
          <w:tab w:val="num" w:pos="-2692"/>
        </w:tabs>
        <w:bidi/>
        <w:spacing w:after="0" w:line="360" w:lineRule="auto"/>
        <w:ind w:left="368" w:hanging="360"/>
        <w:jc w:val="both"/>
        <w:rPr>
          <w:rFonts w:ascii="Times New Roman" w:hAnsi="Times New Roman" w:cs="David"/>
          <w:sz w:val="24"/>
          <w:szCs w:val="24"/>
          <w:lang w:bidi="he-IL"/>
        </w:rPr>
      </w:pPr>
      <w:r w:rsidRPr="004D0E4A">
        <w:rPr>
          <w:rFonts w:ascii="Times New Roman" w:hAnsi="Times New Roman" w:cs="David"/>
          <w:b/>
          <w:bCs/>
          <w:sz w:val="24"/>
          <w:szCs w:val="24"/>
          <w:u w:val="single"/>
          <w:rtl/>
          <w:lang w:bidi="he-IL"/>
        </w:rPr>
        <w:t>באשר לטענה כי חייבים את המנגנון המוצע כדי להקל על העומס</w:t>
      </w:r>
      <w:r w:rsidRPr="004D0E4A">
        <w:rPr>
          <w:rFonts w:ascii="Times New Roman" w:hAnsi="Times New Roman" w:cs="David"/>
          <w:sz w:val="24"/>
          <w:szCs w:val="24"/>
          <w:rtl/>
          <w:lang w:bidi="he-IL"/>
        </w:rPr>
        <w:t xml:space="preserve"> המוטל על המערכת. עוד בעבר היו קיימות פרוצדורות שנועדו קצר ולהקל :- סדר דין מקוצר</w:t>
      </w:r>
      <w:r w:rsidRPr="004D0E4A">
        <w:rPr>
          <w:rFonts w:ascii="Times New Roman" w:hAnsi="Times New Roman" w:cs="David"/>
          <w:sz w:val="24"/>
          <w:szCs w:val="24"/>
          <w:vertAlign w:val="superscript"/>
          <w:rtl/>
          <w:lang w:bidi="he-IL"/>
        </w:rPr>
        <w:footnoteReference w:id="9"/>
      </w:r>
      <w:r w:rsidRPr="004D0E4A">
        <w:rPr>
          <w:rFonts w:ascii="Times New Roman" w:hAnsi="Times New Roman" w:cs="David"/>
          <w:sz w:val="24"/>
          <w:szCs w:val="24"/>
          <w:rtl/>
          <w:lang w:bidi="he-IL"/>
        </w:rPr>
        <w:t>, לאחר מכן ביצוע שטרות בהוצל"פ</w:t>
      </w:r>
      <w:r w:rsidRPr="004D0E4A">
        <w:rPr>
          <w:rFonts w:ascii="Times New Roman" w:hAnsi="Times New Roman" w:cs="David"/>
          <w:sz w:val="24"/>
          <w:szCs w:val="24"/>
          <w:vertAlign w:val="superscript"/>
          <w:rtl/>
          <w:lang w:bidi="he-IL"/>
        </w:rPr>
        <w:footnoteReference w:id="10"/>
      </w:r>
      <w:r w:rsidRPr="004D0E4A">
        <w:rPr>
          <w:rFonts w:ascii="Times New Roman" w:hAnsi="Times New Roman" w:cs="David"/>
          <w:sz w:val="24"/>
          <w:szCs w:val="24"/>
          <w:rtl/>
          <w:lang w:bidi="he-IL"/>
        </w:rPr>
        <w:t xml:space="preserve"> והעברת  הליך להכרעה של בורר בהסכמת הצדדים</w:t>
      </w:r>
      <w:r w:rsidRPr="004D0E4A">
        <w:rPr>
          <w:rFonts w:ascii="Times New Roman" w:hAnsi="Times New Roman" w:cs="David"/>
          <w:sz w:val="24"/>
          <w:szCs w:val="24"/>
          <w:vertAlign w:val="superscript"/>
          <w:rtl/>
          <w:lang w:bidi="he-IL"/>
        </w:rPr>
        <w:footnoteReference w:id="11"/>
      </w:r>
      <w:r w:rsidRPr="004D0E4A">
        <w:rPr>
          <w:rFonts w:ascii="Times New Roman" w:hAnsi="Times New Roman" w:cs="David"/>
          <w:sz w:val="24"/>
          <w:szCs w:val="24"/>
          <w:rtl/>
          <w:lang w:bidi="he-IL"/>
        </w:rPr>
        <w:t xml:space="preserve"> .  בשנים האחרונות נחקקו פרוצדורות רבות,  שנועדו להקל על העומס – מתן סמכות להכרעה ב"פישור" אף ללא הנמקה באם הצדדים מסכימים לכך</w:t>
      </w:r>
      <w:r w:rsidRPr="004D0E4A">
        <w:rPr>
          <w:rFonts w:ascii="Times New Roman" w:hAnsi="Times New Roman" w:cs="David"/>
          <w:sz w:val="24"/>
          <w:szCs w:val="24"/>
          <w:vertAlign w:val="superscript"/>
          <w:rtl/>
          <w:lang w:bidi="he-IL"/>
        </w:rPr>
        <w:footnoteReference w:id="12"/>
      </w:r>
      <w:r w:rsidRPr="004D0E4A">
        <w:rPr>
          <w:rFonts w:ascii="Times New Roman" w:hAnsi="Times New Roman" w:cs="David"/>
          <w:sz w:val="24"/>
          <w:szCs w:val="24"/>
          <w:rtl/>
          <w:lang w:bidi="he-IL"/>
        </w:rPr>
        <w:t xml:space="preserve"> העברת סכסוך הנדון בבימ"ש לגישור</w:t>
      </w:r>
      <w:r w:rsidRPr="004D0E4A">
        <w:rPr>
          <w:rFonts w:ascii="Times New Roman" w:hAnsi="Times New Roman" w:cs="David"/>
          <w:sz w:val="24"/>
          <w:szCs w:val="24"/>
          <w:vertAlign w:val="superscript"/>
          <w:rtl/>
          <w:lang w:bidi="he-IL"/>
        </w:rPr>
        <w:footnoteReference w:id="13"/>
      </w:r>
      <w:r w:rsidRPr="004D0E4A">
        <w:rPr>
          <w:rFonts w:ascii="Times New Roman" w:hAnsi="Times New Roman" w:cs="David"/>
          <w:sz w:val="24"/>
          <w:szCs w:val="24"/>
          <w:rtl/>
          <w:lang w:bidi="he-IL"/>
        </w:rPr>
        <w:t>, ביצוע תובענה בהוצל"פ</w:t>
      </w:r>
      <w:r w:rsidRPr="004D0E4A">
        <w:rPr>
          <w:rFonts w:ascii="Times New Roman" w:hAnsi="Times New Roman" w:cs="David"/>
          <w:sz w:val="24"/>
          <w:szCs w:val="24"/>
          <w:vertAlign w:val="superscript"/>
          <w:rtl/>
          <w:lang w:bidi="he-IL"/>
        </w:rPr>
        <w:footnoteReference w:id="14"/>
      </w:r>
      <w:r w:rsidRPr="004D0E4A">
        <w:rPr>
          <w:rFonts w:ascii="Times New Roman" w:hAnsi="Times New Roman" w:cs="David"/>
          <w:sz w:val="24"/>
          <w:szCs w:val="24"/>
          <w:rtl/>
          <w:lang w:bidi="he-IL"/>
        </w:rPr>
        <w:t xml:space="preserve"> , הקמת מחלקות המנ"ת</w:t>
      </w:r>
      <w:r w:rsidRPr="004D0E4A">
        <w:rPr>
          <w:rFonts w:ascii="Times New Roman" w:hAnsi="Times New Roman" w:cs="David"/>
          <w:sz w:val="24"/>
          <w:szCs w:val="24"/>
          <w:vertAlign w:val="superscript"/>
          <w:rtl/>
          <w:lang w:bidi="he-IL"/>
        </w:rPr>
        <w:footnoteReference w:id="15"/>
      </w:r>
      <w:r w:rsidRPr="004D0E4A">
        <w:rPr>
          <w:rFonts w:ascii="Times New Roman" w:hAnsi="Times New Roman" w:cs="David"/>
          <w:sz w:val="24"/>
          <w:szCs w:val="24"/>
          <w:rtl/>
          <w:lang w:bidi="he-IL"/>
        </w:rPr>
        <w:t xml:space="preserve"> בבתי המשפט,  יצירת "סדר דין מהיר"</w:t>
      </w:r>
      <w:r w:rsidRPr="004D0E4A">
        <w:rPr>
          <w:rFonts w:ascii="Times New Roman" w:hAnsi="Times New Roman" w:cs="David"/>
          <w:sz w:val="24"/>
          <w:szCs w:val="24"/>
          <w:vertAlign w:val="superscript"/>
          <w:rtl/>
          <w:lang w:bidi="he-IL"/>
        </w:rPr>
        <w:footnoteReference w:id="16"/>
      </w:r>
      <w:r w:rsidRPr="004D0E4A">
        <w:rPr>
          <w:rFonts w:ascii="Times New Roman" w:hAnsi="Times New Roman" w:cs="David"/>
          <w:sz w:val="24"/>
          <w:szCs w:val="24"/>
          <w:rtl/>
          <w:lang w:bidi="he-IL"/>
        </w:rPr>
        <w:t xml:space="preserve">, חיוב  צדדים להתיצב לדיונים בבקשות רשות להגן והתנגדויות  כדי לבחון סיום הסכסוך בהסדר .הוספת פרק לתקנות לגבי יעול הדיון בתביעות פינוי </w:t>
      </w:r>
      <w:r w:rsidRPr="004D0E4A">
        <w:rPr>
          <w:rFonts w:ascii="Times New Roman" w:hAnsi="Times New Roman" w:cs="David"/>
          <w:sz w:val="24"/>
          <w:szCs w:val="24"/>
          <w:vertAlign w:val="superscript"/>
          <w:rtl/>
          <w:lang w:bidi="he-IL"/>
        </w:rPr>
        <w:footnoteReference w:id="17"/>
      </w:r>
      <w:r w:rsidRPr="004D0E4A">
        <w:rPr>
          <w:rFonts w:ascii="Times New Roman" w:hAnsi="Times New Roman" w:cs="David"/>
          <w:sz w:val="24"/>
          <w:szCs w:val="24"/>
          <w:rtl/>
          <w:lang w:bidi="he-IL"/>
        </w:rPr>
        <w:t xml:space="preserve"> פרוצדורה של "בקשה לישוב סכסוך" בבית המשפט למשפחה </w:t>
      </w:r>
      <w:r w:rsidRPr="004D0E4A">
        <w:rPr>
          <w:rFonts w:ascii="Times New Roman" w:hAnsi="Times New Roman" w:cs="David"/>
          <w:sz w:val="24"/>
          <w:szCs w:val="24"/>
          <w:vertAlign w:val="superscript"/>
          <w:rtl/>
          <w:lang w:bidi="he-IL"/>
        </w:rPr>
        <w:footnoteReference w:id="18"/>
      </w:r>
      <w:r w:rsidRPr="004D0E4A">
        <w:rPr>
          <w:rFonts w:ascii="Times New Roman" w:hAnsi="Times New Roman" w:cs="David"/>
          <w:sz w:val="24"/>
          <w:szCs w:val="24"/>
          <w:rtl/>
          <w:lang w:bidi="he-IL"/>
        </w:rPr>
        <w:t xml:space="preserve">ועוד. </w:t>
      </w:r>
      <w:r w:rsidRPr="004D0E4A">
        <w:rPr>
          <w:rFonts w:ascii="Times New Roman" w:hAnsi="Times New Roman" w:cs="David"/>
          <w:sz w:val="24"/>
          <w:szCs w:val="24"/>
          <w:vertAlign w:val="superscript"/>
          <w:rtl/>
          <w:lang w:bidi="he-IL"/>
        </w:rPr>
        <w:footnoteReference w:id="19"/>
      </w:r>
    </w:p>
    <w:p w:rsidR="005361DF" w:rsidRPr="004D0E4A" w:rsidRDefault="005361DF" w:rsidP="004D0E4A">
      <w:pPr>
        <w:numPr>
          <w:ilvl w:val="0"/>
          <w:numId w:val="1"/>
        </w:numPr>
        <w:tabs>
          <w:tab w:val="num" w:pos="-2692"/>
        </w:tabs>
        <w:bidi/>
        <w:spacing w:after="0" w:line="360" w:lineRule="auto"/>
        <w:ind w:left="368" w:hanging="360"/>
        <w:jc w:val="both"/>
        <w:rPr>
          <w:rFonts w:ascii="Times New Roman" w:hAnsi="Times New Roman" w:cs="David"/>
          <w:sz w:val="24"/>
          <w:szCs w:val="24"/>
          <w:lang w:bidi="he-IL"/>
        </w:rPr>
      </w:pPr>
      <w:r w:rsidRPr="004D0E4A">
        <w:rPr>
          <w:rFonts w:ascii="Times New Roman" w:hAnsi="Times New Roman" w:cs="David"/>
          <w:sz w:val="24"/>
          <w:szCs w:val="24"/>
          <w:rtl/>
          <w:lang w:bidi="he-IL"/>
        </w:rPr>
        <w:t xml:space="preserve">בנוסף, כאמור,  יצרה המערכת גם מנגנונים "חיצוניים" לניהול התיק –ישיבות גישור חיצוניות  ישיבות מהו"ת </w:t>
      </w:r>
      <w:r w:rsidRPr="004D0E4A">
        <w:rPr>
          <w:rFonts w:ascii="Times New Roman" w:hAnsi="Times New Roman" w:cs="David"/>
          <w:sz w:val="24"/>
          <w:szCs w:val="24"/>
          <w:vertAlign w:val="superscript"/>
          <w:rtl/>
          <w:lang w:bidi="he-IL"/>
        </w:rPr>
        <w:footnoteReference w:id="20"/>
      </w:r>
      <w:r w:rsidRPr="004D0E4A">
        <w:rPr>
          <w:rFonts w:ascii="Times New Roman" w:hAnsi="Times New Roman" w:cs="David"/>
          <w:sz w:val="24"/>
          <w:szCs w:val="24"/>
          <w:rtl/>
          <w:lang w:bidi="he-IL"/>
        </w:rPr>
        <w:t xml:space="preserve">ושלל ארועים שנועדו "לשלח" את המתדיין מביהמ"ש בו בחר להגיש את תביעתו, אל  "גורמים פרטיים ממומנים". זאת בנוסף על ההוראות הקיימות לגבי בוררות : - חוק הבוררות, סעיף 79ב  לחוק בתי המשפט-הפנית סכסוך לבוררות על ידי ביהמ"ש המטפל. </w:t>
      </w:r>
    </w:p>
    <w:p w:rsidR="005361DF" w:rsidRPr="004D0E4A" w:rsidRDefault="005361DF" w:rsidP="004D0E4A">
      <w:pPr>
        <w:numPr>
          <w:ilvl w:val="0"/>
          <w:numId w:val="1"/>
        </w:numPr>
        <w:tabs>
          <w:tab w:val="num" w:pos="-2692"/>
          <w:tab w:val="left" w:pos="368"/>
        </w:tabs>
        <w:bidi/>
        <w:spacing w:after="0" w:line="360" w:lineRule="auto"/>
        <w:ind w:left="368" w:hanging="360"/>
        <w:jc w:val="both"/>
        <w:rPr>
          <w:rFonts w:ascii="Times New Roman" w:hAnsi="Times New Roman" w:cs="David"/>
          <w:sz w:val="24"/>
          <w:szCs w:val="24"/>
          <w:lang w:bidi="he-IL"/>
        </w:rPr>
      </w:pPr>
      <w:r w:rsidRPr="004D0E4A">
        <w:rPr>
          <w:rFonts w:ascii="Times New Roman" w:hAnsi="Times New Roman" w:cs="David"/>
          <w:sz w:val="24"/>
          <w:szCs w:val="24"/>
          <w:rtl/>
          <w:lang w:bidi="he-IL"/>
        </w:rPr>
        <w:t xml:space="preserve">בסופו של יום כל המנגנונים, "יציר" המערכת לא גרמו להפחתת הפניות לבתי המשפט. </w:t>
      </w:r>
      <w:r w:rsidRPr="004D0E4A">
        <w:rPr>
          <w:rFonts w:ascii="Times New Roman" w:hAnsi="Times New Roman" w:cs="David"/>
          <w:sz w:val="24"/>
          <w:szCs w:val="24"/>
          <w:rtl/>
          <w:lang w:bidi="he-IL"/>
        </w:rPr>
        <w:tab/>
        <w:t>דומה כי הסיבה העיקרית שהאזרח ממשיך להתדפק על דלתות היכלי המשפט היא כי הוא מעוניין לנהל את סכסוכו במוסד הציבורי מדינתי, שכה עמל להרחיקו מעליו.</w:t>
      </w:r>
    </w:p>
    <w:p w:rsidR="005361DF" w:rsidRPr="004D0E4A" w:rsidRDefault="005361DF" w:rsidP="004D0E4A">
      <w:pPr>
        <w:tabs>
          <w:tab w:val="num" w:pos="-2692"/>
        </w:tabs>
        <w:bidi/>
        <w:spacing w:after="0" w:line="240" w:lineRule="auto"/>
        <w:ind w:left="368" w:hanging="360"/>
        <w:jc w:val="both"/>
        <w:rPr>
          <w:rFonts w:ascii="Times New Roman" w:hAnsi="Times New Roman" w:cs="David"/>
          <w:sz w:val="24"/>
          <w:szCs w:val="24"/>
          <w:rtl/>
          <w:lang w:bidi="he-IL"/>
        </w:rPr>
      </w:pPr>
    </w:p>
    <w:p w:rsidR="005361DF" w:rsidRPr="004D0E4A" w:rsidRDefault="005361DF" w:rsidP="004D0E4A">
      <w:pPr>
        <w:tabs>
          <w:tab w:val="num" w:pos="-2692"/>
        </w:tabs>
        <w:bidi/>
        <w:spacing w:after="0" w:line="240" w:lineRule="auto"/>
        <w:ind w:left="368" w:hanging="360"/>
        <w:jc w:val="both"/>
        <w:rPr>
          <w:rFonts w:ascii="Times New Roman" w:hAnsi="Times New Roman" w:cs="David"/>
          <w:sz w:val="24"/>
          <w:szCs w:val="24"/>
          <w:rtl/>
          <w:lang w:bidi="he-IL"/>
        </w:rPr>
      </w:pPr>
    </w:p>
    <w:p w:rsidR="005361DF" w:rsidRPr="004D0E4A" w:rsidRDefault="005361DF" w:rsidP="004D0E4A">
      <w:pPr>
        <w:numPr>
          <w:ilvl w:val="0"/>
          <w:numId w:val="1"/>
        </w:numPr>
        <w:tabs>
          <w:tab w:val="num" w:pos="-2692"/>
        </w:tabs>
        <w:bidi/>
        <w:spacing w:after="0" w:line="360" w:lineRule="auto"/>
        <w:ind w:left="368" w:hanging="360"/>
        <w:jc w:val="both"/>
        <w:rPr>
          <w:rFonts w:ascii="Times New Roman" w:hAnsi="Times New Roman" w:cs="David"/>
          <w:b/>
          <w:bCs/>
          <w:sz w:val="24"/>
          <w:szCs w:val="24"/>
          <w:u w:val="single"/>
          <w:lang w:bidi="he-IL"/>
        </w:rPr>
      </w:pPr>
      <w:r w:rsidRPr="004D0E4A">
        <w:rPr>
          <w:rFonts w:ascii="Times New Roman" w:hAnsi="Times New Roman" w:cs="David"/>
          <w:b/>
          <w:bCs/>
          <w:sz w:val="24"/>
          <w:szCs w:val="24"/>
          <w:u w:val="single"/>
          <w:rtl/>
          <w:lang w:bidi="he-IL"/>
        </w:rPr>
        <w:t xml:space="preserve">סיכום </w:t>
      </w:r>
    </w:p>
    <w:p w:rsidR="005361DF" w:rsidRPr="004D0E4A" w:rsidRDefault="005361DF" w:rsidP="004D0E4A">
      <w:pPr>
        <w:bidi/>
        <w:spacing w:after="0" w:line="360" w:lineRule="auto"/>
        <w:ind w:left="8"/>
        <w:jc w:val="both"/>
        <w:rPr>
          <w:rFonts w:ascii="Times New Roman" w:hAnsi="Times New Roman" w:cs="David"/>
          <w:b/>
          <w:bCs/>
          <w:sz w:val="24"/>
          <w:szCs w:val="24"/>
          <w:rtl/>
          <w:lang w:bidi="he-IL"/>
        </w:rPr>
      </w:pPr>
      <w:r w:rsidRPr="004D0E4A">
        <w:rPr>
          <w:rFonts w:ascii="Times New Roman" w:hAnsi="Times New Roman" w:cs="David"/>
          <w:b/>
          <w:bCs/>
          <w:sz w:val="24"/>
          <w:szCs w:val="24"/>
          <w:rtl/>
          <w:lang w:bidi="he-IL"/>
        </w:rPr>
        <w:t xml:space="preserve">נראה כי במקום לנסות ולהפריט את עצמה לדעת, (כפי שקרה בכשלון רב במערכות אחרות), לבזבז משאבים יקרים על הקמת מנגנונים מיותרים ובחינת שאלות מיותרות, רצוי כי המערכת  תבחן ישום יעיל ואולי שיפור של המנגנונים שכבר הקימה.  המערכת מנסה "להמציא" כל פעם מחדש פתרון שנראה על פניו קל. בפועל יצירת מנגנון חדש בכל פעם, לפני שמוצו הקיימים, רק יוצר חוסר יעילות גדול יותר במקום לפתור את הבעיות האמיתיות הקיימות במערכת המשפט.  </w:t>
      </w:r>
    </w:p>
    <w:p w:rsidR="005361DF" w:rsidRPr="004D0E4A" w:rsidRDefault="005361DF" w:rsidP="004D0E4A">
      <w:pPr>
        <w:bidi/>
        <w:spacing w:after="0" w:line="360" w:lineRule="auto"/>
        <w:ind w:left="8"/>
        <w:jc w:val="both"/>
        <w:rPr>
          <w:rFonts w:ascii="Times New Roman" w:hAnsi="Times New Roman" w:cs="David"/>
          <w:b/>
          <w:bCs/>
          <w:sz w:val="24"/>
          <w:szCs w:val="24"/>
          <w:rtl/>
          <w:lang w:bidi="he-IL"/>
        </w:rPr>
      </w:pPr>
    </w:p>
    <w:p w:rsidR="005361DF" w:rsidRPr="004D0E4A" w:rsidRDefault="005361DF" w:rsidP="004D0E4A">
      <w:pPr>
        <w:bidi/>
        <w:spacing w:after="0" w:line="360" w:lineRule="auto"/>
        <w:ind w:left="8"/>
        <w:jc w:val="both"/>
        <w:rPr>
          <w:rFonts w:ascii="Times New Roman" w:hAnsi="Times New Roman" w:cs="David"/>
          <w:b/>
          <w:bCs/>
          <w:sz w:val="24"/>
          <w:szCs w:val="24"/>
          <w:rtl/>
          <w:lang w:bidi="he-IL"/>
        </w:rPr>
      </w:pPr>
    </w:p>
    <w:p w:rsidR="005361DF" w:rsidRPr="004D0E4A" w:rsidRDefault="005361DF" w:rsidP="004D0E4A">
      <w:pPr>
        <w:bidi/>
        <w:spacing w:after="0" w:line="360" w:lineRule="auto"/>
        <w:ind w:left="8"/>
        <w:jc w:val="both"/>
        <w:rPr>
          <w:rFonts w:ascii="Times New Roman" w:hAnsi="Times New Roman" w:cs="David"/>
          <w:b/>
          <w:bCs/>
          <w:sz w:val="24"/>
          <w:szCs w:val="24"/>
          <w:rtl/>
          <w:lang w:bidi="he-IL"/>
        </w:rPr>
      </w:pPr>
    </w:p>
    <w:p w:rsidR="005361DF" w:rsidRPr="004D0E4A" w:rsidRDefault="005361DF" w:rsidP="004D0E4A">
      <w:pPr>
        <w:bidi/>
        <w:spacing w:after="0" w:line="360" w:lineRule="auto"/>
        <w:ind w:left="8"/>
        <w:jc w:val="both"/>
        <w:rPr>
          <w:rFonts w:ascii="Times New Roman" w:hAnsi="Times New Roman" w:cs="David"/>
          <w:b/>
          <w:bCs/>
          <w:sz w:val="24"/>
          <w:szCs w:val="24"/>
          <w:rtl/>
          <w:lang w:bidi="he-IL"/>
        </w:rPr>
      </w:pPr>
    </w:p>
    <w:p w:rsidR="005361DF" w:rsidRPr="004D0E4A" w:rsidRDefault="005361DF" w:rsidP="004D0E4A">
      <w:pPr>
        <w:bidi/>
        <w:spacing w:after="0" w:line="360" w:lineRule="auto"/>
        <w:ind w:left="8"/>
        <w:jc w:val="both"/>
        <w:rPr>
          <w:rFonts w:ascii="Times New Roman" w:hAnsi="Times New Roman" w:cs="David"/>
          <w:b/>
          <w:bCs/>
          <w:sz w:val="24"/>
          <w:szCs w:val="24"/>
          <w:rtl/>
          <w:lang w:bidi="he-IL"/>
        </w:rPr>
      </w:pPr>
    </w:p>
    <w:p w:rsidR="005361DF" w:rsidRPr="004D0E4A" w:rsidRDefault="005361DF" w:rsidP="004D0E4A">
      <w:pPr>
        <w:bidi/>
        <w:spacing w:after="0" w:line="360" w:lineRule="auto"/>
        <w:ind w:left="8"/>
        <w:jc w:val="both"/>
        <w:rPr>
          <w:rFonts w:ascii="Times New Roman" w:hAnsi="Times New Roman" w:cs="David"/>
          <w:b/>
          <w:bCs/>
          <w:sz w:val="24"/>
          <w:szCs w:val="24"/>
          <w:rtl/>
          <w:lang w:bidi="he-IL"/>
        </w:rPr>
      </w:pPr>
    </w:p>
    <w:p w:rsidR="005361DF" w:rsidRPr="004D0E4A" w:rsidRDefault="005361DF" w:rsidP="004D0E4A">
      <w:pPr>
        <w:bidi/>
        <w:spacing w:after="0" w:line="360" w:lineRule="auto"/>
        <w:ind w:left="8"/>
        <w:jc w:val="both"/>
        <w:rPr>
          <w:rFonts w:ascii="Times New Roman" w:hAnsi="Times New Roman" w:cs="David"/>
          <w:b/>
          <w:bCs/>
          <w:sz w:val="24"/>
          <w:szCs w:val="24"/>
          <w:lang w:bidi="he-IL"/>
        </w:rPr>
      </w:pPr>
    </w:p>
    <w:p w:rsidR="005361DF" w:rsidRPr="004D0E4A" w:rsidRDefault="005361DF" w:rsidP="004D0E4A">
      <w:pPr>
        <w:tabs>
          <w:tab w:val="num" w:pos="-2692"/>
        </w:tabs>
        <w:bidi/>
        <w:spacing w:after="0" w:line="360" w:lineRule="auto"/>
        <w:ind w:left="368" w:hanging="360"/>
        <w:jc w:val="both"/>
        <w:rPr>
          <w:rFonts w:ascii="Times New Roman" w:hAnsi="Times New Roman" w:cs="David"/>
          <w:sz w:val="24"/>
          <w:szCs w:val="24"/>
          <w:rtl/>
          <w:lang w:bidi="he-IL"/>
        </w:rPr>
      </w:pPr>
    </w:p>
    <w:p w:rsidR="005361DF" w:rsidRPr="004D0E4A" w:rsidRDefault="005361DF" w:rsidP="004D0E4A">
      <w:pPr>
        <w:tabs>
          <w:tab w:val="num" w:pos="-2692"/>
        </w:tabs>
        <w:bidi/>
        <w:spacing w:after="0" w:line="360" w:lineRule="auto"/>
        <w:ind w:left="368" w:hanging="360"/>
        <w:jc w:val="right"/>
        <w:rPr>
          <w:rFonts w:ascii="Times New Roman" w:hAnsi="Times New Roman" w:cs="David"/>
          <w:sz w:val="24"/>
          <w:szCs w:val="24"/>
          <w:rtl/>
          <w:lang w:bidi="he-IL"/>
        </w:rPr>
      </w:pPr>
      <w:r w:rsidRPr="004D0E4A">
        <w:rPr>
          <w:rFonts w:ascii="Times New Roman" w:hAnsi="Times New Roman" w:cs="David"/>
          <w:sz w:val="24"/>
          <w:szCs w:val="24"/>
          <w:rtl/>
          <w:lang w:bidi="he-IL"/>
        </w:rPr>
        <w:t>בכבוד רב ובברכה</w:t>
      </w:r>
    </w:p>
    <w:p w:rsidR="005361DF" w:rsidRPr="004D0E4A" w:rsidRDefault="005361DF" w:rsidP="004D0E4A">
      <w:pPr>
        <w:tabs>
          <w:tab w:val="num" w:pos="-2692"/>
        </w:tabs>
        <w:bidi/>
        <w:spacing w:after="0" w:line="360" w:lineRule="auto"/>
        <w:ind w:left="368" w:hanging="360"/>
        <w:jc w:val="right"/>
        <w:rPr>
          <w:rFonts w:cs="David"/>
          <w:lang w:bidi="he-IL"/>
        </w:rPr>
      </w:pPr>
      <w:r w:rsidRPr="004D0E4A">
        <w:rPr>
          <w:rFonts w:ascii="Times New Roman" w:hAnsi="Times New Roman" w:cs="David"/>
          <w:sz w:val="24"/>
          <w:szCs w:val="24"/>
          <w:rtl/>
          <w:lang w:bidi="he-IL"/>
        </w:rPr>
        <w:t xml:space="preserve">יחזקאל סיבק, עו"ד </w:t>
      </w:r>
    </w:p>
    <w:p w:rsidR="005361DF" w:rsidRPr="004D0E4A" w:rsidRDefault="005361DF" w:rsidP="004D0E4A"/>
    <w:p w:rsidR="005361DF" w:rsidRDefault="005361DF"/>
    <w:sectPr w:rsidR="005361DF" w:rsidSect="0052311D">
      <w:pgSz w:w="11906" w:h="16838"/>
      <w:pgMar w:top="1440" w:right="1584" w:bottom="1440" w:left="1584" w:header="706" w:footer="706" w:gutter="0"/>
      <w:pgBorders>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61DF" w:rsidRDefault="005361DF" w:rsidP="004D0E4A">
      <w:pPr>
        <w:spacing w:after="0" w:line="240" w:lineRule="auto"/>
      </w:pPr>
      <w:r>
        <w:separator/>
      </w:r>
    </w:p>
  </w:endnote>
  <w:endnote w:type="continuationSeparator" w:id="1">
    <w:p w:rsidR="005361DF" w:rsidRDefault="005361DF" w:rsidP="004D0E4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David">
    <w:panose1 w:val="00000000000000000000"/>
    <w:charset w:val="B1"/>
    <w:family w:val="auto"/>
    <w:pitch w:val="variable"/>
    <w:sig w:usb0="00000801" w:usb1="00000000" w:usb2="00000000" w:usb3="00000000" w:csb0="00000020" w:csb1="00000000"/>
  </w:font>
  <w:font w:name="FrankRuehl">
    <w:panose1 w:val="00000000000000000000"/>
    <w:charset w:val="B1"/>
    <w:family w:val="auto"/>
    <w:pitch w:val="variable"/>
    <w:sig w:usb0="00000801" w:usb1="00000000" w:usb2="00000000" w:usb3="00000000" w:csb0="00000020" w:csb1="00000000"/>
  </w:font>
  <w:font w:name="Arial-BoldMT">
    <w:panose1 w:val="00000000000000000000"/>
    <w:charset w:val="B1"/>
    <w:family w:val="auto"/>
    <w:notTrueType/>
    <w:pitch w:val="default"/>
    <w:sig w:usb0="00000801" w:usb1="00000000" w:usb2="00000000" w:usb3="00000000" w:csb0="00000020" w:csb1="00000000"/>
  </w:font>
  <w:font w:name="HadasaMFOMedium">
    <w:panose1 w:val="00000000000000000000"/>
    <w:charset w:val="B1"/>
    <w:family w:val="auto"/>
    <w:notTrueType/>
    <w:pitch w:val="default"/>
    <w:sig w:usb0="00000801" w:usb1="00000000" w:usb2="00000000" w:usb3="00000000" w:csb0="0000002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61DF" w:rsidRDefault="005361DF" w:rsidP="004D0E4A">
      <w:pPr>
        <w:spacing w:after="0" w:line="240" w:lineRule="auto"/>
      </w:pPr>
      <w:r>
        <w:separator/>
      </w:r>
    </w:p>
  </w:footnote>
  <w:footnote w:type="continuationSeparator" w:id="1">
    <w:p w:rsidR="005361DF" w:rsidRDefault="005361DF" w:rsidP="004D0E4A">
      <w:pPr>
        <w:spacing w:after="0" w:line="240" w:lineRule="auto"/>
      </w:pPr>
      <w:r>
        <w:continuationSeparator/>
      </w:r>
    </w:p>
  </w:footnote>
  <w:footnote w:id="2">
    <w:p w:rsidR="005361DF" w:rsidRDefault="005361DF" w:rsidP="004D0E4A">
      <w:pPr>
        <w:pStyle w:val="FootnoteText"/>
        <w:bidi/>
        <w:jc w:val="both"/>
      </w:pPr>
      <w:r>
        <w:rPr>
          <w:rStyle w:val="FootnoteReference"/>
        </w:rPr>
        <w:footnoteRef/>
      </w:r>
      <w:hyperlink r:id="rId1" w:anchor="Seif46" w:history="1">
        <w:r w:rsidRPr="007B7978">
          <w:rPr>
            <w:rStyle w:val="Hyperlink"/>
          </w:rPr>
          <w:t>http://www.nevo.co.il/Law_word/law01/031_001.doc#Seif46</w:t>
        </w:r>
      </w:hyperlink>
      <w:r>
        <w:rPr>
          <w:rFonts w:hint="cs"/>
          <w:rtl/>
          <w:lang w:bidi="he-IL"/>
        </w:rPr>
        <w:t>חוקהבוררות</w:t>
      </w:r>
    </w:p>
  </w:footnote>
  <w:footnote w:id="3">
    <w:p w:rsidR="005361DF" w:rsidRDefault="005361DF" w:rsidP="004D0E4A">
      <w:pPr>
        <w:pStyle w:val="FootnoteText"/>
        <w:bidi/>
      </w:pPr>
      <w:r>
        <w:rPr>
          <w:rStyle w:val="FootnoteReference"/>
        </w:rPr>
        <w:footnoteRef/>
      </w:r>
      <w:r>
        <w:rPr>
          <w:rFonts w:cs="FrankRuehl" w:hint="cs"/>
          <w:sz w:val="32"/>
          <w:rtl/>
          <w:lang w:bidi="he-IL"/>
        </w:rPr>
        <w:t>חוקהבוררות</w:t>
      </w:r>
      <w:r>
        <w:rPr>
          <w:rFonts w:cs="FrankRuehl"/>
          <w:sz w:val="32"/>
          <w:rtl/>
        </w:rPr>
        <w:t xml:space="preserve">, </w:t>
      </w:r>
      <w:r>
        <w:rPr>
          <w:rFonts w:cs="FrankRuehl" w:hint="cs"/>
          <w:sz w:val="32"/>
          <w:rtl/>
          <w:lang w:bidi="he-IL"/>
        </w:rPr>
        <w:t>תשכ</w:t>
      </w:r>
      <w:r>
        <w:rPr>
          <w:rFonts w:cs="FrankRuehl"/>
          <w:sz w:val="32"/>
          <w:rtl/>
        </w:rPr>
        <w:t>"</w:t>
      </w:r>
      <w:r>
        <w:rPr>
          <w:rFonts w:cs="FrankRuehl" w:hint="cs"/>
          <w:sz w:val="32"/>
          <w:rtl/>
          <w:lang w:bidi="he-IL"/>
        </w:rPr>
        <w:t>ח</w:t>
      </w:r>
      <w:r>
        <w:rPr>
          <w:rFonts w:cs="FrankRuehl"/>
          <w:sz w:val="32"/>
          <w:rtl/>
        </w:rPr>
        <w:t xml:space="preserve">-1968 </w:t>
      </w:r>
      <w:r>
        <w:rPr>
          <w:rFonts w:hint="cs"/>
          <w:rtl/>
          <w:lang w:bidi="he-IL"/>
        </w:rPr>
        <w:t>פרקאלחוק</w:t>
      </w:r>
      <w:r>
        <w:rPr>
          <w:rtl/>
        </w:rPr>
        <w:t>"</w:t>
      </w:r>
      <w:r>
        <w:rPr>
          <w:rFonts w:hint="cs"/>
          <w:rtl/>
          <w:lang w:bidi="he-IL"/>
        </w:rPr>
        <w:t>פרשנות</w:t>
      </w:r>
      <w:r>
        <w:rPr>
          <w:rtl/>
        </w:rPr>
        <w:t xml:space="preserve">" , </w:t>
      </w:r>
      <w:r>
        <w:rPr>
          <w:rFonts w:hint="cs"/>
          <w:rtl/>
          <w:lang w:bidi="he-IL"/>
        </w:rPr>
        <w:t>פרקב</w:t>
      </w:r>
      <w:r>
        <w:rPr>
          <w:rtl/>
        </w:rPr>
        <w:t>' "</w:t>
      </w:r>
      <w:r>
        <w:rPr>
          <w:rFonts w:hint="cs"/>
          <w:rtl/>
          <w:lang w:bidi="he-IL"/>
        </w:rPr>
        <w:t>הסכםבוררות</w:t>
      </w:r>
      <w:r>
        <w:rPr>
          <w:rtl/>
        </w:rPr>
        <w:t xml:space="preserve">" </w:t>
      </w:r>
      <w:r w:rsidRPr="00612326">
        <w:t>http://www.nevo.co.il/law_html/law01/031_001.htm#med1</w:t>
      </w:r>
    </w:p>
  </w:footnote>
  <w:footnote w:id="4">
    <w:p w:rsidR="005361DF" w:rsidRDefault="005361DF" w:rsidP="004D0E4A">
      <w:pPr>
        <w:pStyle w:val="FootnoteText"/>
        <w:bidi/>
      </w:pPr>
      <w:r>
        <w:rPr>
          <w:rStyle w:val="FootnoteReference"/>
        </w:rPr>
        <w:footnoteRef/>
      </w:r>
      <w:r>
        <w:rPr>
          <w:rFonts w:hint="cs"/>
          <w:rtl/>
          <w:lang w:bidi="he-IL"/>
        </w:rPr>
        <w:t>סעיף</w:t>
      </w:r>
      <w:r>
        <w:rPr>
          <w:rtl/>
        </w:rPr>
        <w:t xml:space="preserve">79 </w:t>
      </w:r>
      <w:r>
        <w:rPr>
          <w:rFonts w:hint="cs"/>
          <w:rtl/>
          <w:lang w:bidi="he-IL"/>
        </w:rPr>
        <w:t>ב</w:t>
      </w:r>
      <w:r>
        <w:rPr>
          <w:rtl/>
        </w:rPr>
        <w:t xml:space="preserve">' </w:t>
      </w:r>
      <w:r>
        <w:rPr>
          <w:rFonts w:hint="cs"/>
          <w:rtl/>
          <w:lang w:bidi="he-IL"/>
        </w:rPr>
        <w:t>לחוקבתיהמשפט</w:t>
      </w:r>
    </w:p>
  </w:footnote>
  <w:footnote w:id="5">
    <w:p w:rsidR="005361DF" w:rsidRDefault="005361DF" w:rsidP="004D0E4A">
      <w:pPr>
        <w:pStyle w:val="FootnoteText"/>
        <w:jc w:val="right"/>
      </w:pPr>
      <w:r w:rsidRPr="00251D22">
        <w:rPr>
          <w:rFonts w:ascii="Times New Roman" w:hAnsi="Times New Roman" w:cs="David"/>
          <w:sz w:val="24"/>
          <w:szCs w:val="24"/>
          <w:rtl/>
          <w:lang w:bidi="he-IL"/>
        </w:rPr>
        <w:t xml:space="preserve">– </w:t>
      </w:r>
      <w:r w:rsidRPr="0052311D">
        <w:rPr>
          <w:rFonts w:ascii="Times New Roman" w:hAnsi="Times New Roman" w:cs="David"/>
          <w:rtl/>
          <w:lang w:bidi="he-IL"/>
        </w:rPr>
        <w:t xml:space="preserve">ראה חוק בית הדין לעבודה התשכ"ט 1969, סע' 10. </w:t>
      </w:r>
      <w:r>
        <w:rPr>
          <w:rStyle w:val="FootnoteReference"/>
        </w:rPr>
        <w:footnoteRef/>
      </w:r>
    </w:p>
  </w:footnote>
  <w:footnote w:id="6">
    <w:p w:rsidR="005361DF" w:rsidRDefault="005361DF" w:rsidP="00187E4C">
      <w:pPr>
        <w:pStyle w:val="FootnoteText"/>
        <w:jc w:val="right"/>
      </w:pPr>
      <w:r w:rsidRPr="00187E4C">
        <w:rPr>
          <w:rFonts w:cs="David" w:hint="cs"/>
          <w:rtl/>
          <w:lang w:bidi="he-IL"/>
        </w:rPr>
        <w:t>השווה</w:t>
      </w:r>
      <w:r w:rsidRPr="00187E4C">
        <w:rPr>
          <w:rFonts w:cs="David"/>
          <w:rtl/>
          <w:lang w:bidi="he-IL"/>
        </w:rPr>
        <w:t xml:space="preserve"> </w:t>
      </w:r>
      <w:r w:rsidRPr="00187E4C">
        <w:rPr>
          <w:rFonts w:cs="David" w:hint="cs"/>
          <w:rtl/>
          <w:lang w:bidi="he-IL"/>
        </w:rPr>
        <w:t>לענין</w:t>
      </w:r>
      <w:r w:rsidRPr="00187E4C">
        <w:rPr>
          <w:rFonts w:cs="David"/>
          <w:rtl/>
          <w:lang w:bidi="he-IL"/>
        </w:rPr>
        <w:t xml:space="preserve"> </w:t>
      </w:r>
      <w:r w:rsidRPr="00187E4C">
        <w:rPr>
          <w:rFonts w:cs="David" w:hint="cs"/>
          <w:rtl/>
          <w:lang w:bidi="he-IL"/>
        </w:rPr>
        <w:t>זה</w:t>
      </w:r>
      <w:r w:rsidRPr="00187E4C">
        <w:rPr>
          <w:rFonts w:cs="David"/>
          <w:rtl/>
          <w:lang w:bidi="he-IL"/>
        </w:rPr>
        <w:t xml:space="preserve"> </w:t>
      </w:r>
      <w:r w:rsidRPr="00187E4C">
        <w:rPr>
          <w:rFonts w:cs="David" w:hint="cs"/>
          <w:rtl/>
          <w:lang w:bidi="he-IL"/>
        </w:rPr>
        <w:t>הצעת</w:t>
      </w:r>
      <w:r w:rsidRPr="00187E4C">
        <w:rPr>
          <w:rFonts w:cs="David"/>
          <w:rtl/>
          <w:lang w:bidi="he-IL"/>
        </w:rPr>
        <w:t xml:space="preserve"> </w:t>
      </w:r>
      <w:r w:rsidRPr="00187E4C">
        <w:rPr>
          <w:rFonts w:cs="David" w:hint="cs"/>
          <w:rtl/>
          <w:lang w:bidi="he-IL"/>
        </w:rPr>
        <w:t>החוק</w:t>
      </w:r>
      <w:r w:rsidRPr="00187E4C">
        <w:rPr>
          <w:rFonts w:cs="David"/>
          <w:rtl/>
          <w:lang w:bidi="he-IL"/>
        </w:rPr>
        <w:t xml:space="preserve"> </w:t>
      </w:r>
      <w:r w:rsidRPr="00187E4C">
        <w:rPr>
          <w:rFonts w:cs="David" w:hint="cs"/>
          <w:rtl/>
          <w:lang w:bidi="he-IL"/>
        </w:rPr>
        <w:t>של</w:t>
      </w:r>
      <w:r w:rsidRPr="00187E4C">
        <w:rPr>
          <w:rFonts w:cs="David"/>
          <w:rtl/>
          <w:lang w:bidi="he-IL"/>
        </w:rPr>
        <w:t xml:space="preserve"> </w:t>
      </w:r>
      <w:r w:rsidRPr="00187E4C">
        <w:rPr>
          <w:rFonts w:cs="David" w:hint="cs"/>
          <w:rtl/>
          <w:lang w:bidi="he-IL"/>
        </w:rPr>
        <w:t>ח</w:t>
      </w:r>
      <w:r w:rsidRPr="00187E4C">
        <w:rPr>
          <w:rFonts w:cs="David"/>
          <w:rtl/>
          <w:lang w:bidi="he-IL"/>
        </w:rPr>
        <w:t>"</w:t>
      </w:r>
      <w:r w:rsidRPr="00187E4C">
        <w:rPr>
          <w:rFonts w:cs="David" w:hint="cs"/>
          <w:rtl/>
          <w:lang w:bidi="he-IL"/>
        </w:rPr>
        <w:t>כ</w:t>
      </w:r>
      <w:r w:rsidRPr="00187E4C">
        <w:rPr>
          <w:rFonts w:cs="David"/>
          <w:rtl/>
          <w:lang w:bidi="he-IL"/>
        </w:rPr>
        <w:t xml:space="preserve"> </w:t>
      </w:r>
      <w:r w:rsidRPr="00187E4C">
        <w:rPr>
          <w:rFonts w:cs="David" w:hint="cs"/>
          <w:rtl/>
          <w:lang w:bidi="he-IL"/>
        </w:rPr>
        <w:t>לוין</w:t>
      </w:r>
      <w:r w:rsidRPr="009B1DBD">
        <w:rPr>
          <w:rFonts w:ascii="Arial" w:hAnsi="Arial" w:cs="David"/>
          <w:b/>
          <w:bCs/>
          <w:color w:val="000000"/>
          <w:rtl/>
          <w:lang w:eastAsia="ja-JP" w:bidi="he-IL"/>
        </w:rPr>
        <w:t xml:space="preserve">הצעת חוק הבוררות (תיקון – בוררות חובה בתובענה </w:t>
      </w:r>
      <w:r w:rsidRPr="00187E4C">
        <w:rPr>
          <w:rFonts w:ascii="Arial" w:hAnsi="Arial" w:cs="David"/>
          <w:b/>
          <w:bCs/>
          <w:color w:val="000000"/>
          <w:rtl/>
          <w:lang w:eastAsia="ja-JP" w:bidi="he-IL"/>
        </w:rPr>
        <w:t>כ</w:t>
      </w:r>
      <w:r w:rsidRPr="009B1DBD">
        <w:rPr>
          <w:rFonts w:ascii="Arial" w:hAnsi="Arial" w:cs="David"/>
          <w:b/>
          <w:bCs/>
          <w:color w:val="000000"/>
          <w:rtl/>
          <w:lang w:eastAsia="ja-JP" w:bidi="he-IL"/>
        </w:rPr>
        <w:t>ספית), התשע"א–2011</w:t>
      </w:r>
      <w:r>
        <w:rPr>
          <w:rStyle w:val="FootnoteReference"/>
        </w:rPr>
        <w:footnoteRef/>
      </w:r>
    </w:p>
  </w:footnote>
  <w:footnote w:id="7">
    <w:p w:rsidR="005361DF" w:rsidRDefault="005361DF" w:rsidP="004D0E4A">
      <w:pPr>
        <w:autoSpaceDE w:val="0"/>
        <w:autoSpaceDN w:val="0"/>
        <w:bidi/>
        <w:adjustRightInd w:val="0"/>
        <w:jc w:val="both"/>
      </w:pPr>
      <w:r w:rsidRPr="00C627F3">
        <w:rPr>
          <w:rStyle w:val="FootnoteReference"/>
          <w:rFonts w:cs="David"/>
          <w:sz w:val="18"/>
          <w:szCs w:val="18"/>
          <w:lang w:bidi="he-IL"/>
        </w:rPr>
        <w:footnoteRef/>
      </w:r>
      <w:r w:rsidRPr="00C627F3">
        <w:rPr>
          <w:rFonts w:cs="David" w:hint="cs"/>
          <w:sz w:val="18"/>
          <w:szCs w:val="20"/>
          <w:rtl/>
          <w:lang w:bidi="he-IL"/>
        </w:rPr>
        <w:t>דו</w:t>
      </w:r>
      <w:r w:rsidRPr="00C627F3">
        <w:rPr>
          <w:rFonts w:ascii="Arial-BoldMT" w:eastAsia="Times New Roman" w:cs="David"/>
          <w:sz w:val="20"/>
          <w:szCs w:val="18"/>
          <w:lang w:bidi="he-IL"/>
        </w:rPr>
        <w:t>"</w:t>
      </w:r>
      <w:r w:rsidRPr="00C627F3">
        <w:rPr>
          <w:rFonts w:cs="David" w:hint="cs"/>
          <w:sz w:val="18"/>
          <w:szCs w:val="20"/>
          <w:rtl/>
          <w:lang w:bidi="he-IL"/>
        </w:rPr>
        <w:t>חהועדהלבחינתדרכיייעולההליכיםהמשפטייםבראשותכבודהשופטת</w:t>
      </w:r>
      <w:smartTag w:uri="urn:schemas-microsoft-com:office:smarttags" w:element="PersonName">
        <w:smartTagPr>
          <w:attr w:name="ProductID" w:val="רות רונן"/>
        </w:smartTagPr>
        <w:r w:rsidRPr="00C627F3">
          <w:rPr>
            <w:rFonts w:cs="David" w:hint="cs"/>
            <w:sz w:val="18"/>
            <w:szCs w:val="20"/>
            <w:rtl/>
            <w:lang w:bidi="he-IL"/>
          </w:rPr>
          <w:t>רותרונן</w:t>
        </w:r>
      </w:smartTag>
      <w:r w:rsidRPr="00C627F3">
        <w:rPr>
          <w:rFonts w:cs="David" w:hint="cs"/>
          <w:sz w:val="18"/>
          <w:szCs w:val="20"/>
          <w:rtl/>
          <w:lang w:bidi="he-IL"/>
        </w:rPr>
        <w:t>יוני</w:t>
      </w:r>
      <w:r w:rsidRPr="00C627F3">
        <w:rPr>
          <w:rFonts w:ascii="Arial-BoldMT" w:eastAsia="Times New Roman" w:cs="David"/>
          <w:sz w:val="20"/>
          <w:szCs w:val="18"/>
          <w:lang w:bidi="he-IL"/>
        </w:rPr>
        <w:t xml:space="preserve"> 2008</w:t>
      </w:r>
    </w:p>
  </w:footnote>
  <w:footnote w:id="8">
    <w:p w:rsidR="005361DF" w:rsidRDefault="005361DF" w:rsidP="004D0E4A">
      <w:pPr>
        <w:shd w:val="clear" w:color="auto" w:fill="FFFFFF"/>
        <w:bidi/>
        <w:spacing w:line="240" w:lineRule="auto"/>
        <w:jc w:val="both"/>
      </w:pPr>
      <w:r w:rsidRPr="00612326">
        <w:rPr>
          <w:rStyle w:val="FootnoteReference"/>
          <w:sz w:val="16"/>
          <w:szCs w:val="16"/>
        </w:rPr>
        <w:footnoteRef/>
      </w:r>
      <w:hyperlink r:id="rId2" w:history="1">
        <w:r w:rsidRPr="00C627F3">
          <w:rPr>
            <w:rStyle w:val="Hyperlink"/>
            <w:rFonts w:cs="David"/>
            <w:sz w:val="16"/>
            <w:szCs w:val="16"/>
            <w:lang w:bidi="he-IL"/>
          </w:rPr>
          <w:t>http://www.israelbar.org.il/article_inner.asp?pgId=115026&amp;catId=6</w:t>
        </w:r>
      </w:hyperlink>
      <w:r w:rsidRPr="00C627F3">
        <w:rPr>
          <w:rFonts w:ascii="Arial" w:hAnsi="Arial" w:cs="David"/>
          <w:color w:val="000000"/>
          <w:sz w:val="20"/>
          <w:szCs w:val="20"/>
          <w:rtl/>
          <w:lang w:bidi="he-IL"/>
        </w:rPr>
        <w:t>דברי יו</w:t>
      </w:r>
      <w:r w:rsidRPr="00C627F3">
        <w:rPr>
          <w:rFonts w:ascii="Arial" w:hAnsi="Arial" w:cs="David"/>
          <w:color w:val="000000"/>
          <w:sz w:val="20"/>
          <w:szCs w:val="20"/>
          <w:rtl/>
        </w:rPr>
        <w:t>"</w:t>
      </w:r>
      <w:r w:rsidRPr="00C627F3">
        <w:rPr>
          <w:rFonts w:ascii="Arial" w:hAnsi="Arial" w:cs="David"/>
          <w:color w:val="000000"/>
          <w:sz w:val="20"/>
          <w:szCs w:val="20"/>
          <w:rtl/>
          <w:lang w:bidi="he-IL"/>
        </w:rPr>
        <w:t>ר הלשכה דאז עו</w:t>
      </w:r>
      <w:r w:rsidRPr="00C627F3">
        <w:rPr>
          <w:rFonts w:ascii="Arial" w:hAnsi="Arial" w:cs="David"/>
          <w:color w:val="000000"/>
          <w:sz w:val="20"/>
          <w:szCs w:val="20"/>
          <w:rtl/>
        </w:rPr>
        <w:t>"</w:t>
      </w:r>
      <w:r w:rsidRPr="00C627F3">
        <w:rPr>
          <w:rFonts w:ascii="Arial" w:hAnsi="Arial" w:cs="David"/>
          <w:color w:val="000000"/>
          <w:sz w:val="20"/>
          <w:szCs w:val="20"/>
          <w:rtl/>
          <w:lang w:bidi="he-IL"/>
        </w:rPr>
        <w:t>ד יורי גיא רון</w:t>
      </w:r>
      <w:r>
        <w:rPr>
          <w:rFonts w:ascii="Arial" w:hAnsi="Arial" w:cs="David"/>
          <w:color w:val="000000"/>
          <w:sz w:val="20"/>
          <w:szCs w:val="20"/>
          <w:rtl/>
          <w:lang w:bidi="he-IL"/>
        </w:rPr>
        <w:t>:"</w:t>
      </w:r>
      <w:r w:rsidRPr="00C627F3">
        <w:rPr>
          <w:rFonts w:ascii="Arial" w:hAnsi="Arial" w:cs="David"/>
          <w:color w:val="000000"/>
          <w:sz w:val="20"/>
          <w:szCs w:val="20"/>
          <w:rtl/>
          <w:lang w:bidi="he-IL"/>
        </w:rPr>
        <w:t>אני תומך בפיתוח אקטיבי של בוררות הרשות לאחרונה</w:t>
      </w:r>
      <w:r w:rsidRPr="00C627F3">
        <w:rPr>
          <w:rFonts w:ascii="Arial" w:hAnsi="Arial" w:cs="David"/>
          <w:color w:val="000000"/>
          <w:sz w:val="20"/>
          <w:szCs w:val="20"/>
          <w:rtl/>
        </w:rPr>
        <w:t xml:space="preserve">, </w:t>
      </w:r>
      <w:r w:rsidRPr="00C627F3">
        <w:rPr>
          <w:rFonts w:ascii="Arial" w:hAnsi="Arial" w:cs="David"/>
          <w:color w:val="000000"/>
          <w:sz w:val="20"/>
          <w:szCs w:val="20"/>
          <w:rtl/>
          <w:lang w:bidi="he-IL"/>
        </w:rPr>
        <w:t>פורסם תזכיר חוק בתי המשפט בנושא בוררות חובה</w:t>
      </w:r>
      <w:r w:rsidRPr="00C627F3">
        <w:rPr>
          <w:rFonts w:ascii="Arial" w:hAnsi="Arial" w:cs="David"/>
          <w:color w:val="000000"/>
          <w:sz w:val="20"/>
          <w:szCs w:val="20"/>
          <w:rtl/>
        </w:rPr>
        <w:t xml:space="preserve">. </w:t>
      </w:r>
      <w:r w:rsidRPr="00C627F3">
        <w:rPr>
          <w:rFonts w:ascii="Arial" w:hAnsi="Arial" w:cs="David"/>
          <w:color w:val="000000"/>
          <w:sz w:val="20"/>
          <w:szCs w:val="20"/>
          <w:rtl/>
          <w:lang w:bidi="he-IL"/>
        </w:rPr>
        <w:t xml:space="preserve">לאחר פרסום החוק החליט הועד המרכזי של הלשכה לתמוך </w:t>
      </w:r>
      <w:r w:rsidRPr="00C627F3">
        <w:rPr>
          <w:rFonts w:ascii="Arial" w:hAnsi="Arial" w:cs="David"/>
          <w:color w:val="000000"/>
          <w:sz w:val="20"/>
          <w:szCs w:val="20"/>
          <w:rtl/>
        </w:rPr>
        <w:t>(</w:t>
      </w:r>
      <w:r w:rsidRPr="00C627F3">
        <w:rPr>
          <w:rFonts w:ascii="Arial" w:hAnsi="Arial" w:cs="David"/>
          <w:color w:val="000000"/>
          <w:sz w:val="20"/>
          <w:szCs w:val="20"/>
          <w:rtl/>
          <w:lang w:bidi="he-IL"/>
        </w:rPr>
        <w:t>כפתרון ביניים לבעיית העומס בבתי המשפט</w:t>
      </w:r>
      <w:r w:rsidRPr="00C627F3">
        <w:rPr>
          <w:rFonts w:ascii="Arial" w:hAnsi="Arial" w:cs="David"/>
          <w:color w:val="000000"/>
          <w:sz w:val="20"/>
          <w:szCs w:val="20"/>
          <w:rtl/>
        </w:rPr>
        <w:t xml:space="preserve">) </w:t>
      </w:r>
      <w:r w:rsidRPr="00C627F3">
        <w:rPr>
          <w:rFonts w:ascii="Arial" w:hAnsi="Arial" w:cs="David"/>
          <w:color w:val="000000"/>
          <w:sz w:val="20"/>
          <w:szCs w:val="20"/>
          <w:rtl/>
          <w:lang w:bidi="he-IL"/>
        </w:rPr>
        <w:t xml:space="preserve">במינוי עורכי דין כשופטים לשעה ובקיום בוררות חובה בנושאים ספציפיים לתקופה קצובה </w:t>
      </w:r>
      <w:r w:rsidRPr="00C627F3">
        <w:rPr>
          <w:rFonts w:ascii="Arial" w:hAnsi="Arial" w:cs="David"/>
          <w:color w:val="000000"/>
          <w:sz w:val="20"/>
          <w:szCs w:val="20"/>
          <w:rtl/>
        </w:rPr>
        <w:t>(</w:t>
      </w:r>
      <w:r w:rsidRPr="00C627F3">
        <w:rPr>
          <w:rFonts w:ascii="Arial" w:hAnsi="Arial" w:cs="David"/>
          <w:color w:val="000000"/>
          <w:sz w:val="20"/>
          <w:szCs w:val="20"/>
          <w:rtl/>
          <w:lang w:bidi="he-IL"/>
        </w:rPr>
        <w:t>יש האומרים שגם רעיון זה משמעותו המעשית היא שיפוט לשעה</w:t>
      </w:r>
      <w:r w:rsidRPr="00C627F3">
        <w:rPr>
          <w:rFonts w:ascii="Arial" w:hAnsi="Arial" w:cs="David"/>
          <w:color w:val="000000"/>
          <w:sz w:val="20"/>
          <w:szCs w:val="20"/>
          <w:rtl/>
        </w:rPr>
        <w:t>)...</w:t>
      </w:r>
      <w:r w:rsidRPr="00C627F3">
        <w:rPr>
          <w:rFonts w:ascii="Arial" w:hAnsi="Arial" w:cs="David"/>
          <w:color w:val="000000"/>
          <w:sz w:val="20"/>
          <w:szCs w:val="20"/>
          <w:rtl/>
          <w:lang w:bidi="he-IL"/>
        </w:rPr>
        <w:t>הלשכה מתנגדת לרכיבים רבים בהצעת החוק האמורה</w:t>
      </w:r>
      <w:r w:rsidRPr="00C627F3">
        <w:rPr>
          <w:rFonts w:ascii="Arial" w:hAnsi="Arial" w:cs="David"/>
          <w:color w:val="000000"/>
          <w:sz w:val="20"/>
          <w:szCs w:val="20"/>
          <w:rtl/>
        </w:rPr>
        <w:t xml:space="preserve">, </w:t>
      </w:r>
      <w:r w:rsidRPr="00C627F3">
        <w:rPr>
          <w:rFonts w:ascii="Arial" w:hAnsi="Arial" w:cs="David"/>
          <w:color w:val="000000"/>
          <w:sz w:val="20"/>
          <w:szCs w:val="20"/>
          <w:rtl/>
          <w:lang w:bidi="he-IL"/>
        </w:rPr>
        <w:t>כפי שהוגשה ע</w:t>
      </w:r>
      <w:r w:rsidRPr="00C627F3">
        <w:rPr>
          <w:rFonts w:ascii="Arial" w:hAnsi="Arial" w:cs="David"/>
          <w:color w:val="000000"/>
          <w:sz w:val="20"/>
          <w:szCs w:val="20"/>
          <w:rtl/>
        </w:rPr>
        <w:t>"</w:t>
      </w:r>
      <w:r w:rsidRPr="00C627F3">
        <w:rPr>
          <w:rFonts w:ascii="Arial" w:hAnsi="Arial" w:cs="David"/>
          <w:color w:val="000000"/>
          <w:sz w:val="20"/>
          <w:szCs w:val="20"/>
          <w:rtl/>
          <w:lang w:bidi="he-IL"/>
        </w:rPr>
        <w:t>י משרד המשפטים</w:t>
      </w:r>
      <w:r w:rsidRPr="00C627F3">
        <w:rPr>
          <w:rFonts w:ascii="Arial" w:hAnsi="Arial" w:cs="David"/>
          <w:color w:val="000000"/>
          <w:sz w:val="20"/>
          <w:szCs w:val="20"/>
          <w:rtl/>
        </w:rPr>
        <w:t>...</w:t>
      </w:r>
      <w:r w:rsidRPr="00C627F3">
        <w:rPr>
          <w:rFonts w:ascii="Arial" w:hAnsi="Arial" w:cs="David"/>
          <w:color w:val="000000"/>
          <w:sz w:val="20"/>
          <w:szCs w:val="20"/>
          <w:rtl/>
          <w:lang w:bidi="he-IL"/>
        </w:rPr>
        <w:t>הלשכה סבורה</w:t>
      </w:r>
      <w:r w:rsidRPr="00C627F3">
        <w:rPr>
          <w:rFonts w:ascii="Arial" w:hAnsi="Arial" w:cs="David"/>
          <w:color w:val="000000"/>
          <w:sz w:val="20"/>
          <w:szCs w:val="20"/>
          <w:rtl/>
        </w:rPr>
        <w:t xml:space="preserve">, </w:t>
      </w:r>
      <w:r w:rsidRPr="00C627F3">
        <w:rPr>
          <w:rFonts w:ascii="Arial" w:hAnsi="Arial" w:cs="David"/>
          <w:color w:val="000000"/>
          <w:sz w:val="20"/>
          <w:szCs w:val="20"/>
          <w:rtl/>
          <w:lang w:bidi="he-IL"/>
        </w:rPr>
        <w:t>כי דרך המלך בפתרון עומס התיקים הרובץ על השופטים הינו במינוי כ</w:t>
      </w:r>
      <w:r w:rsidRPr="00C627F3">
        <w:rPr>
          <w:rFonts w:ascii="Arial" w:hAnsi="Arial" w:cs="David"/>
          <w:color w:val="000000"/>
          <w:sz w:val="20"/>
          <w:szCs w:val="20"/>
          <w:rtl/>
        </w:rPr>
        <w:t xml:space="preserve">- 300 </w:t>
      </w:r>
      <w:r w:rsidRPr="00C627F3">
        <w:rPr>
          <w:rFonts w:ascii="Arial" w:hAnsi="Arial" w:cs="David"/>
          <w:color w:val="000000"/>
          <w:sz w:val="20"/>
          <w:szCs w:val="20"/>
          <w:rtl/>
          <w:lang w:bidi="he-IL"/>
        </w:rPr>
        <w:t>שופטים נוספים</w:t>
      </w:r>
      <w:r w:rsidRPr="00C627F3">
        <w:rPr>
          <w:rFonts w:ascii="Arial" w:hAnsi="Arial" w:cs="David"/>
          <w:color w:val="000000"/>
          <w:sz w:val="20"/>
          <w:szCs w:val="20"/>
          <w:rtl/>
        </w:rPr>
        <w:t xml:space="preserve">. </w:t>
      </w:r>
      <w:r w:rsidRPr="00C627F3">
        <w:rPr>
          <w:rFonts w:ascii="Arial" w:hAnsi="Arial" w:cs="David"/>
          <w:color w:val="000000"/>
          <w:sz w:val="20"/>
          <w:szCs w:val="20"/>
          <w:rtl/>
          <w:lang w:bidi="he-IL"/>
        </w:rPr>
        <w:t>ללא מינויים של שופטים והקטנת הנטל הקיים על שופטים לא באה לידי מימוש הזכות החוקתית של אזרח לקבל את יומו בבית המשפט</w:t>
      </w:r>
      <w:r w:rsidRPr="00C627F3">
        <w:rPr>
          <w:rFonts w:ascii="Arial" w:hAnsi="Arial" w:cs="David"/>
          <w:color w:val="000000"/>
          <w:sz w:val="20"/>
          <w:szCs w:val="20"/>
          <w:rtl/>
        </w:rPr>
        <w:t xml:space="preserve">. </w:t>
      </w:r>
      <w:r>
        <w:rPr>
          <w:rFonts w:ascii="Arial" w:hAnsi="Arial" w:cs="David"/>
          <w:color w:val="000000"/>
          <w:sz w:val="20"/>
          <w:szCs w:val="20"/>
          <w:rtl/>
          <w:lang w:bidi="he-IL"/>
        </w:rPr>
        <w:t>...</w:t>
      </w:r>
    </w:p>
  </w:footnote>
  <w:footnote w:id="9">
    <w:p w:rsidR="005361DF" w:rsidRDefault="005361DF" w:rsidP="004D0E4A">
      <w:pPr>
        <w:pStyle w:val="FootnoteText"/>
        <w:bidi/>
      </w:pPr>
      <w:r w:rsidRPr="002205DE">
        <w:rPr>
          <w:rStyle w:val="FootnoteReference"/>
          <w:rFonts w:cs="David"/>
          <w:lang w:bidi="he-IL"/>
        </w:rPr>
        <w:footnoteRef/>
      </w:r>
      <w:r w:rsidRPr="002205DE">
        <w:rPr>
          <w:rFonts w:cs="David" w:hint="cs"/>
          <w:rtl/>
          <w:lang w:bidi="he-IL"/>
        </w:rPr>
        <w:t>פרקטזלתקנותסדרהדיןהאזרחי</w:t>
      </w:r>
      <w:r w:rsidRPr="002205DE">
        <w:rPr>
          <w:rFonts w:cs="Times New Roman"/>
          <w:rtl/>
        </w:rPr>
        <w:t>–</w:t>
      </w:r>
      <w:r w:rsidRPr="002205DE">
        <w:rPr>
          <w:rFonts w:cs="David" w:hint="cs"/>
          <w:rtl/>
          <w:lang w:bidi="he-IL"/>
        </w:rPr>
        <w:t>תקנות</w:t>
      </w:r>
      <w:r w:rsidRPr="002205DE">
        <w:rPr>
          <w:rFonts w:cs="David"/>
          <w:rtl/>
        </w:rPr>
        <w:t xml:space="preserve">202 </w:t>
      </w:r>
      <w:r w:rsidRPr="002205DE">
        <w:rPr>
          <w:rFonts w:cs="David" w:hint="cs"/>
          <w:rtl/>
          <w:lang w:bidi="he-IL"/>
        </w:rPr>
        <w:t>ואילךהמחייבלמשללפיהפסיקהפירוטרבשלההגנההנטענת</w:t>
      </w:r>
    </w:p>
  </w:footnote>
  <w:footnote w:id="10">
    <w:p w:rsidR="005361DF" w:rsidRDefault="005361DF" w:rsidP="004D0E4A">
      <w:pPr>
        <w:pStyle w:val="FootnoteText"/>
        <w:jc w:val="right"/>
      </w:pPr>
      <w:bookmarkStart w:id="0" w:name="Seif140"/>
      <w:bookmarkEnd w:id="0"/>
      <w:r w:rsidRPr="00251D22">
        <w:t>http://www.nevo.co.il/law_html/law01/055_247.htm</w:t>
      </w:r>
      <w:r>
        <w:t xml:space="preserve">   -</w:t>
      </w:r>
      <w:r w:rsidRPr="00F72BA4">
        <w:rPr>
          <w:rFonts w:cs="David" w:hint="cs"/>
          <w:rtl/>
          <w:lang w:bidi="he-IL"/>
        </w:rPr>
        <w:t>סעיף</w:t>
      </w:r>
      <w:r w:rsidRPr="00F72BA4">
        <w:rPr>
          <w:rFonts w:cs="David"/>
          <w:rtl/>
          <w:lang w:bidi="he-IL"/>
        </w:rPr>
        <w:t xml:space="preserve"> 81 </w:t>
      </w:r>
      <w:r w:rsidRPr="00F72BA4">
        <w:rPr>
          <w:rFonts w:cs="David" w:hint="cs"/>
          <w:rtl/>
          <w:lang w:bidi="he-IL"/>
        </w:rPr>
        <w:t>אלחוקה</w:t>
      </w:r>
      <w:r>
        <w:rPr>
          <w:rFonts w:cs="David" w:hint="cs"/>
          <w:rtl/>
          <w:lang w:bidi="he-IL"/>
        </w:rPr>
        <w:t>וצל</w:t>
      </w:r>
      <w:r>
        <w:rPr>
          <w:rFonts w:cs="David"/>
          <w:rtl/>
          <w:lang w:bidi="he-IL"/>
        </w:rPr>
        <w:t>"</w:t>
      </w:r>
      <w:r>
        <w:rPr>
          <w:rFonts w:cs="David" w:hint="cs"/>
          <w:rtl/>
          <w:lang w:bidi="he-IL"/>
        </w:rPr>
        <w:t>פשלשטרות</w:t>
      </w:r>
      <w:r w:rsidRPr="002B6070">
        <w:rPr>
          <w:rStyle w:val="FootnoteReference"/>
          <w:rFonts w:cs="David"/>
          <w:lang w:bidi="he-IL"/>
        </w:rPr>
        <w:footnoteRef/>
      </w:r>
    </w:p>
  </w:footnote>
  <w:footnote w:id="11">
    <w:p w:rsidR="005361DF" w:rsidRDefault="005361DF" w:rsidP="004D0E4A">
      <w:pPr>
        <w:pStyle w:val="FootnoteText"/>
        <w:bidi/>
      </w:pPr>
      <w:r w:rsidRPr="00251D22">
        <w:rPr>
          <w:rStyle w:val="FootnoteReference"/>
          <w:rFonts w:cs="David"/>
          <w:lang w:bidi="he-IL"/>
        </w:rPr>
        <w:footnoteRef/>
      </w:r>
      <w:r w:rsidRPr="00251D22">
        <w:rPr>
          <w:rFonts w:cs="David" w:hint="cs"/>
          <w:rtl/>
          <w:lang w:bidi="he-IL"/>
        </w:rPr>
        <w:t>סעיף</w:t>
      </w:r>
      <w:r w:rsidRPr="00251D22">
        <w:rPr>
          <w:rFonts w:cs="David"/>
          <w:rtl/>
        </w:rPr>
        <w:t xml:space="preserve">79 </w:t>
      </w:r>
      <w:r w:rsidRPr="00251D22">
        <w:rPr>
          <w:rFonts w:cs="David" w:hint="cs"/>
          <w:rtl/>
          <w:lang w:bidi="he-IL"/>
        </w:rPr>
        <w:t>בלחוקבתיהמשפט</w:t>
      </w:r>
    </w:p>
  </w:footnote>
  <w:footnote w:id="12">
    <w:p w:rsidR="005361DF" w:rsidRDefault="005361DF" w:rsidP="004D0E4A">
      <w:pPr>
        <w:pStyle w:val="FootnoteText"/>
        <w:bidi/>
      </w:pPr>
      <w:r w:rsidRPr="002205DE">
        <w:rPr>
          <w:rStyle w:val="FootnoteReference"/>
          <w:rFonts w:cs="David"/>
          <w:lang w:bidi="he-IL"/>
        </w:rPr>
        <w:footnoteRef/>
      </w:r>
      <w:r w:rsidRPr="002205DE">
        <w:rPr>
          <w:rFonts w:cs="David" w:hint="cs"/>
          <w:rtl/>
          <w:lang w:bidi="he-IL"/>
        </w:rPr>
        <w:t>סעיף</w:t>
      </w:r>
      <w:r w:rsidRPr="002205DE">
        <w:rPr>
          <w:rFonts w:cs="David"/>
          <w:rtl/>
        </w:rPr>
        <w:t xml:space="preserve">79 </w:t>
      </w:r>
      <w:r w:rsidRPr="002205DE">
        <w:rPr>
          <w:rFonts w:cs="David" w:hint="cs"/>
          <w:rtl/>
          <w:lang w:bidi="he-IL"/>
        </w:rPr>
        <w:t>אלחוקבתיהמשפט</w:t>
      </w:r>
    </w:p>
  </w:footnote>
  <w:footnote w:id="13">
    <w:p w:rsidR="005361DF" w:rsidRDefault="005361DF" w:rsidP="004D0E4A">
      <w:pPr>
        <w:pStyle w:val="FootnoteText"/>
        <w:bidi/>
      </w:pPr>
      <w:r w:rsidRPr="002205DE">
        <w:rPr>
          <w:rStyle w:val="FootnoteReference"/>
          <w:rFonts w:cs="David"/>
          <w:lang w:bidi="he-IL"/>
        </w:rPr>
        <w:footnoteRef/>
      </w:r>
      <w:r w:rsidRPr="002205DE">
        <w:rPr>
          <w:rFonts w:cs="David" w:hint="cs"/>
          <w:rtl/>
          <w:lang w:bidi="he-IL"/>
        </w:rPr>
        <w:t>סעיף</w:t>
      </w:r>
      <w:r w:rsidRPr="002205DE">
        <w:rPr>
          <w:rFonts w:cs="David"/>
          <w:rtl/>
        </w:rPr>
        <w:t xml:space="preserve">79 </w:t>
      </w:r>
      <w:r w:rsidRPr="002205DE">
        <w:rPr>
          <w:rFonts w:cs="David" w:hint="cs"/>
          <w:rtl/>
          <w:lang w:bidi="he-IL"/>
        </w:rPr>
        <w:t>גלחוקבתיהמשפט</w:t>
      </w:r>
    </w:p>
  </w:footnote>
  <w:footnote w:id="14">
    <w:p w:rsidR="005361DF" w:rsidRDefault="005361DF" w:rsidP="004D0E4A">
      <w:pPr>
        <w:pStyle w:val="FootnoteText"/>
        <w:jc w:val="right"/>
      </w:pPr>
      <w:r>
        <w:rPr>
          <w:rFonts w:hint="cs"/>
          <w:rtl/>
          <w:lang w:bidi="he-IL"/>
        </w:rPr>
        <w:t>סעיף</w:t>
      </w:r>
      <w:r>
        <w:rPr>
          <w:rtl/>
          <w:lang w:bidi="he-IL"/>
        </w:rPr>
        <w:t xml:space="preserve"> 81 </w:t>
      </w:r>
      <w:r>
        <w:rPr>
          <w:rFonts w:hint="cs"/>
          <w:rtl/>
          <w:lang w:bidi="he-IL"/>
        </w:rPr>
        <w:t>א</w:t>
      </w:r>
      <w:r>
        <w:rPr>
          <w:rtl/>
          <w:lang w:bidi="he-IL"/>
        </w:rPr>
        <w:t xml:space="preserve">  1 </w:t>
      </w:r>
      <w:r>
        <w:rPr>
          <w:rFonts w:hint="cs"/>
          <w:rtl/>
          <w:lang w:bidi="he-IL"/>
        </w:rPr>
        <w:t>לחוקההוצאהלפועל</w:t>
      </w:r>
      <w:r>
        <w:rPr>
          <w:rtl/>
          <w:lang w:bidi="he-IL"/>
        </w:rPr>
        <w:t xml:space="preserve"> – </w:t>
      </w:r>
      <w:r>
        <w:rPr>
          <w:rFonts w:hint="cs"/>
          <w:rtl/>
          <w:lang w:bidi="he-IL"/>
        </w:rPr>
        <w:t>תובענהבהוצל</w:t>
      </w:r>
      <w:r>
        <w:rPr>
          <w:rtl/>
          <w:lang w:bidi="he-IL"/>
        </w:rPr>
        <w:t>"</w:t>
      </w:r>
      <w:r>
        <w:rPr>
          <w:rFonts w:hint="cs"/>
          <w:rtl/>
          <w:lang w:bidi="he-IL"/>
        </w:rPr>
        <w:t>פ</w:t>
      </w:r>
      <w:r>
        <w:rPr>
          <w:rStyle w:val="FootnoteReference"/>
        </w:rPr>
        <w:footnoteRef/>
      </w:r>
    </w:p>
  </w:footnote>
  <w:footnote w:id="15">
    <w:p w:rsidR="005361DF" w:rsidRDefault="005361DF" w:rsidP="004D0E4A">
      <w:pPr>
        <w:pStyle w:val="FootnoteText"/>
        <w:bidi/>
        <w:jc w:val="both"/>
      </w:pPr>
      <w:r w:rsidRPr="002205DE">
        <w:rPr>
          <w:rStyle w:val="FootnoteReference"/>
          <w:rFonts w:cs="David"/>
          <w:lang w:bidi="he-IL"/>
        </w:rPr>
        <w:footnoteRef/>
      </w:r>
      <w:hyperlink r:id="rId3" w:history="1">
        <w:r w:rsidRPr="002205DE">
          <w:rPr>
            <w:rStyle w:val="Hyperlink"/>
            <w:rFonts w:cs="David"/>
            <w:lang w:bidi="he-IL"/>
          </w:rPr>
          <w:t>http://elyon1.court.gov.il/heb/laws/manat.htm</w:t>
        </w:r>
      </w:hyperlink>
      <w:r w:rsidRPr="002205DE">
        <w:rPr>
          <w:rFonts w:cs="David" w:hint="cs"/>
          <w:rtl/>
          <w:lang w:bidi="he-IL"/>
        </w:rPr>
        <w:t>תקנותבתיהמשפט</w:t>
      </w:r>
      <w:r w:rsidRPr="002205DE">
        <w:rPr>
          <w:rFonts w:cs="David"/>
          <w:rtl/>
        </w:rPr>
        <w:t>(</w:t>
      </w:r>
      <w:r w:rsidRPr="002205DE">
        <w:rPr>
          <w:rFonts w:cs="David" w:hint="cs"/>
          <w:rtl/>
          <w:lang w:bidi="he-IL"/>
        </w:rPr>
        <w:t>מחלקהלניתובתיקים</w:t>
      </w:r>
      <w:r w:rsidRPr="002205DE">
        <w:rPr>
          <w:rFonts w:cs="David"/>
          <w:rtl/>
        </w:rPr>
        <w:t>)</w:t>
      </w:r>
      <w:r w:rsidRPr="002205DE">
        <w:rPr>
          <w:rFonts w:cs="David" w:hint="cs"/>
          <w:rtl/>
          <w:lang w:bidi="he-IL"/>
        </w:rPr>
        <w:t>התשס</w:t>
      </w:r>
      <w:r w:rsidRPr="002205DE">
        <w:rPr>
          <w:rFonts w:cs="David"/>
          <w:rtl/>
        </w:rPr>
        <w:t>"</w:t>
      </w:r>
      <w:r w:rsidRPr="002205DE">
        <w:rPr>
          <w:rFonts w:cs="David" w:hint="cs"/>
          <w:rtl/>
          <w:lang w:bidi="he-IL"/>
        </w:rPr>
        <w:t>ב</w:t>
      </w:r>
      <w:r w:rsidRPr="002205DE">
        <w:rPr>
          <w:rFonts w:cs="David"/>
          <w:rtl/>
        </w:rPr>
        <w:t>-</w:t>
      </w:r>
      <w:r>
        <w:rPr>
          <w:rtl/>
        </w:rPr>
        <w:t>2002</w:t>
      </w:r>
    </w:p>
  </w:footnote>
  <w:footnote w:id="16">
    <w:p w:rsidR="005361DF" w:rsidRPr="0055113B" w:rsidRDefault="005361DF" w:rsidP="004D0E4A">
      <w:pPr>
        <w:pStyle w:val="FootnoteText"/>
        <w:bidi/>
        <w:ind w:right="90"/>
        <w:jc w:val="both"/>
        <w:rPr>
          <w:rFonts w:cs="David"/>
          <w:u w:val="single"/>
          <w:rtl/>
          <w:lang w:bidi="he-IL"/>
        </w:rPr>
      </w:pPr>
      <w:r>
        <w:rPr>
          <w:rStyle w:val="FootnoteReference"/>
        </w:rPr>
        <w:footnoteRef/>
      </w:r>
      <w:r w:rsidRPr="00612326">
        <w:rPr>
          <w:rFonts w:cs="David" w:hint="cs"/>
          <w:rtl/>
          <w:lang w:bidi="he-IL"/>
        </w:rPr>
        <w:t>פרקטז</w:t>
      </w:r>
      <w:r w:rsidRPr="00612326">
        <w:rPr>
          <w:rFonts w:cs="David"/>
          <w:rtl/>
        </w:rPr>
        <w:t xml:space="preserve">1 </w:t>
      </w:r>
      <w:r w:rsidRPr="00612326">
        <w:rPr>
          <w:rFonts w:cs="David" w:hint="cs"/>
          <w:rtl/>
          <w:lang w:bidi="he-IL"/>
        </w:rPr>
        <w:t>לתקנותסדרהדיןהאזרחיתקנות</w:t>
      </w:r>
      <w:r w:rsidRPr="00612326">
        <w:rPr>
          <w:rFonts w:cs="David"/>
          <w:rtl/>
        </w:rPr>
        <w:t>214</w:t>
      </w:r>
      <w:r w:rsidRPr="00612326">
        <w:rPr>
          <w:rFonts w:cs="David" w:hint="cs"/>
          <w:rtl/>
          <w:lang w:bidi="he-IL"/>
        </w:rPr>
        <w:t>אואילךראה</w:t>
      </w:r>
      <w:r w:rsidRPr="00D0587B">
        <w:rPr>
          <w:rFonts w:cs="David" w:hint="cs"/>
          <w:rtl/>
          <w:lang w:bidi="he-IL"/>
        </w:rPr>
        <w:t>ההסברלחקיקתתיקון</w:t>
      </w:r>
      <w:r w:rsidRPr="00D0587B">
        <w:rPr>
          <w:rFonts w:cs="David"/>
          <w:rtl/>
        </w:rPr>
        <w:t xml:space="preserve">5 </w:t>
      </w:r>
      <w:r w:rsidRPr="00D0587B">
        <w:rPr>
          <w:rFonts w:cs="David" w:hint="cs"/>
          <w:rtl/>
          <w:lang w:bidi="he-IL"/>
        </w:rPr>
        <w:t>לתסד</w:t>
      </w:r>
      <w:r w:rsidRPr="00D0587B">
        <w:rPr>
          <w:rFonts w:cs="David"/>
          <w:rtl/>
        </w:rPr>
        <w:t>"</w:t>
      </w:r>
      <w:r w:rsidRPr="00D0587B">
        <w:rPr>
          <w:rFonts w:cs="David" w:hint="cs"/>
          <w:rtl/>
          <w:lang w:bidi="he-IL"/>
        </w:rPr>
        <w:t>א</w:t>
      </w:r>
      <w:r w:rsidRPr="00D0587B">
        <w:rPr>
          <w:rFonts w:cs="Times New Roman"/>
          <w:rtl/>
        </w:rPr>
        <w:t>–</w:t>
      </w:r>
      <w:r w:rsidRPr="00D0587B">
        <w:rPr>
          <w:rFonts w:cs="David" w:hint="cs"/>
          <w:rtl/>
          <w:lang w:bidi="he-IL"/>
        </w:rPr>
        <w:t>סדרדיןמהיר</w:t>
      </w:r>
      <w:r>
        <w:rPr>
          <w:rFonts w:cs="Times New Roman"/>
          <w:rtl/>
        </w:rPr>
        <w:tab/>
      </w:r>
      <w:hyperlink r:id="rId4" w:history="1">
        <w:r w:rsidRPr="00842C86">
          <w:rPr>
            <w:rStyle w:val="Hyperlink"/>
            <w:rFonts w:cs="David"/>
            <w:lang w:bidi="he-IL"/>
          </w:rPr>
          <w:t>http://www.justice.gov.il/NR/rdonlyres/B6AC9A27-A06A-41F5-B9F1-6E296BF6306/25396/DiyunMahir.doc</w:t>
        </w:r>
      </w:hyperlink>
    </w:p>
    <w:p w:rsidR="005361DF" w:rsidRDefault="005361DF" w:rsidP="004D0E4A">
      <w:pPr>
        <w:pStyle w:val="FootnoteText"/>
        <w:bidi/>
        <w:jc w:val="both"/>
      </w:pPr>
      <w:r>
        <w:rPr>
          <w:rFonts w:cs="David" w:hint="cs"/>
          <w:u w:val="single"/>
          <w:rtl/>
          <w:lang w:bidi="he-IL"/>
        </w:rPr>
        <w:t>מבוא</w:t>
      </w:r>
      <w:r>
        <w:rPr>
          <w:rFonts w:cs="David" w:hint="cs"/>
          <w:rtl/>
          <w:lang w:bidi="he-IL"/>
        </w:rPr>
        <w:t>סדרהדיןהמהירמיועדלקצראתמשךההתדיינותבתובענותבסכומיםנמוכים</w:t>
      </w:r>
      <w:r>
        <w:rPr>
          <w:rFonts w:cs="David"/>
          <w:rtl/>
        </w:rPr>
        <w:t xml:space="preserve">, </w:t>
      </w:r>
      <w:r>
        <w:rPr>
          <w:rFonts w:cs="David" w:hint="cs"/>
          <w:rtl/>
          <w:lang w:bidi="he-IL"/>
        </w:rPr>
        <w:t>ולהוזילאתהעלותהכרוכה</w:t>
      </w:r>
      <w:r>
        <w:t xml:space="preserve">" </w:t>
      </w:r>
    </w:p>
  </w:footnote>
  <w:footnote w:id="17">
    <w:p w:rsidR="005361DF" w:rsidRDefault="005361DF" w:rsidP="004D0E4A">
      <w:pPr>
        <w:pStyle w:val="FootnoteText"/>
        <w:bidi/>
      </w:pPr>
      <w:r>
        <w:rPr>
          <w:rStyle w:val="FootnoteReference"/>
        </w:rPr>
        <w:footnoteRef/>
      </w:r>
      <w:r>
        <w:rPr>
          <w:rFonts w:hint="cs"/>
          <w:rtl/>
          <w:lang w:bidi="he-IL"/>
        </w:rPr>
        <w:t>הוספתפרקטזלתקנותסדרהדיןהאזרחי</w:t>
      </w:r>
      <w:r>
        <w:rPr>
          <w:rtl/>
        </w:rPr>
        <w:t xml:space="preserve">– </w:t>
      </w:r>
      <w:r>
        <w:rPr>
          <w:rFonts w:cs="HadasaMFOMedium" w:hint="cs"/>
          <w:sz w:val="18"/>
          <w:szCs w:val="18"/>
          <w:rtl/>
          <w:lang w:bidi="he-IL"/>
        </w:rPr>
        <w:t>תקנותסדרהדיןהאזרחי</w:t>
      </w:r>
      <w:r>
        <w:rPr>
          <w:rFonts w:cs="HadasaMFOMedium"/>
          <w:sz w:val="18"/>
          <w:szCs w:val="18"/>
          <w:rtl/>
        </w:rPr>
        <w:t>(</w:t>
      </w:r>
      <w:r>
        <w:rPr>
          <w:rFonts w:cs="HadasaMFOMedium" w:hint="cs"/>
          <w:sz w:val="18"/>
          <w:szCs w:val="18"/>
          <w:rtl/>
          <w:lang w:bidi="he-IL"/>
        </w:rPr>
        <w:t>תיקוןמס</w:t>
      </w:r>
      <w:r>
        <w:rPr>
          <w:rFonts w:cs="HadasaMFOMedium"/>
          <w:sz w:val="18"/>
          <w:szCs w:val="18"/>
          <w:rtl/>
        </w:rPr>
        <w:t xml:space="preserve">2) </w:t>
      </w:r>
      <w:r>
        <w:rPr>
          <w:rFonts w:cs="HadasaMFOMedium" w:hint="cs"/>
          <w:sz w:val="18"/>
          <w:szCs w:val="18"/>
          <w:rtl/>
          <w:lang w:bidi="he-IL"/>
        </w:rPr>
        <w:t>התשס</w:t>
      </w:r>
      <w:r>
        <w:rPr>
          <w:rFonts w:ascii="HadasaMFOMedium" w:eastAsia="Times New Roman" w:cs="HadasaMFOMedium"/>
          <w:sz w:val="18"/>
          <w:szCs w:val="18"/>
          <w:lang w:bidi="he-IL"/>
        </w:rPr>
        <w:t>"</w:t>
      </w:r>
      <w:r>
        <w:rPr>
          <w:rFonts w:cs="HadasaMFOMedium" w:hint="cs"/>
          <w:sz w:val="18"/>
          <w:szCs w:val="18"/>
          <w:rtl/>
          <w:lang w:bidi="he-IL"/>
        </w:rPr>
        <w:t>ט</w:t>
      </w:r>
      <w:r>
        <w:rPr>
          <w:rFonts w:ascii="HadasaMFOMedium" w:eastAsia="Times New Roman" w:cs="HadasaMFOMedium"/>
          <w:sz w:val="18"/>
          <w:szCs w:val="18"/>
          <w:lang w:bidi="he-IL"/>
        </w:rPr>
        <w:t xml:space="preserve"> 2008- .</w:t>
      </w:r>
      <w:r w:rsidRPr="00612326">
        <w:t>http://www.knesset.gov.il/laws/data/regulation/6733/6733.pdf</w:t>
      </w:r>
    </w:p>
  </w:footnote>
  <w:footnote w:id="18">
    <w:p w:rsidR="005361DF" w:rsidRDefault="005361DF" w:rsidP="004D0E4A">
      <w:pPr>
        <w:pStyle w:val="FootnoteText"/>
        <w:bidi/>
      </w:pPr>
      <w:r>
        <w:rPr>
          <w:rStyle w:val="FootnoteReference"/>
        </w:rPr>
        <w:footnoteRef/>
      </w:r>
      <w:r>
        <w:rPr>
          <w:rFonts w:hint="cs"/>
          <w:rtl/>
          <w:lang w:bidi="he-IL"/>
        </w:rPr>
        <w:t>סעיף</w:t>
      </w:r>
      <w:r>
        <w:rPr>
          <w:rtl/>
        </w:rPr>
        <w:t xml:space="preserve">258 </w:t>
      </w:r>
      <w:r>
        <w:rPr>
          <w:rFonts w:hint="cs"/>
          <w:rtl/>
          <w:lang w:bidi="he-IL"/>
        </w:rPr>
        <w:t>כלתקנותסדרהדיןהאזרחי</w:t>
      </w:r>
      <w:r>
        <w:rPr>
          <w:rtl/>
        </w:rPr>
        <w:t>.</w:t>
      </w:r>
    </w:p>
  </w:footnote>
  <w:footnote w:id="19">
    <w:p w:rsidR="005361DF" w:rsidRDefault="005361DF" w:rsidP="004D0E4A">
      <w:pPr>
        <w:pStyle w:val="FootnoteText"/>
        <w:bidi/>
        <w:jc w:val="both"/>
        <w:rPr>
          <w:rtl/>
          <w:lang w:bidi="he-IL"/>
        </w:rPr>
      </w:pPr>
      <w:r>
        <w:rPr>
          <w:rStyle w:val="FootnoteReference"/>
        </w:rPr>
        <w:footnoteRef/>
      </w:r>
      <w:r w:rsidRPr="00D0587B">
        <w:rPr>
          <w:rFonts w:cs="David" w:hint="cs"/>
          <w:rtl/>
          <w:lang w:bidi="he-IL"/>
        </w:rPr>
        <w:t>ראהלמשלהכונהלהגדלתסמכויותהרשמים</w:t>
      </w:r>
      <w:r w:rsidRPr="009E219E">
        <w:rPr>
          <w:rFonts w:ascii="Arial" w:hAnsi="Arial" w:cs="David"/>
          <w:color w:val="000000"/>
          <w:rtl/>
          <w:lang w:bidi="he-IL"/>
        </w:rPr>
        <w:t xml:space="preserve">תזכיר חוק בתי המשפט </w:t>
      </w:r>
      <w:r w:rsidRPr="009E219E">
        <w:rPr>
          <w:rFonts w:ascii="Arial" w:hAnsi="Arial" w:cs="David"/>
          <w:color w:val="000000"/>
          <w:rtl/>
        </w:rPr>
        <w:t>(</w:t>
      </w:r>
      <w:r w:rsidRPr="009E219E">
        <w:rPr>
          <w:rFonts w:ascii="Arial" w:hAnsi="Arial" w:cs="David"/>
          <w:color w:val="000000"/>
          <w:rtl/>
          <w:lang w:bidi="he-IL"/>
        </w:rPr>
        <w:t>סמכויות רשם</w:t>
      </w:r>
      <w:r w:rsidRPr="009E219E">
        <w:rPr>
          <w:rFonts w:ascii="Arial" w:hAnsi="Arial" w:cs="David"/>
          <w:color w:val="000000"/>
          <w:rtl/>
        </w:rPr>
        <w:t xml:space="preserve">), </w:t>
      </w:r>
      <w:r w:rsidRPr="009E219E">
        <w:rPr>
          <w:rFonts w:ascii="Arial" w:hAnsi="Arial" w:cs="David"/>
          <w:color w:val="000000"/>
          <w:rtl/>
          <w:lang w:bidi="he-IL"/>
        </w:rPr>
        <w:t>התש</w:t>
      </w:r>
      <w:r w:rsidRPr="009E219E">
        <w:rPr>
          <w:rFonts w:ascii="Arial" w:hAnsi="Arial" w:cs="David"/>
          <w:color w:val="000000"/>
          <w:rtl/>
        </w:rPr>
        <w:t>"</w:t>
      </w:r>
      <w:r w:rsidRPr="009E219E">
        <w:rPr>
          <w:rFonts w:ascii="Arial" w:hAnsi="Arial" w:cs="David"/>
          <w:color w:val="000000"/>
          <w:rtl/>
          <w:lang w:bidi="he-IL"/>
        </w:rPr>
        <w:t>ע</w:t>
      </w:r>
      <w:r w:rsidRPr="009E219E">
        <w:rPr>
          <w:rFonts w:ascii="Arial" w:hAnsi="Arial" w:cs="David"/>
          <w:color w:val="000000"/>
          <w:rtl/>
        </w:rPr>
        <w:t>-2010</w:t>
      </w:r>
    </w:p>
    <w:tbl>
      <w:tblPr>
        <w:tblW w:w="8790" w:type="dxa"/>
        <w:tblCellSpacing w:w="0" w:type="dxa"/>
        <w:tblInd w:w="120" w:type="dxa"/>
        <w:tblCellMar>
          <w:left w:w="0" w:type="dxa"/>
          <w:right w:w="0" w:type="dxa"/>
        </w:tblCellMar>
        <w:tblLook w:val="0000"/>
      </w:tblPr>
      <w:tblGrid>
        <w:gridCol w:w="8790"/>
      </w:tblGrid>
      <w:tr w:rsidR="005361DF" w:rsidRPr="00F51BB3">
        <w:trPr>
          <w:trHeight w:val="78"/>
          <w:tblCellSpacing w:w="0" w:type="dxa"/>
        </w:trPr>
        <w:tc>
          <w:tcPr>
            <w:tcW w:w="0" w:type="auto"/>
            <w:tcMar>
              <w:top w:w="0" w:type="dxa"/>
              <w:left w:w="120" w:type="dxa"/>
              <w:bottom w:w="0" w:type="dxa"/>
              <w:right w:w="120" w:type="dxa"/>
            </w:tcMar>
          </w:tcPr>
          <w:p w:rsidR="005361DF" w:rsidRPr="00F51BB3" w:rsidRDefault="005361DF" w:rsidP="00877C9B">
            <w:pPr>
              <w:bidi/>
              <w:spacing w:before="100" w:beforeAutospacing="1" w:after="100" w:afterAutospacing="1" w:line="240" w:lineRule="auto"/>
              <w:jc w:val="both"/>
              <w:rPr>
                <w:rFonts w:ascii="Arial" w:hAnsi="Arial" w:cs="David"/>
                <w:color w:val="000000"/>
                <w:sz w:val="20"/>
                <w:szCs w:val="20"/>
                <w:lang w:bidi="he-IL"/>
              </w:rPr>
            </w:pPr>
            <w:hyperlink r:id="rId5" w:history="1">
              <w:r w:rsidRPr="00F51BB3">
                <w:rPr>
                  <w:rStyle w:val="Hyperlink"/>
                </w:rPr>
                <w:t>http://www.justice.gov.il/NR/exeres/C0B4BE00-294E-4F38-9DC6-FAA48F1B9813.htm</w:t>
              </w:r>
            </w:hyperlink>
          </w:p>
        </w:tc>
      </w:tr>
      <w:tr w:rsidR="005361DF" w:rsidRPr="00F51BB3">
        <w:trPr>
          <w:trHeight w:val="324"/>
          <w:tblCellSpacing w:w="0" w:type="dxa"/>
        </w:trPr>
        <w:tc>
          <w:tcPr>
            <w:tcW w:w="0" w:type="auto"/>
            <w:tcMar>
              <w:top w:w="0" w:type="dxa"/>
              <w:left w:w="120" w:type="dxa"/>
              <w:bottom w:w="0" w:type="dxa"/>
              <w:right w:w="120" w:type="dxa"/>
            </w:tcMar>
          </w:tcPr>
          <w:p w:rsidR="005361DF" w:rsidRPr="00F51BB3" w:rsidRDefault="005361DF" w:rsidP="00877C9B">
            <w:pPr>
              <w:bidi/>
              <w:spacing w:line="240" w:lineRule="auto"/>
              <w:jc w:val="both"/>
              <w:rPr>
                <w:rFonts w:cs="David"/>
                <w:color w:val="000000"/>
                <w:sz w:val="20"/>
                <w:szCs w:val="20"/>
                <w:lang w:bidi="he-IL"/>
              </w:rPr>
            </w:pPr>
            <w:r w:rsidRPr="00F51BB3">
              <w:rPr>
                <w:rFonts w:cs="David" w:hint="cs"/>
                <w:color w:val="000000"/>
                <w:sz w:val="20"/>
                <w:szCs w:val="20"/>
                <w:rtl/>
                <w:lang w:bidi="he-IL"/>
              </w:rPr>
              <w:t>מטרתהחוקהמוצעלהסמיךרשמיםלדוןבתביעותאזרחיותכשסכוםהתביעהאושוויהנושאאינועולהעל</w:t>
            </w:r>
            <w:r w:rsidRPr="00F51BB3">
              <w:rPr>
                <w:rFonts w:cs="David"/>
                <w:color w:val="000000"/>
                <w:sz w:val="20"/>
                <w:szCs w:val="20"/>
                <w:rtl/>
              </w:rPr>
              <w:t xml:space="preserve">50.000 </w:t>
            </w:r>
            <w:r w:rsidRPr="00F51BB3">
              <w:rPr>
                <w:rFonts w:cs="David" w:hint="cs"/>
                <w:color w:val="000000"/>
                <w:sz w:val="20"/>
                <w:szCs w:val="20"/>
                <w:rtl/>
                <w:lang w:bidi="he-IL"/>
              </w:rPr>
              <w:t>ש</w:t>
            </w:r>
            <w:r w:rsidRPr="00F51BB3">
              <w:rPr>
                <w:rFonts w:cs="David"/>
                <w:color w:val="000000"/>
                <w:sz w:val="20"/>
                <w:szCs w:val="20"/>
                <w:rtl/>
              </w:rPr>
              <w:t>"</w:t>
            </w:r>
            <w:r w:rsidRPr="00F51BB3">
              <w:rPr>
                <w:rFonts w:cs="David" w:hint="cs"/>
                <w:color w:val="000000"/>
                <w:sz w:val="20"/>
                <w:szCs w:val="20"/>
                <w:rtl/>
                <w:lang w:bidi="he-IL"/>
              </w:rPr>
              <w:t>ח</w:t>
            </w:r>
            <w:r w:rsidRPr="00F51BB3">
              <w:rPr>
                <w:rFonts w:cs="David"/>
                <w:color w:val="000000"/>
                <w:sz w:val="20"/>
                <w:szCs w:val="20"/>
                <w:rtl/>
              </w:rPr>
              <w:t xml:space="preserve">. </w:t>
            </w:r>
            <w:r w:rsidRPr="00F51BB3">
              <w:rPr>
                <w:rFonts w:cs="David" w:hint="cs"/>
                <w:color w:val="000000"/>
                <w:sz w:val="20"/>
                <w:szCs w:val="20"/>
                <w:rtl/>
                <w:lang w:bidi="he-IL"/>
              </w:rPr>
              <w:t>מדוברבתביעותשהדיוןבהןמתנהלעלפיפרוצדורהמיוחדתשל</w:t>
            </w:r>
            <w:r w:rsidRPr="00F51BB3">
              <w:rPr>
                <w:rFonts w:cs="David"/>
                <w:color w:val="000000"/>
                <w:sz w:val="20"/>
                <w:szCs w:val="20"/>
                <w:rtl/>
              </w:rPr>
              <w:t>"</w:t>
            </w:r>
            <w:r w:rsidRPr="00F51BB3">
              <w:rPr>
                <w:rFonts w:cs="David" w:hint="cs"/>
                <w:color w:val="000000"/>
                <w:sz w:val="20"/>
                <w:szCs w:val="20"/>
                <w:rtl/>
                <w:lang w:bidi="he-IL"/>
              </w:rPr>
              <w:t>סדרדיןמהיר</w:t>
            </w:r>
            <w:r w:rsidRPr="00F51BB3">
              <w:rPr>
                <w:rFonts w:cs="David"/>
                <w:color w:val="000000"/>
                <w:sz w:val="20"/>
                <w:szCs w:val="20"/>
                <w:rtl/>
              </w:rPr>
              <w:t xml:space="preserve">", </w:t>
            </w:r>
            <w:r w:rsidRPr="00F51BB3">
              <w:rPr>
                <w:rFonts w:cs="David" w:hint="cs"/>
                <w:color w:val="000000"/>
                <w:sz w:val="20"/>
                <w:szCs w:val="20"/>
                <w:rtl/>
                <w:lang w:bidi="he-IL"/>
              </w:rPr>
              <w:t>המוסדרתבמסגרתפרקט</w:t>
            </w:r>
            <w:r w:rsidRPr="00F51BB3">
              <w:rPr>
                <w:rFonts w:cs="David"/>
                <w:color w:val="000000"/>
                <w:sz w:val="20"/>
                <w:szCs w:val="20"/>
                <w:rtl/>
              </w:rPr>
              <w:t>"</w:t>
            </w:r>
            <w:r w:rsidRPr="00F51BB3">
              <w:rPr>
                <w:rFonts w:cs="David" w:hint="cs"/>
                <w:color w:val="000000"/>
                <w:sz w:val="20"/>
                <w:szCs w:val="20"/>
                <w:rtl/>
                <w:lang w:bidi="he-IL"/>
              </w:rPr>
              <w:t>ז</w:t>
            </w:r>
            <w:r w:rsidRPr="00F51BB3">
              <w:rPr>
                <w:rFonts w:cs="David"/>
                <w:color w:val="000000"/>
                <w:sz w:val="20"/>
                <w:szCs w:val="20"/>
                <w:rtl/>
              </w:rPr>
              <w:t xml:space="preserve">1 </w:t>
            </w:r>
            <w:r w:rsidRPr="00F51BB3">
              <w:rPr>
                <w:rFonts w:cs="David" w:hint="cs"/>
                <w:color w:val="000000"/>
                <w:sz w:val="20"/>
                <w:szCs w:val="20"/>
                <w:rtl/>
                <w:lang w:bidi="he-IL"/>
              </w:rPr>
              <w:t>לתקנותסדרדיןאזרחי</w:t>
            </w:r>
            <w:r w:rsidRPr="00F51BB3">
              <w:rPr>
                <w:rFonts w:cs="David"/>
                <w:color w:val="000000"/>
                <w:sz w:val="20"/>
                <w:szCs w:val="20"/>
                <w:rtl/>
              </w:rPr>
              <w:t xml:space="preserve">, </w:t>
            </w:r>
            <w:r w:rsidRPr="00F51BB3">
              <w:rPr>
                <w:rFonts w:cs="David" w:hint="cs"/>
                <w:color w:val="000000"/>
                <w:sz w:val="20"/>
                <w:szCs w:val="20"/>
                <w:rtl/>
                <w:lang w:bidi="he-IL"/>
              </w:rPr>
              <w:t>התשמ</w:t>
            </w:r>
            <w:r w:rsidRPr="00F51BB3">
              <w:rPr>
                <w:rFonts w:cs="David"/>
                <w:color w:val="000000"/>
                <w:sz w:val="20"/>
                <w:szCs w:val="20"/>
                <w:rtl/>
              </w:rPr>
              <w:t>"</w:t>
            </w:r>
            <w:r w:rsidRPr="00F51BB3">
              <w:rPr>
                <w:rFonts w:cs="David" w:hint="cs"/>
                <w:color w:val="000000"/>
                <w:sz w:val="20"/>
                <w:szCs w:val="20"/>
                <w:rtl/>
                <w:lang w:bidi="he-IL"/>
              </w:rPr>
              <w:t>ד</w:t>
            </w:r>
            <w:r w:rsidRPr="00F51BB3">
              <w:rPr>
                <w:rFonts w:cs="David"/>
                <w:color w:val="000000"/>
                <w:sz w:val="20"/>
                <w:szCs w:val="20"/>
                <w:rtl/>
              </w:rPr>
              <w:t xml:space="preserve">, 1984 </w:t>
            </w:r>
            <w:r w:rsidRPr="00F51BB3">
              <w:rPr>
                <w:rFonts w:cs="David" w:hint="cs"/>
                <w:color w:val="000000"/>
                <w:sz w:val="20"/>
                <w:szCs w:val="20"/>
                <w:rtl/>
                <w:lang w:bidi="he-IL"/>
              </w:rPr>
              <w:t>והמיועדתלסיוםמהירויעילשלסכסוכיםבסכומיםנמוכיםבאופןיחסי</w:t>
            </w:r>
            <w:r w:rsidRPr="00F51BB3">
              <w:rPr>
                <w:rFonts w:cs="David"/>
                <w:color w:val="000000"/>
                <w:sz w:val="20"/>
                <w:szCs w:val="20"/>
                <w:rtl/>
              </w:rPr>
              <w:t xml:space="preserve">. </w:t>
            </w:r>
            <w:r w:rsidRPr="00F51BB3">
              <w:rPr>
                <w:rFonts w:cs="David" w:hint="cs"/>
                <w:color w:val="000000"/>
                <w:sz w:val="20"/>
                <w:szCs w:val="20"/>
                <w:rtl/>
                <w:lang w:bidi="he-IL"/>
              </w:rPr>
              <w:t>הסמכתהרשמיםצפויהלהביאלהפחתתהעומסהמוטלעלשופטיםולהתייעלותעבודתבתיהמשפט</w:t>
            </w:r>
          </w:p>
        </w:tc>
      </w:tr>
    </w:tbl>
    <w:p w:rsidR="005361DF" w:rsidRDefault="005361DF">
      <w:pPr>
        <w:spacing w:after="0" w:line="240" w:lineRule="auto"/>
      </w:pPr>
    </w:p>
  </w:footnote>
  <w:footnote w:id="20">
    <w:p w:rsidR="005361DF" w:rsidRDefault="005361DF" w:rsidP="004D0E4A">
      <w:pPr>
        <w:pStyle w:val="FootnoteText"/>
        <w:bidi/>
        <w:jc w:val="both"/>
      </w:pPr>
      <w:r>
        <w:rPr>
          <w:rStyle w:val="FootnoteReference"/>
        </w:rPr>
        <w:footnoteRef/>
      </w:r>
      <w:r w:rsidRPr="0055113B">
        <w:rPr>
          <w:rFonts w:cs="David" w:hint="cs"/>
          <w:color w:val="000000"/>
          <w:rtl/>
          <w:lang w:bidi="he-IL"/>
        </w:rPr>
        <w:t>ראהתקנותסדרהדיןהאזרחיפרקז</w:t>
      </w:r>
      <w:r w:rsidRPr="0055113B">
        <w:rPr>
          <w:rFonts w:cs="David"/>
          <w:color w:val="000000"/>
          <w:rtl/>
        </w:rPr>
        <w:t xml:space="preserve">'1: </w:t>
      </w:r>
      <w:r w:rsidRPr="0055113B">
        <w:rPr>
          <w:rFonts w:cs="David" w:hint="cs"/>
          <w:color w:val="000000"/>
          <w:rtl/>
          <w:lang w:bidi="he-IL"/>
        </w:rPr>
        <w:t>פגישתמהו</w:t>
      </w:r>
      <w:r w:rsidRPr="0055113B">
        <w:rPr>
          <w:rFonts w:cs="David"/>
          <w:color w:val="000000"/>
          <w:rtl/>
        </w:rPr>
        <w:t>"</w:t>
      </w:r>
      <w:r w:rsidRPr="0055113B">
        <w:rPr>
          <w:rFonts w:cs="David" w:hint="cs"/>
          <w:color w:val="000000"/>
          <w:rtl/>
          <w:lang w:bidi="he-IL"/>
        </w:rPr>
        <w:t>תלבחינתהאפשרותליישובהתובענהבגישורתקנות</w:t>
      </w:r>
      <w:r w:rsidRPr="0055113B">
        <w:rPr>
          <w:rFonts w:cs="David"/>
          <w:color w:val="000000"/>
          <w:rtl/>
        </w:rPr>
        <w:t xml:space="preserve">99 </w:t>
      </w:r>
      <w:r w:rsidRPr="0055113B">
        <w:rPr>
          <w:rFonts w:cs="David" w:hint="cs"/>
          <w:color w:val="000000"/>
          <w:rtl/>
          <w:lang w:bidi="he-IL"/>
        </w:rPr>
        <w:t>אואילךלתקנות</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897DCE"/>
    <w:multiLevelType w:val="hybridMultilevel"/>
    <w:tmpl w:val="74402C64"/>
    <w:lvl w:ilvl="0" w:tplc="07687186">
      <w:start w:val="1"/>
      <w:numFmt w:val="decimal"/>
      <w:lvlText w:val="%1."/>
      <w:lvlJc w:val="left"/>
      <w:pPr>
        <w:tabs>
          <w:tab w:val="num" w:pos="720"/>
        </w:tabs>
        <w:ind w:left="720" w:hanging="720"/>
      </w:pPr>
      <w:rPr>
        <w:rFonts w:cs="Times New Roman" w:hint="default"/>
      </w:rPr>
    </w:lvl>
    <w:lvl w:ilvl="1" w:tplc="06D8E18E">
      <w:start w:val="1"/>
      <w:numFmt w:val="hebrew1"/>
      <w:lvlText w:val="%2."/>
      <w:lvlJc w:val="left"/>
      <w:pPr>
        <w:tabs>
          <w:tab w:val="num" w:pos="1080"/>
        </w:tabs>
        <w:ind w:left="1080" w:hanging="360"/>
      </w:pPr>
      <w:rPr>
        <w:rFonts w:cs="Times New Roman" w:hint="default"/>
        <w:sz w:val="2"/>
        <w:szCs w:val="24"/>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1">
    <w:nsid w:val="62465B9F"/>
    <w:multiLevelType w:val="hybridMultilevel"/>
    <w:tmpl w:val="511643CA"/>
    <w:lvl w:ilvl="0" w:tplc="8C38E9FE">
      <w:start w:val="25"/>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D0E4A"/>
    <w:rsid w:val="000E3DAC"/>
    <w:rsid w:val="00187E4C"/>
    <w:rsid w:val="002205DE"/>
    <w:rsid w:val="00251D22"/>
    <w:rsid w:val="002B6070"/>
    <w:rsid w:val="00324B51"/>
    <w:rsid w:val="00336A47"/>
    <w:rsid w:val="004D0E4A"/>
    <w:rsid w:val="0052311D"/>
    <w:rsid w:val="005361DF"/>
    <w:rsid w:val="0055113B"/>
    <w:rsid w:val="005C36E8"/>
    <w:rsid w:val="00612326"/>
    <w:rsid w:val="00627BF5"/>
    <w:rsid w:val="007151B8"/>
    <w:rsid w:val="007B7978"/>
    <w:rsid w:val="00842C86"/>
    <w:rsid w:val="00877C9B"/>
    <w:rsid w:val="00905EB4"/>
    <w:rsid w:val="00970C92"/>
    <w:rsid w:val="009B1DBD"/>
    <w:rsid w:val="009B5008"/>
    <w:rsid w:val="009E219E"/>
    <w:rsid w:val="00C35DE9"/>
    <w:rsid w:val="00C627F3"/>
    <w:rsid w:val="00D0587B"/>
    <w:rsid w:val="00EF3A4A"/>
    <w:rsid w:val="00F07367"/>
    <w:rsid w:val="00F51BB3"/>
    <w:rsid w:val="00F72BA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sz w:val="22"/>
        <w:szCs w:val="22"/>
        <w:lang w:val="en-US" w:eastAsia="en-US" w:bidi="he-IL"/>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7367"/>
    <w:pPr>
      <w:spacing w:after="200" w:line="276" w:lineRule="auto"/>
    </w:pPr>
    <w:rPr>
      <w:lang w:bidi="ar-S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rsid w:val="004D0E4A"/>
    <w:pPr>
      <w:spacing w:after="0" w:line="240" w:lineRule="auto"/>
    </w:pPr>
    <w:rPr>
      <w:sz w:val="20"/>
      <w:szCs w:val="20"/>
    </w:rPr>
  </w:style>
  <w:style w:type="character" w:customStyle="1" w:styleId="FootnoteTextChar">
    <w:name w:val="Footnote Text Char"/>
    <w:basedOn w:val="DefaultParagraphFont"/>
    <w:link w:val="FootnoteText"/>
    <w:uiPriority w:val="99"/>
    <w:semiHidden/>
    <w:locked/>
    <w:rsid w:val="004D0E4A"/>
    <w:rPr>
      <w:rFonts w:cs="Times New Roman"/>
      <w:sz w:val="20"/>
      <w:szCs w:val="20"/>
    </w:rPr>
  </w:style>
  <w:style w:type="character" w:styleId="Hyperlink">
    <w:name w:val="Hyperlink"/>
    <w:basedOn w:val="DefaultParagraphFont"/>
    <w:uiPriority w:val="99"/>
    <w:rsid w:val="004D0E4A"/>
    <w:rPr>
      <w:rFonts w:cs="Times New Roman"/>
      <w:color w:val="0000FF"/>
      <w:u w:val="single"/>
    </w:rPr>
  </w:style>
  <w:style w:type="character" w:styleId="FootnoteReference">
    <w:name w:val="footnote reference"/>
    <w:basedOn w:val="DefaultParagraphFont"/>
    <w:uiPriority w:val="99"/>
    <w:semiHidden/>
    <w:rsid w:val="004D0E4A"/>
    <w:rPr>
      <w:rFonts w:cs="Times New Roman"/>
      <w:vertAlign w:val="superscript"/>
    </w:rPr>
  </w:style>
  <w:style w:type="paragraph" w:styleId="Header">
    <w:name w:val="header"/>
    <w:basedOn w:val="Normal"/>
    <w:link w:val="HeaderChar"/>
    <w:uiPriority w:val="99"/>
    <w:rsid w:val="007151B8"/>
    <w:pPr>
      <w:tabs>
        <w:tab w:val="center" w:pos="4320"/>
        <w:tab w:val="right" w:pos="8640"/>
      </w:tabs>
      <w:spacing w:after="0" w:line="240" w:lineRule="auto"/>
    </w:pPr>
  </w:style>
  <w:style w:type="character" w:customStyle="1" w:styleId="HeaderChar">
    <w:name w:val="Header Char"/>
    <w:basedOn w:val="DefaultParagraphFont"/>
    <w:link w:val="Header"/>
    <w:uiPriority w:val="99"/>
    <w:locked/>
    <w:rsid w:val="007151B8"/>
    <w:rPr>
      <w:rFonts w:cs="Times New Roman"/>
    </w:rPr>
  </w:style>
  <w:style w:type="paragraph" w:styleId="Footer">
    <w:name w:val="footer"/>
    <w:basedOn w:val="Normal"/>
    <w:link w:val="FooterChar"/>
    <w:uiPriority w:val="99"/>
    <w:rsid w:val="007151B8"/>
    <w:pPr>
      <w:tabs>
        <w:tab w:val="center" w:pos="4320"/>
        <w:tab w:val="right" w:pos="8640"/>
      </w:tabs>
      <w:spacing w:after="0" w:line="240" w:lineRule="auto"/>
    </w:pPr>
  </w:style>
  <w:style w:type="character" w:customStyle="1" w:styleId="FooterChar">
    <w:name w:val="Footer Char"/>
    <w:basedOn w:val="DefaultParagraphFont"/>
    <w:link w:val="Footer"/>
    <w:uiPriority w:val="99"/>
    <w:locked/>
    <w:rsid w:val="007151B8"/>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3" Type="http://schemas.openxmlformats.org/officeDocument/2006/relationships/hyperlink" Target="http://elyon1.court.gov.il/heb/laws/manat.htm" TargetMode="External"/><Relationship Id="rId2" Type="http://schemas.openxmlformats.org/officeDocument/2006/relationships/hyperlink" Target="http://www.israelbar.org.il/article_inner.asp?pgId=115026&amp;catId=6" TargetMode="External"/><Relationship Id="rId1" Type="http://schemas.openxmlformats.org/officeDocument/2006/relationships/hyperlink" Target="http://www.nevo.co.il/Law_word/law01/031_001.doc" TargetMode="External"/><Relationship Id="rId5" Type="http://schemas.openxmlformats.org/officeDocument/2006/relationships/hyperlink" Target="http://www.justice.gov.il/NR/exeres/C0B4BE00-294E-4F38-9DC6-FAA48F1B9813.htm" TargetMode="External"/><Relationship Id="rId4" Type="http://schemas.openxmlformats.org/officeDocument/2006/relationships/hyperlink" Target="http://www.justice.gov.il/NR/rdonlyres/B6AC9A27-A06A-41F5-B9F1-6E296BF6306/25396/DiyunMahir.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0AFFDC-05E2-41B7-9DC6-13BE9A2797F8}"/>
</file>

<file path=customXml/itemProps2.xml><?xml version="1.0" encoding="utf-8"?>
<ds:datastoreItem xmlns:ds="http://schemas.openxmlformats.org/officeDocument/2006/customXml" ds:itemID="{3338F46C-5A5B-4B7D-B041-66197F988BC0}"/>
</file>

<file path=customXml/itemProps3.xml><?xml version="1.0" encoding="utf-8"?>
<ds:datastoreItem xmlns:ds="http://schemas.openxmlformats.org/officeDocument/2006/customXml" ds:itemID="{E3F6820F-6F43-455D-AF8A-8F4B45D7687C}"/>
</file>

<file path=docProps/app.xml><?xml version="1.0" encoding="utf-8"?>
<Properties xmlns="http://schemas.openxmlformats.org/officeDocument/2006/extended-properties" xmlns:vt="http://schemas.openxmlformats.org/officeDocument/2006/docPropsVTypes">
  <Template>Normal_Wordconv</Template>
  <TotalTime>0</TotalTime>
  <Pages>5</Pages>
  <Words>1347</Words>
  <Characters>6735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יחזקאל סיבק, עו"ד</dc:title>
  <dc:subject/>
  <dc:creator>user</dc:creator>
  <cp:keywords/>
  <dc:description/>
  <cp:lastModifiedBy>User</cp:lastModifiedBy>
  <cp:revision>2</cp:revision>
  <dcterms:created xsi:type="dcterms:W3CDTF">2012-01-01T07:15:00Z</dcterms:created>
  <dcterms:modified xsi:type="dcterms:W3CDTF">2012-01-01T07:15:00Z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