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57FD" w:rsidRPr="00EE0FE1" w:rsidRDefault="009957FD" w:rsidP="00D83A5F">
      <w:pPr>
        <w:spacing w:line="360" w:lineRule="auto"/>
        <w:jc w:val="both"/>
        <w:rPr>
          <w:rFonts w:cs="David"/>
          <w:b/>
          <w:bCs/>
          <w:sz w:val="26"/>
          <w:szCs w:val="26"/>
          <w:rtl/>
        </w:rPr>
      </w:pPr>
      <w:r>
        <w:rPr>
          <w:rFonts w:cs="David"/>
          <w:b/>
          <w:bCs/>
          <w:sz w:val="26"/>
          <w:szCs w:val="26"/>
          <w:rtl/>
        </w:rPr>
        <w:t>סקירת קשיים בתחום שכר בכירים, התשתית העובדתית, שינויי חקיקה אחרונים בחוק החברות וההסדר המוצע</w:t>
      </w:r>
      <w:r w:rsidRPr="00EE0FE1">
        <w:rPr>
          <w:rFonts w:cs="David"/>
          <w:b/>
          <w:bCs/>
          <w:sz w:val="26"/>
          <w:szCs w:val="26"/>
          <w:rtl/>
        </w:rPr>
        <w:t>ל</w:t>
      </w:r>
      <w:r>
        <w:rPr>
          <w:rFonts w:cs="David"/>
          <w:b/>
          <w:bCs/>
          <w:sz w:val="26"/>
          <w:szCs w:val="26"/>
          <w:rtl/>
        </w:rPr>
        <w:t>קראת ה</w:t>
      </w:r>
      <w:r w:rsidRPr="00EE0FE1">
        <w:rPr>
          <w:rFonts w:cs="David"/>
          <w:b/>
          <w:bCs/>
          <w:sz w:val="26"/>
          <w:szCs w:val="26"/>
          <w:rtl/>
        </w:rPr>
        <w:t xml:space="preserve">דיון בוועדת החוקה בעניין הצעת חוק החברות (תיקון </w:t>
      </w:r>
      <w:r w:rsidRPr="00D83A5F">
        <w:rPr>
          <w:rFonts w:cs="David"/>
          <w:b/>
          <w:bCs/>
          <w:sz w:val="26"/>
          <w:szCs w:val="26"/>
          <w:u w:val="single"/>
          <w:rtl/>
        </w:rPr>
        <w:t>מס' 20) (תנאי כהונה והעסקה בחברות ציבוריות ובחברות איגרות חוב), התשע"ב-2012</w:t>
      </w:r>
    </w:p>
    <w:p w:rsidR="009957FD" w:rsidRPr="00D34CA1" w:rsidRDefault="009957FD" w:rsidP="00B62336">
      <w:pPr>
        <w:spacing w:line="360" w:lineRule="auto"/>
        <w:jc w:val="both"/>
        <w:rPr>
          <w:rFonts w:cs="David"/>
          <w:rtl/>
        </w:rPr>
      </w:pPr>
    </w:p>
    <w:p w:rsidR="009957FD" w:rsidRPr="00D34CA1" w:rsidRDefault="009957FD" w:rsidP="00D83A5F">
      <w:pPr>
        <w:spacing w:line="360" w:lineRule="auto"/>
        <w:jc w:val="both"/>
        <w:rPr>
          <w:rFonts w:cs="David"/>
          <w:b/>
          <w:bCs/>
          <w:sz w:val="26"/>
          <w:szCs w:val="26"/>
          <w:u w:val="single"/>
          <w:rtl/>
        </w:rPr>
      </w:pPr>
      <w:r>
        <w:rPr>
          <w:rFonts w:cs="David"/>
          <w:b/>
          <w:bCs/>
          <w:sz w:val="26"/>
          <w:szCs w:val="26"/>
          <w:highlight w:val="cyan"/>
          <w:u w:val="single"/>
        </w:rPr>
        <w:t>1</w:t>
      </w:r>
      <w:r>
        <w:rPr>
          <w:rFonts w:cs="David"/>
          <w:b/>
          <w:bCs/>
          <w:sz w:val="26"/>
          <w:szCs w:val="26"/>
          <w:highlight w:val="cyan"/>
          <w:u w:val="single"/>
          <w:rtl/>
        </w:rPr>
        <w:t>.</w:t>
      </w:r>
      <w:r w:rsidRPr="00DC6BEF">
        <w:rPr>
          <w:rFonts w:cs="David"/>
          <w:b/>
          <w:bCs/>
          <w:sz w:val="26"/>
          <w:szCs w:val="26"/>
          <w:highlight w:val="cyan"/>
          <w:u w:val="single"/>
          <w:rtl/>
        </w:rPr>
        <w:t>טעמים אפשריים להצדקת הסדרת שכר בכירים בחברות ציבוריות:</w:t>
      </w:r>
    </w:p>
    <w:p w:rsidR="009957FD" w:rsidRPr="00D34CA1" w:rsidRDefault="009957FD" w:rsidP="00B62336">
      <w:pPr>
        <w:pStyle w:val="ListParagraph"/>
        <w:numPr>
          <w:ilvl w:val="0"/>
          <w:numId w:val="1"/>
        </w:numPr>
        <w:spacing w:line="360" w:lineRule="auto"/>
        <w:jc w:val="both"/>
        <w:rPr>
          <w:rFonts w:cs="David"/>
        </w:rPr>
      </w:pPr>
      <w:r w:rsidRPr="00D34CA1">
        <w:rPr>
          <w:rFonts w:cs="David"/>
          <w:u w:val="single"/>
          <w:rtl/>
        </w:rPr>
        <w:t>השכר הגבוה מגדיל את הפערים החברתיים</w:t>
      </w:r>
      <w:r w:rsidRPr="00D34CA1">
        <w:rPr>
          <w:rFonts w:cs="David"/>
          <w:rtl/>
        </w:rPr>
        <w:t xml:space="preserve">  - לא מצדיק להתמקד דוקא בחברות ציבוריות; פערים חברתיים נגרמים </w:t>
      </w:r>
      <w:r>
        <w:rPr>
          <w:rFonts w:cs="David"/>
          <w:rtl/>
        </w:rPr>
        <w:t xml:space="preserve">כתוצאה מגורמים רבים, רובם לא ישתנו בעקבות </w:t>
      </w:r>
      <w:r w:rsidRPr="00D34CA1">
        <w:rPr>
          <w:rFonts w:cs="David"/>
          <w:rtl/>
        </w:rPr>
        <w:t xml:space="preserve">הסדרת השכר </w:t>
      </w:r>
      <w:r>
        <w:rPr>
          <w:rFonts w:cs="David"/>
          <w:rtl/>
        </w:rPr>
        <w:t>בחברות ציבוריות</w:t>
      </w:r>
      <w:r w:rsidRPr="00D34CA1">
        <w:rPr>
          <w:rFonts w:cs="David"/>
          <w:rtl/>
        </w:rPr>
        <w:t xml:space="preserve">; הפחתת שכר הבכירים </w:t>
      </w:r>
      <w:r>
        <w:rPr>
          <w:rFonts w:cs="David"/>
          <w:rtl/>
        </w:rPr>
        <w:t xml:space="preserve">בחברה </w:t>
      </w:r>
      <w:r w:rsidRPr="00D34CA1">
        <w:rPr>
          <w:rFonts w:cs="David"/>
          <w:rtl/>
        </w:rPr>
        <w:t xml:space="preserve">לא מעבירה עושר דוקא לעובדים, </w:t>
      </w:r>
      <w:r>
        <w:rPr>
          <w:rFonts w:cs="David"/>
          <w:rtl/>
        </w:rPr>
        <w:t xml:space="preserve">אולי </w:t>
      </w:r>
      <w:r w:rsidRPr="00D34CA1">
        <w:rPr>
          <w:rFonts w:cs="David"/>
          <w:rtl/>
        </w:rPr>
        <w:t xml:space="preserve">דוקא משאירה בידי בעלי השליטה; </w:t>
      </w:r>
      <w:r>
        <w:rPr>
          <w:rFonts w:cs="David"/>
          <w:rtl/>
        </w:rPr>
        <w:t xml:space="preserve">צמצום </w:t>
      </w:r>
      <w:r w:rsidRPr="00D34CA1">
        <w:rPr>
          <w:rFonts w:cs="David"/>
          <w:rtl/>
        </w:rPr>
        <w:t xml:space="preserve">פערים חברתיים </w:t>
      </w:r>
      <w:r>
        <w:rPr>
          <w:rFonts w:cs="David"/>
          <w:rtl/>
        </w:rPr>
        <w:t xml:space="preserve">צריך להיעשות באמצעות פתרונות מתחום </w:t>
      </w:r>
      <w:r w:rsidRPr="00D34CA1">
        <w:rPr>
          <w:rFonts w:cs="David"/>
          <w:rtl/>
        </w:rPr>
        <w:t xml:space="preserve">המס. </w:t>
      </w:r>
    </w:p>
    <w:p w:rsidR="009957FD" w:rsidRPr="00D34CA1" w:rsidRDefault="009957FD" w:rsidP="00B62336">
      <w:pPr>
        <w:pStyle w:val="ListParagraph"/>
        <w:numPr>
          <w:ilvl w:val="0"/>
          <w:numId w:val="1"/>
        </w:numPr>
        <w:spacing w:line="360" w:lineRule="auto"/>
        <w:jc w:val="both"/>
        <w:rPr>
          <w:rFonts w:cs="David"/>
        </w:rPr>
      </w:pPr>
      <w:r w:rsidRPr="00D34CA1">
        <w:rPr>
          <w:rFonts w:cs="David"/>
          <w:u w:val="single"/>
          <w:rtl/>
        </w:rPr>
        <w:t xml:space="preserve">השכר ומבנה השכר אינם </w:t>
      </w:r>
      <w:r>
        <w:rPr>
          <w:rFonts w:cs="David"/>
          <w:u w:val="single"/>
          <w:rtl/>
        </w:rPr>
        <w:t xml:space="preserve">פועלים </w:t>
      </w:r>
      <w:r w:rsidRPr="00D34CA1">
        <w:rPr>
          <w:rFonts w:cs="David"/>
          <w:u w:val="single"/>
          <w:rtl/>
        </w:rPr>
        <w:t xml:space="preserve">לטובת בעלי המניות והציבור בכללותו </w:t>
      </w:r>
      <w:r w:rsidRPr="00D34CA1">
        <w:rPr>
          <w:rFonts w:cs="David"/>
          <w:rtl/>
        </w:rPr>
        <w:t>–</w:t>
      </w:r>
    </w:p>
    <w:p w:rsidR="009957FD" w:rsidRDefault="009957FD" w:rsidP="00D83A5F">
      <w:pPr>
        <w:pStyle w:val="ListParagraph"/>
        <w:numPr>
          <w:ilvl w:val="0"/>
          <w:numId w:val="2"/>
        </w:numPr>
        <w:spacing w:line="360" w:lineRule="auto"/>
        <w:jc w:val="both"/>
        <w:rPr>
          <w:rFonts w:cs="David"/>
        </w:rPr>
      </w:pPr>
      <w:r w:rsidRPr="003F3425">
        <w:rPr>
          <w:rFonts w:cs="David"/>
          <w:b/>
          <w:bCs/>
          <w:rtl/>
        </w:rPr>
        <w:t>בעיות יחודיות במוסדות פיננסיים</w:t>
      </w:r>
      <w:r w:rsidRPr="003F3425">
        <w:rPr>
          <w:rFonts w:cs="David"/>
          <w:rtl/>
        </w:rPr>
        <w:t xml:space="preserve"> - בשל כך שמנהלים את כספם של אחרים; מנהלים חסכונות של הציבור, דבר שמגביר את הצורך בהתערבות רגולטורית</w:t>
      </w:r>
      <w:r>
        <w:rPr>
          <w:rFonts w:cs="David"/>
          <w:rtl/>
        </w:rPr>
        <w:t>;</w:t>
      </w:r>
      <w:r w:rsidRPr="003F3425">
        <w:rPr>
          <w:rFonts w:cs="David"/>
          <w:rtl/>
        </w:rPr>
        <w:t>מצוי בסמכות הרשות לני"ע, המפקח על הבנקים והממונה על שוק ההון ש</w:t>
      </w:r>
      <w:r>
        <w:rPr>
          <w:rFonts w:cs="David"/>
          <w:rtl/>
        </w:rPr>
        <w:t>אף הוציאו הנחיות בנושא.</w:t>
      </w:r>
    </w:p>
    <w:p w:rsidR="009957FD" w:rsidRDefault="009957FD" w:rsidP="00B62336">
      <w:pPr>
        <w:pStyle w:val="ListParagraph"/>
        <w:numPr>
          <w:ilvl w:val="0"/>
          <w:numId w:val="2"/>
        </w:numPr>
        <w:spacing w:line="360" w:lineRule="auto"/>
        <w:jc w:val="both"/>
        <w:rPr>
          <w:rFonts w:cs="David"/>
        </w:rPr>
      </w:pPr>
      <w:r w:rsidRPr="003F3425">
        <w:rPr>
          <w:rFonts w:cs="David"/>
          <w:b/>
          <w:bCs/>
          <w:rtl/>
        </w:rPr>
        <w:t>הגנה על ציבור המשקיעים בחברות ציבוריות בכללועל בעלי מניות המיעוט בפרט</w:t>
      </w:r>
      <w:r w:rsidRPr="003F3425">
        <w:rPr>
          <w:rFonts w:cs="David"/>
          <w:rtl/>
        </w:rPr>
        <w:t xml:space="preserve">– מניעת הטיה בשכר </w:t>
      </w:r>
      <w:r>
        <w:rPr>
          <w:rFonts w:cs="David"/>
          <w:rtl/>
        </w:rPr>
        <w:t>בכירים כתוצאה מ</w:t>
      </w:r>
      <w:r w:rsidRPr="003F3425">
        <w:rPr>
          <w:rFonts w:cs="David"/>
          <w:rtl/>
        </w:rPr>
        <w:t xml:space="preserve">ניגודי ענינים של הגורמים המאשרים או בעלי השליטה; </w:t>
      </w:r>
      <w:r>
        <w:rPr>
          <w:rFonts w:cs="David"/>
          <w:rtl/>
        </w:rPr>
        <w:t xml:space="preserve">קביעת </w:t>
      </w:r>
      <w:r w:rsidRPr="003F3425">
        <w:rPr>
          <w:rFonts w:cs="David"/>
          <w:rtl/>
        </w:rPr>
        <w:t xml:space="preserve">מבנה שכר שישרת את האינטרסים של </w:t>
      </w:r>
      <w:r>
        <w:rPr>
          <w:rFonts w:cs="David"/>
          <w:rtl/>
        </w:rPr>
        <w:t xml:space="preserve">כלל </w:t>
      </w:r>
      <w:r w:rsidRPr="003F3425">
        <w:rPr>
          <w:rFonts w:cs="David"/>
          <w:rtl/>
        </w:rPr>
        <w:t>בעלי המניות ולא יתמרץ התנהגות אינטרסנטית הפוגעת בהם (מרכיבים קבועים ומשתנים, מענקי פרישה, בונוסים, שכר תלוי ביצועים)</w:t>
      </w:r>
      <w:r>
        <w:rPr>
          <w:rFonts w:cs="David"/>
          <w:rtl/>
        </w:rPr>
        <w:t>.</w:t>
      </w:r>
    </w:p>
    <w:p w:rsidR="009957FD" w:rsidRPr="003F3425" w:rsidRDefault="009957FD" w:rsidP="00D83A5F">
      <w:pPr>
        <w:pStyle w:val="ListParagraph"/>
        <w:spacing w:line="360" w:lineRule="auto"/>
        <w:ind w:left="1800"/>
        <w:jc w:val="both"/>
        <w:rPr>
          <w:rFonts w:cs="David"/>
        </w:rPr>
      </w:pPr>
    </w:p>
    <w:p w:rsidR="009957FD" w:rsidRDefault="009957FD" w:rsidP="00B62336">
      <w:pPr>
        <w:spacing w:line="360" w:lineRule="auto"/>
        <w:jc w:val="both"/>
        <w:rPr>
          <w:rFonts w:cs="David"/>
          <w:b/>
          <w:bCs/>
          <w:sz w:val="26"/>
          <w:szCs w:val="26"/>
          <w:u w:val="single"/>
          <w:rtl/>
        </w:rPr>
      </w:pPr>
      <w:r>
        <w:rPr>
          <w:rFonts w:cs="David"/>
          <w:b/>
          <w:bCs/>
          <w:sz w:val="26"/>
          <w:szCs w:val="26"/>
          <w:highlight w:val="cyan"/>
          <w:u w:val="single"/>
          <w:rtl/>
        </w:rPr>
        <w:t>2.</w:t>
      </w:r>
      <w:r w:rsidRPr="00197524">
        <w:rPr>
          <w:rFonts w:cs="David"/>
          <w:b/>
          <w:bCs/>
          <w:sz w:val="26"/>
          <w:szCs w:val="26"/>
          <w:highlight w:val="cyan"/>
          <w:u w:val="single"/>
          <w:rtl/>
        </w:rPr>
        <w:t>שכר בכירים</w:t>
      </w:r>
      <w:r>
        <w:rPr>
          <w:rFonts w:cs="David"/>
          <w:b/>
          <w:bCs/>
          <w:sz w:val="26"/>
          <w:szCs w:val="26"/>
          <w:highlight w:val="cyan"/>
          <w:u w:val="single"/>
          <w:rtl/>
        </w:rPr>
        <w:t>–התיחסות עקרונית לקשיים</w:t>
      </w:r>
    </w:p>
    <w:p w:rsidR="009957FD" w:rsidRPr="00197524" w:rsidRDefault="009957FD" w:rsidP="00B62336">
      <w:pPr>
        <w:pStyle w:val="ListParagraph"/>
        <w:numPr>
          <w:ilvl w:val="0"/>
          <w:numId w:val="36"/>
        </w:numPr>
        <w:spacing w:line="360" w:lineRule="auto"/>
        <w:jc w:val="both"/>
        <w:rPr>
          <w:rFonts w:cs="David"/>
          <w:b/>
          <w:bCs/>
          <w:sz w:val="26"/>
          <w:szCs w:val="26"/>
          <w:u w:val="single"/>
          <w:rtl/>
        </w:rPr>
      </w:pPr>
      <w:r w:rsidRPr="00197524">
        <w:rPr>
          <w:rFonts w:cs="David"/>
          <w:b/>
          <w:bCs/>
          <w:sz w:val="26"/>
          <w:szCs w:val="26"/>
          <w:u w:val="single"/>
          <w:rtl/>
        </w:rPr>
        <w:t>כללי</w:t>
      </w:r>
      <w:r>
        <w:rPr>
          <w:rFonts w:cs="David"/>
          <w:b/>
          <w:bCs/>
          <w:sz w:val="26"/>
          <w:szCs w:val="26"/>
          <w:u w:val="single"/>
          <w:rtl/>
        </w:rPr>
        <w:t xml:space="preserve">– שכר בכירים ובעיית הנציג </w:t>
      </w:r>
    </w:p>
    <w:p w:rsidR="009957FD" w:rsidRPr="00D34CA1" w:rsidRDefault="009957FD" w:rsidP="00B62336">
      <w:pPr>
        <w:pStyle w:val="ListParagraph"/>
        <w:numPr>
          <w:ilvl w:val="0"/>
          <w:numId w:val="3"/>
        </w:numPr>
        <w:spacing w:line="360" w:lineRule="auto"/>
        <w:jc w:val="both"/>
        <w:rPr>
          <w:rFonts w:cs="David"/>
        </w:rPr>
      </w:pPr>
      <w:r w:rsidRPr="00D34CA1">
        <w:rPr>
          <w:rFonts w:cs="David"/>
          <w:rtl/>
        </w:rPr>
        <w:t>העקרון הכללי שקובע חוק החברות הוא שחברה רשאית לאשר שכר רק אם העסקה אינה פוגעת בטובת החברה (סעיף 270)</w:t>
      </w:r>
      <w:r>
        <w:rPr>
          <w:rFonts w:cs="David"/>
          <w:rtl/>
        </w:rPr>
        <w:t xml:space="preserve">. עם זאת, </w:t>
      </w:r>
      <w:r w:rsidRPr="00D34CA1">
        <w:rPr>
          <w:rFonts w:cs="David"/>
          <w:rtl/>
        </w:rPr>
        <w:t xml:space="preserve">קביעת שכר של נושאי משרה היא מקרה מובהק </w:t>
      </w:r>
      <w:r>
        <w:rPr>
          <w:rFonts w:cs="David"/>
          <w:rtl/>
        </w:rPr>
        <w:t xml:space="preserve">של </w:t>
      </w:r>
      <w:r w:rsidRPr="00D34CA1">
        <w:rPr>
          <w:rFonts w:cs="David"/>
          <w:rtl/>
        </w:rPr>
        <w:t xml:space="preserve">בעית נציג, כלומר – חשש שקבלת ההחלטות תקדם אינטרסים של נושאי המשרה </w:t>
      </w:r>
      <w:r>
        <w:rPr>
          <w:rFonts w:cs="David"/>
          <w:rtl/>
        </w:rPr>
        <w:t xml:space="preserve">או של בעלי השליטה </w:t>
      </w:r>
      <w:r w:rsidRPr="00D34CA1">
        <w:rPr>
          <w:rFonts w:cs="David"/>
          <w:rtl/>
        </w:rPr>
        <w:t xml:space="preserve">ולא של כלל בעלי המניות בחברה. בשל כך קיימים </w:t>
      </w:r>
      <w:r>
        <w:rPr>
          <w:rFonts w:cs="David"/>
          <w:rtl/>
        </w:rPr>
        <w:t xml:space="preserve">גם היום </w:t>
      </w:r>
      <w:r w:rsidRPr="00D34CA1">
        <w:rPr>
          <w:rFonts w:cs="David"/>
          <w:rtl/>
        </w:rPr>
        <w:t xml:space="preserve">הסדרים יחודיים לעסקה עם נושאי משרה לגבי תנאי </w:t>
      </w:r>
      <w:r>
        <w:rPr>
          <w:rFonts w:cs="David"/>
          <w:rtl/>
        </w:rPr>
        <w:t>ה</w:t>
      </w:r>
      <w:r w:rsidRPr="00D34CA1">
        <w:rPr>
          <w:rFonts w:cs="David"/>
          <w:rtl/>
        </w:rPr>
        <w:t>עסקתם (פירוט להלן).</w:t>
      </w:r>
    </w:p>
    <w:p w:rsidR="009957FD" w:rsidRPr="00D34CA1" w:rsidRDefault="009957FD" w:rsidP="00B62336">
      <w:pPr>
        <w:pStyle w:val="ListParagraph"/>
        <w:numPr>
          <w:ilvl w:val="0"/>
          <w:numId w:val="3"/>
        </w:numPr>
        <w:spacing w:line="360" w:lineRule="auto"/>
        <w:jc w:val="both"/>
        <w:rPr>
          <w:rFonts w:cs="David"/>
        </w:rPr>
      </w:pPr>
      <w:r w:rsidRPr="00D34CA1">
        <w:rPr>
          <w:rFonts w:cs="David"/>
          <w:rtl/>
        </w:rPr>
        <w:t xml:space="preserve">בישראל מאפיינים יחודיים היוצרים בעיות נציג יחודיות: לרוב החברות הציבוריות בעל שליטה דומיננטי וקיימות פירמידות שליטה רבות; על כן קיימת פחות בעית נציג בין בעלי המניות למנהלים ולדירקטוריון </w:t>
      </w:r>
      <w:r>
        <w:rPr>
          <w:rFonts w:cs="David"/>
          <w:rtl/>
        </w:rPr>
        <w:t>ויותר בעי</w:t>
      </w:r>
      <w:r w:rsidRPr="00D34CA1">
        <w:rPr>
          <w:rFonts w:cs="David"/>
          <w:rtl/>
        </w:rPr>
        <w:t>ת בין בעל השליטה וההנהלה שהוא ממנה לבין בעלי מניות המיעוט.</w:t>
      </w:r>
    </w:p>
    <w:p w:rsidR="009957FD" w:rsidRDefault="009957FD" w:rsidP="00B62336">
      <w:pPr>
        <w:pStyle w:val="ListParagraph"/>
        <w:numPr>
          <w:ilvl w:val="0"/>
          <w:numId w:val="3"/>
        </w:numPr>
        <w:spacing w:line="360" w:lineRule="auto"/>
        <w:jc w:val="both"/>
        <w:rPr>
          <w:rFonts w:cs="David"/>
        </w:rPr>
      </w:pPr>
      <w:r w:rsidRPr="00D34CA1">
        <w:rPr>
          <w:rFonts w:cs="David"/>
          <w:rtl/>
        </w:rPr>
        <w:t>נדרשת הסדרה שתמנע ניצול לרעה של כוחו של בעל השליטה ושתנטרל ניגודי ענינים בין המנהלים לבעלי השליטה, תוך מתן משקל לאינטרס של בעלי</w:t>
      </w:r>
      <w:r>
        <w:rPr>
          <w:rFonts w:cs="David"/>
          <w:rtl/>
        </w:rPr>
        <w:t xml:space="preserve"> מניות המיעוט בעיקר כשיש נסיבות</w:t>
      </w:r>
      <w:r w:rsidRPr="00D34CA1">
        <w:rPr>
          <w:rFonts w:cs="David"/>
          <w:rtl/>
        </w:rPr>
        <w:t xml:space="preserve"> שבשלן בעל השליטה אינו מפקח טוב על השכר בחברה (</w:t>
      </w:r>
      <w:r>
        <w:rPr>
          <w:rFonts w:cs="David"/>
          <w:rtl/>
        </w:rPr>
        <w:t xml:space="preserve">למשל: הוא / </w:t>
      </w:r>
      <w:r w:rsidRPr="00D34CA1">
        <w:rPr>
          <w:rFonts w:cs="David"/>
          <w:rtl/>
        </w:rPr>
        <w:t xml:space="preserve">משפחתו מועסקים בחברה; בעל השליטה מתגמל את נושאי המשרה על פעילות מחוץ לחברה; </w:t>
      </w:r>
      <w:r>
        <w:rPr>
          <w:rFonts w:cs="David"/>
          <w:rtl/>
        </w:rPr>
        <w:t>בקבוצה עסקית – כשיש פער גדול בין השליטה להיקף האחזקות</w:t>
      </w:r>
      <w:r w:rsidRPr="00D34CA1">
        <w:rPr>
          <w:rFonts w:cs="David"/>
          <w:rtl/>
        </w:rPr>
        <w:t>).</w:t>
      </w:r>
    </w:p>
    <w:p w:rsidR="009957FD" w:rsidRPr="00026A0B" w:rsidRDefault="009957FD" w:rsidP="00B62336">
      <w:pPr>
        <w:spacing w:line="360" w:lineRule="auto"/>
        <w:jc w:val="both"/>
        <w:rPr>
          <w:rFonts w:cs="David"/>
          <w:b/>
          <w:bCs/>
          <w:rtl/>
        </w:rPr>
      </w:pPr>
    </w:p>
    <w:p w:rsidR="009957FD" w:rsidRPr="00F6070B" w:rsidRDefault="009957FD" w:rsidP="00B62336">
      <w:pPr>
        <w:spacing w:line="360" w:lineRule="auto"/>
        <w:jc w:val="both"/>
        <w:rPr>
          <w:rFonts w:cs="David"/>
          <w:b/>
          <w:bCs/>
          <w:u w:val="single"/>
          <w:rtl/>
        </w:rPr>
      </w:pPr>
      <w:r>
        <w:rPr>
          <w:rFonts w:cs="David"/>
          <w:b/>
          <w:bCs/>
          <w:u w:val="single"/>
          <w:rtl/>
        </w:rPr>
        <w:t xml:space="preserve">ב. בעית נציג לגבי </w:t>
      </w:r>
      <w:r w:rsidRPr="00F6070B">
        <w:rPr>
          <w:rFonts w:cs="David"/>
          <w:b/>
          <w:bCs/>
          <w:u w:val="single"/>
          <w:rtl/>
        </w:rPr>
        <w:t xml:space="preserve">שכר מנהלים שאינם בעלי שליטה </w:t>
      </w:r>
    </w:p>
    <w:p w:rsidR="009957FD" w:rsidRDefault="009957FD" w:rsidP="00B62336">
      <w:pPr>
        <w:pStyle w:val="ListParagraph"/>
        <w:numPr>
          <w:ilvl w:val="0"/>
          <w:numId w:val="8"/>
        </w:numPr>
        <w:spacing w:line="360" w:lineRule="auto"/>
        <w:jc w:val="both"/>
        <w:rPr>
          <w:rFonts w:cs="David"/>
          <w:b/>
          <w:bCs/>
        </w:rPr>
      </w:pPr>
      <w:r w:rsidRPr="00C42FF8">
        <w:rPr>
          <w:rFonts w:cs="David"/>
          <w:b/>
          <w:bCs/>
          <w:rtl/>
        </w:rPr>
        <w:t>בחברה מבוזרת</w:t>
      </w:r>
      <w:r>
        <w:rPr>
          <w:rFonts w:cs="David"/>
          <w:rtl/>
        </w:rPr>
        <w:t xml:space="preserve">– חשש כי הקשר ההדוק בין ההנהלה לדירקטורים הן בשל יחסי העבודה והן בשל השפעת ההנהלה על זהות הדירקטורים תפגע ביכולת הדירקטוריון שלא לאשר שכר גבוה למנהלים. </w:t>
      </w:r>
    </w:p>
    <w:p w:rsidR="009957FD" w:rsidRDefault="009957FD" w:rsidP="00B62336">
      <w:pPr>
        <w:pStyle w:val="ListParagraph"/>
        <w:numPr>
          <w:ilvl w:val="0"/>
          <w:numId w:val="8"/>
        </w:numPr>
        <w:spacing w:line="360" w:lineRule="auto"/>
        <w:jc w:val="both"/>
        <w:rPr>
          <w:rFonts w:cs="David"/>
        </w:rPr>
      </w:pPr>
      <w:r w:rsidRPr="00C42FF8">
        <w:rPr>
          <w:rFonts w:cs="David"/>
          <w:b/>
          <w:bCs/>
          <w:rtl/>
        </w:rPr>
        <w:t>בחברה עם בעל שליטה</w:t>
      </w:r>
      <w:r>
        <w:rPr>
          <w:rFonts w:cs="David"/>
          <w:rtl/>
        </w:rPr>
        <w:t xml:space="preserve">– מחד, ההנחה הבסיסית היא שאין לבעל השליטה אינטרס לשלם שכר מופרז ולכן הוא יהיה גורם מפקח; מנגד, יש חשש שהתגמול ינתן למנהל על דברים שהוא עושה מחוץ לתאגיד; בפירמידות שליטה (ביחוד בשלבים הנמוכים) האינטרס של בעל השליטה לפקח יורד, כמו"כ אם המנהל מכהן במספר חברות בקבוצה, יעדיף בעל השליטה להעמיס את עלויות שכרו על החברה שבה החזקותיו הקטנות ביותר; אם מועסקים בחברה גם בעל השליטה או קרוביו –אינטרס לקבוע רף שכר גבוה כדי ששכרו ושכר קרוביו לא יבלוט.  מנגד, נטען כי ממילא המנהל תלוי בבעל השליטה ואין צורך ליצור תלות באמצעות שכר מופרז. </w:t>
      </w:r>
    </w:p>
    <w:p w:rsidR="009957FD" w:rsidRPr="00472222" w:rsidRDefault="009957FD" w:rsidP="00B62336">
      <w:pPr>
        <w:spacing w:line="360" w:lineRule="auto"/>
        <w:jc w:val="both"/>
        <w:rPr>
          <w:rFonts w:cs="David"/>
          <w:highlight w:val="lightGray"/>
          <w:rtl/>
        </w:rPr>
      </w:pPr>
    </w:p>
    <w:p w:rsidR="009957FD" w:rsidRPr="00472222" w:rsidRDefault="009957FD" w:rsidP="00B62336">
      <w:pPr>
        <w:spacing w:line="360" w:lineRule="auto"/>
        <w:jc w:val="both"/>
        <w:rPr>
          <w:rFonts w:cs="David"/>
          <w:b/>
          <w:bCs/>
          <w:u w:val="single"/>
          <w:rtl/>
        </w:rPr>
      </w:pPr>
      <w:r w:rsidRPr="00472222">
        <w:rPr>
          <w:rFonts w:cs="David"/>
          <w:b/>
          <w:bCs/>
          <w:u w:val="single"/>
          <w:rtl/>
        </w:rPr>
        <w:t xml:space="preserve">ג. </w:t>
      </w:r>
      <w:r>
        <w:rPr>
          <w:rFonts w:cs="David"/>
          <w:b/>
          <w:bCs/>
          <w:u w:val="single"/>
          <w:rtl/>
        </w:rPr>
        <w:t xml:space="preserve">בעית נציג לגבי </w:t>
      </w:r>
      <w:r w:rsidRPr="00472222">
        <w:rPr>
          <w:rFonts w:cs="David"/>
          <w:b/>
          <w:bCs/>
          <w:u w:val="single"/>
          <w:rtl/>
        </w:rPr>
        <w:t xml:space="preserve">שכר בעלי שליטה המכהנים כנושאי משרה </w:t>
      </w:r>
    </w:p>
    <w:p w:rsidR="009957FD" w:rsidRDefault="009957FD" w:rsidP="00B62336">
      <w:pPr>
        <w:pStyle w:val="ListParagraph"/>
        <w:numPr>
          <w:ilvl w:val="0"/>
          <w:numId w:val="10"/>
        </w:numPr>
        <w:spacing w:line="360" w:lineRule="auto"/>
        <w:jc w:val="both"/>
        <w:rPr>
          <w:rFonts w:cs="David"/>
        </w:rPr>
      </w:pPr>
      <w:r>
        <w:rPr>
          <w:rFonts w:cs="David"/>
          <w:rtl/>
        </w:rPr>
        <w:t>גם כיום נדרש אישור האסיפה הכללית ברוב מיוחס, אך הגופים המוסדיים המהווים כוח משמעותי מקרב בעלי מניות המיעוט מצויים לא אחת בניגוד ענינים ואינם מהווים גורם מפקח יעיל על בעלי השליטה (ריכוזיות וקשרים בין הגופים המוסדיים לבעלי השליטה בחברות; ההשפעה השולית של שכר הבכירים בחברה  על הגוף המוסדי; גם למנהלי הגופים המוסדיים שכר גבוה...)</w:t>
      </w:r>
    </w:p>
    <w:p w:rsidR="009957FD" w:rsidRDefault="009957FD" w:rsidP="00B62336">
      <w:pPr>
        <w:pStyle w:val="ListParagraph"/>
        <w:numPr>
          <w:ilvl w:val="0"/>
          <w:numId w:val="10"/>
        </w:numPr>
        <w:spacing w:line="360" w:lineRule="auto"/>
        <w:jc w:val="both"/>
        <w:rPr>
          <w:rFonts w:cs="David"/>
        </w:rPr>
      </w:pPr>
      <w:r>
        <w:rPr>
          <w:rFonts w:cs="David"/>
          <w:rtl/>
        </w:rPr>
        <w:t xml:space="preserve">לפי המחקר שערכה רשות נירות ערך –עד שנת 2009 </w:t>
      </w:r>
      <w:r w:rsidRPr="00C42FF8">
        <w:rPr>
          <w:rFonts w:cs="David"/>
          <w:rtl/>
        </w:rPr>
        <w:t xml:space="preserve">האסיפה הכללית </w:t>
      </w:r>
      <w:r>
        <w:rPr>
          <w:rFonts w:cs="David"/>
          <w:rtl/>
        </w:rPr>
        <w:t xml:space="preserve">אישרה </w:t>
      </w:r>
      <w:r w:rsidRPr="00C42FF8">
        <w:rPr>
          <w:rFonts w:cs="David"/>
          <w:rtl/>
        </w:rPr>
        <w:t>כמעט את כל ההחלטות</w:t>
      </w:r>
      <w:r>
        <w:rPr>
          <w:rFonts w:cs="David"/>
          <w:rtl/>
        </w:rPr>
        <w:t xml:space="preserve"> בנושאי שכר בעלי שליטה. מנגד, בתיקון 16 לחוק החברות נקבעו החמרות בנוגע לשכר בעלי שליטה (הצבעת רוב בעלי מניות המיעוט במקום שליש; אישור אחת לשלוש שנים), ולפי הנתונים יש ירידה בשכר בעלי השליטה, ויש יותר מקרים בהם עסקאות לא אושרו ע"י האסיפה הכללית. </w:t>
      </w:r>
    </w:p>
    <w:p w:rsidR="009957FD" w:rsidRDefault="009957FD" w:rsidP="00B62336">
      <w:pPr>
        <w:spacing w:line="360" w:lineRule="auto"/>
        <w:jc w:val="both"/>
        <w:rPr>
          <w:rFonts w:cs="David"/>
          <w:rtl/>
        </w:rPr>
      </w:pPr>
    </w:p>
    <w:p w:rsidR="009957FD" w:rsidRPr="00472222" w:rsidRDefault="009957FD" w:rsidP="00B62336">
      <w:pPr>
        <w:spacing w:line="360" w:lineRule="auto"/>
        <w:jc w:val="both"/>
        <w:rPr>
          <w:rFonts w:cs="David"/>
          <w:b/>
          <w:bCs/>
          <w:u w:val="single"/>
          <w:rtl/>
        </w:rPr>
      </w:pPr>
      <w:r w:rsidRPr="00472222">
        <w:rPr>
          <w:rFonts w:cs="David"/>
          <w:b/>
          <w:bCs/>
          <w:u w:val="single"/>
          <w:rtl/>
        </w:rPr>
        <w:t xml:space="preserve">ד. אין הסדר לגבי </w:t>
      </w:r>
      <w:r>
        <w:rPr>
          <w:rFonts w:cs="David"/>
          <w:b/>
          <w:bCs/>
          <w:u w:val="single"/>
          <w:rtl/>
        </w:rPr>
        <w:t>שכר בכירים ב</w:t>
      </w:r>
      <w:r w:rsidRPr="00472222">
        <w:rPr>
          <w:rFonts w:cs="David"/>
          <w:b/>
          <w:bCs/>
          <w:u w:val="single"/>
          <w:rtl/>
        </w:rPr>
        <w:t>חברות אג"ח</w:t>
      </w:r>
    </w:p>
    <w:p w:rsidR="009957FD" w:rsidRDefault="009957FD" w:rsidP="00B62336">
      <w:pPr>
        <w:spacing w:line="360" w:lineRule="auto"/>
        <w:jc w:val="both"/>
        <w:rPr>
          <w:rFonts w:cs="David"/>
          <w:b/>
          <w:bCs/>
          <w:rtl/>
        </w:rPr>
      </w:pPr>
    </w:p>
    <w:p w:rsidR="009957FD" w:rsidRPr="00472222" w:rsidRDefault="009957FD" w:rsidP="00B62336">
      <w:pPr>
        <w:spacing w:line="360" w:lineRule="auto"/>
        <w:jc w:val="both"/>
        <w:rPr>
          <w:rFonts w:cs="David"/>
          <w:b/>
          <w:bCs/>
          <w:u w:val="single"/>
          <w:rtl/>
        </w:rPr>
      </w:pPr>
      <w:r w:rsidRPr="00472222">
        <w:rPr>
          <w:rFonts w:cs="David"/>
          <w:b/>
          <w:bCs/>
          <w:u w:val="single"/>
          <w:rtl/>
        </w:rPr>
        <w:t>ה</w:t>
      </w:r>
      <w:r>
        <w:rPr>
          <w:rFonts w:cs="David"/>
          <w:b/>
          <w:bCs/>
          <w:u w:val="single"/>
          <w:rtl/>
        </w:rPr>
        <w:t>. בעיות במבנה השכר</w:t>
      </w:r>
    </w:p>
    <w:p w:rsidR="009957FD" w:rsidRDefault="009957FD" w:rsidP="00B62336">
      <w:pPr>
        <w:spacing w:line="360" w:lineRule="auto"/>
        <w:jc w:val="both"/>
        <w:rPr>
          <w:rFonts w:cs="David"/>
          <w:rtl/>
        </w:rPr>
      </w:pPr>
      <w:r>
        <w:rPr>
          <w:rFonts w:cs="David"/>
          <w:rtl/>
        </w:rPr>
        <w:t>1. למרות העברת הדגש למרכיבי שכר תלויי ביצועים, לא נמצאה התאמה בין גובה השכר לביצועי החברות</w:t>
      </w:r>
    </w:p>
    <w:p w:rsidR="009957FD" w:rsidRDefault="009957FD" w:rsidP="00B62336">
      <w:pPr>
        <w:spacing w:line="360" w:lineRule="auto"/>
        <w:jc w:val="both"/>
        <w:rPr>
          <w:rFonts w:cs="David"/>
          <w:rtl/>
        </w:rPr>
      </w:pPr>
      <w:r>
        <w:rPr>
          <w:rFonts w:cs="David"/>
          <w:rtl/>
        </w:rPr>
        <w:t xml:space="preserve">2. כללי החשבונאות מביאים לניפוח השכר מעבר לרמתו האמיתית ומקשים על הערכה מדויקת של גובה השכר ועל השקיפות באישור השכר </w:t>
      </w:r>
    </w:p>
    <w:p w:rsidR="009957FD" w:rsidRDefault="009957FD" w:rsidP="00B62336">
      <w:pPr>
        <w:spacing w:line="360" w:lineRule="auto"/>
        <w:jc w:val="both"/>
        <w:rPr>
          <w:rFonts w:cs="David"/>
          <w:rtl/>
        </w:rPr>
      </w:pPr>
      <w:r>
        <w:rPr>
          <w:rFonts w:cs="David"/>
          <w:rtl/>
        </w:rPr>
        <w:t xml:space="preserve">3. גם בעלי שליטה מבססים את שכרם על מרכיבי שכר משתנים, בונוסים וכיו"ב, על אף שלהם ממילא יש תמריץ למקסם את רווחי החברה </w:t>
      </w:r>
    </w:p>
    <w:p w:rsidR="009957FD" w:rsidRDefault="009957FD" w:rsidP="00B62336">
      <w:pPr>
        <w:spacing w:line="360" w:lineRule="auto"/>
        <w:jc w:val="both"/>
        <w:rPr>
          <w:rFonts w:cs="David"/>
          <w:rtl/>
        </w:rPr>
      </w:pPr>
      <w:r>
        <w:rPr>
          <w:rFonts w:cs="David"/>
          <w:rtl/>
        </w:rPr>
        <w:t>4. מענקי פרישה מוגדלים, ושינוי תנאי פרישה סמוך לסיום התפקיד וללא קשר לביצועים של נושא המשרה</w:t>
      </w:r>
    </w:p>
    <w:p w:rsidR="009957FD" w:rsidRDefault="009957FD" w:rsidP="00B62336">
      <w:pPr>
        <w:spacing w:line="360" w:lineRule="auto"/>
        <w:jc w:val="both"/>
        <w:rPr>
          <w:rFonts w:cs="David"/>
          <w:b/>
          <w:bCs/>
          <w:rtl/>
        </w:rPr>
      </w:pPr>
    </w:p>
    <w:p w:rsidR="009957FD" w:rsidRDefault="009957FD" w:rsidP="00B62336">
      <w:pPr>
        <w:spacing w:line="360" w:lineRule="auto"/>
        <w:jc w:val="both"/>
        <w:rPr>
          <w:rFonts w:cs="David"/>
          <w:rtl/>
        </w:rPr>
      </w:pPr>
      <w:r>
        <w:rPr>
          <w:rFonts w:cs="David"/>
          <w:b/>
          <w:bCs/>
          <w:rtl/>
        </w:rPr>
        <w:t>ו</w:t>
      </w:r>
      <w:r w:rsidRPr="00493756">
        <w:rPr>
          <w:rFonts w:cs="David"/>
          <w:b/>
          <w:bCs/>
          <w:rtl/>
        </w:rPr>
        <w:t>. חובת דיווח –</w:t>
      </w:r>
      <w:r>
        <w:rPr>
          <w:rFonts w:cs="David"/>
          <w:rtl/>
        </w:rPr>
        <w:t xml:space="preserve"> קיימת חובת דיווח </w:t>
      </w:r>
      <w:r w:rsidRPr="00493756">
        <w:rPr>
          <w:rFonts w:cs="David"/>
          <w:rtl/>
        </w:rPr>
        <w:t xml:space="preserve">על </w:t>
      </w:r>
      <w:r>
        <w:rPr>
          <w:rFonts w:cs="David"/>
          <w:rtl/>
        </w:rPr>
        <w:t xml:space="preserve">שכר </w:t>
      </w:r>
      <w:r w:rsidRPr="00493756">
        <w:rPr>
          <w:rFonts w:cs="David"/>
          <w:rtl/>
        </w:rPr>
        <w:t>חמשת בעלי התגמולים הגבוהים מבין נושאי המשרה בחברה – ההנחה היתה שזה יצור שקיפות ש</w:t>
      </w:r>
      <w:r>
        <w:rPr>
          <w:rFonts w:cs="David"/>
          <w:rtl/>
        </w:rPr>
        <w:t>תמתן את גובה השכר ו</w:t>
      </w:r>
      <w:r w:rsidRPr="00493756">
        <w:rPr>
          <w:rFonts w:cs="David"/>
          <w:rtl/>
        </w:rPr>
        <w:t>תאפשר קבלת החלטות מושכלת של המשקיעים</w:t>
      </w:r>
      <w:r>
        <w:rPr>
          <w:rFonts w:cs="David"/>
          <w:rtl/>
        </w:rPr>
        <w:t xml:space="preserve">, אך הטענה היא שזה הביא דוקא להעלאת רף השכר וליצירת בסיס לדרישות בקרב מקבלי השכר הגבוה. </w:t>
      </w:r>
    </w:p>
    <w:p w:rsidR="009957FD" w:rsidRPr="00D34CA1" w:rsidRDefault="009957FD" w:rsidP="00B62336">
      <w:pPr>
        <w:pStyle w:val="ListParagraph"/>
        <w:spacing w:line="360" w:lineRule="auto"/>
        <w:jc w:val="both"/>
        <w:rPr>
          <w:rFonts w:cs="David"/>
        </w:rPr>
      </w:pPr>
    </w:p>
    <w:p w:rsidR="009957FD" w:rsidRPr="00D34CA1" w:rsidRDefault="009957FD" w:rsidP="00B62336">
      <w:pPr>
        <w:spacing w:line="360" w:lineRule="auto"/>
        <w:jc w:val="both"/>
        <w:rPr>
          <w:rFonts w:cs="David"/>
          <w:b/>
          <w:bCs/>
          <w:sz w:val="26"/>
          <w:szCs w:val="26"/>
          <w:u w:val="single"/>
          <w:rtl/>
        </w:rPr>
      </w:pPr>
      <w:r>
        <w:rPr>
          <w:rFonts w:cs="David"/>
          <w:b/>
          <w:bCs/>
          <w:sz w:val="26"/>
          <w:szCs w:val="26"/>
          <w:highlight w:val="cyan"/>
          <w:u w:val="single"/>
          <w:rtl/>
        </w:rPr>
        <w:t>3.</w:t>
      </w:r>
      <w:r w:rsidRPr="00DC6BEF">
        <w:rPr>
          <w:rFonts w:cs="David"/>
          <w:b/>
          <w:bCs/>
          <w:sz w:val="26"/>
          <w:szCs w:val="26"/>
          <w:highlight w:val="cyan"/>
          <w:u w:val="single"/>
          <w:rtl/>
        </w:rPr>
        <w:t>נתונים עובדתיים</w:t>
      </w:r>
    </w:p>
    <w:p w:rsidR="009957FD" w:rsidRPr="00D34CA1" w:rsidRDefault="009957FD" w:rsidP="00B62336">
      <w:pPr>
        <w:spacing w:line="360" w:lineRule="auto"/>
        <w:jc w:val="both"/>
        <w:rPr>
          <w:rFonts w:cs="David"/>
          <w:rtl/>
        </w:rPr>
      </w:pPr>
      <w:r w:rsidRPr="00D34CA1">
        <w:rPr>
          <w:rFonts w:cs="David"/>
          <w:rtl/>
        </w:rPr>
        <w:t>מהמחקר שערכה הרשות לניירות ערך</w:t>
      </w:r>
      <w:r>
        <w:rPr>
          <w:rFonts w:cs="David"/>
          <w:rtl/>
        </w:rPr>
        <w:t xml:space="preserve"> לגבי השנים 2003-2009 </w:t>
      </w:r>
      <w:r w:rsidRPr="00D34CA1">
        <w:rPr>
          <w:rFonts w:cs="David"/>
          <w:rtl/>
        </w:rPr>
        <w:t xml:space="preserve">והוגש לועדת נאמן  ב-8/2010 עולות המסקנות הבאות: </w:t>
      </w:r>
    </w:p>
    <w:p w:rsidR="009957FD" w:rsidRPr="00D34CA1" w:rsidRDefault="009957FD" w:rsidP="00B62336">
      <w:pPr>
        <w:pStyle w:val="ListParagraph"/>
        <w:numPr>
          <w:ilvl w:val="0"/>
          <w:numId w:val="6"/>
        </w:numPr>
        <w:spacing w:line="360" w:lineRule="auto"/>
        <w:jc w:val="both"/>
        <w:rPr>
          <w:rFonts w:cs="David"/>
        </w:rPr>
      </w:pPr>
      <w:r w:rsidRPr="00D34CA1">
        <w:rPr>
          <w:rFonts w:cs="David"/>
          <w:rtl/>
        </w:rPr>
        <w:t>השכר ה</w:t>
      </w:r>
      <w:r>
        <w:rPr>
          <w:rFonts w:cs="David"/>
          <w:rtl/>
        </w:rPr>
        <w:t>מ</w:t>
      </w:r>
      <w:r w:rsidRPr="00D34CA1">
        <w:rPr>
          <w:rFonts w:cs="David"/>
          <w:rtl/>
        </w:rPr>
        <w:t>מוצע של בכירים עלה בצורה חדה בשנים 2003-2009</w:t>
      </w:r>
      <w:r>
        <w:rPr>
          <w:rFonts w:cs="David"/>
          <w:rtl/>
        </w:rPr>
        <w:t xml:space="preserve"> (יותר מפי- 2)</w:t>
      </w:r>
    </w:p>
    <w:p w:rsidR="009957FD" w:rsidRPr="00D34CA1" w:rsidRDefault="009957FD" w:rsidP="00B62336">
      <w:pPr>
        <w:pStyle w:val="ListParagraph"/>
        <w:numPr>
          <w:ilvl w:val="0"/>
          <w:numId w:val="6"/>
        </w:numPr>
        <w:spacing w:line="360" w:lineRule="auto"/>
        <w:jc w:val="both"/>
        <w:rPr>
          <w:rFonts w:cs="David"/>
        </w:rPr>
      </w:pPr>
      <w:r w:rsidRPr="00D34CA1">
        <w:rPr>
          <w:rFonts w:cs="David"/>
          <w:rtl/>
        </w:rPr>
        <w:t>העליה הגבוהה ביותר בענפי ההשקעות ובענף הפיננסים והיא באה לביטוי בכל סוגי התפקידים</w:t>
      </w:r>
    </w:p>
    <w:p w:rsidR="009957FD" w:rsidRPr="00D34CA1" w:rsidRDefault="009957FD" w:rsidP="00B62336">
      <w:pPr>
        <w:pStyle w:val="ListParagraph"/>
        <w:numPr>
          <w:ilvl w:val="0"/>
          <w:numId w:val="6"/>
        </w:numPr>
        <w:spacing w:line="360" w:lineRule="auto"/>
        <w:jc w:val="both"/>
        <w:rPr>
          <w:rFonts w:cs="David"/>
        </w:rPr>
      </w:pPr>
      <w:r w:rsidRPr="00D34CA1">
        <w:rPr>
          <w:rFonts w:cs="David"/>
          <w:rtl/>
        </w:rPr>
        <w:t xml:space="preserve">גובה השכר דומה יותר לממוצע השכר באירופה ונמוך מהממוצע בארה"ב </w:t>
      </w:r>
    </w:p>
    <w:p w:rsidR="009957FD" w:rsidRPr="00D34CA1" w:rsidRDefault="009957FD" w:rsidP="00B62336">
      <w:pPr>
        <w:pStyle w:val="ListParagraph"/>
        <w:numPr>
          <w:ilvl w:val="0"/>
          <w:numId w:val="6"/>
        </w:numPr>
        <w:spacing w:line="360" w:lineRule="auto"/>
        <w:jc w:val="both"/>
        <w:rPr>
          <w:rFonts w:cs="David"/>
        </w:rPr>
      </w:pPr>
      <w:r w:rsidRPr="00D34CA1">
        <w:rPr>
          <w:rFonts w:cs="David"/>
          <w:rtl/>
        </w:rPr>
        <w:t xml:space="preserve">מבנה השכר דומה יותר למקובל בארה"ב – כלומר </w:t>
      </w:r>
      <w:r>
        <w:rPr>
          <w:rFonts w:cs="David"/>
          <w:rtl/>
        </w:rPr>
        <w:t>עלייה ב</w:t>
      </w:r>
      <w:r w:rsidRPr="00D34CA1">
        <w:rPr>
          <w:rFonts w:cs="David"/>
          <w:rtl/>
        </w:rPr>
        <w:t>מרכיבי שכר משתנים</w:t>
      </w:r>
      <w:r>
        <w:rPr>
          <w:rFonts w:cs="David"/>
          <w:rtl/>
        </w:rPr>
        <w:t xml:space="preserve"> ו</w:t>
      </w:r>
      <w:r w:rsidRPr="00D34CA1">
        <w:rPr>
          <w:rFonts w:cs="David"/>
          <w:rtl/>
        </w:rPr>
        <w:t xml:space="preserve">ירידה דרסטית של מרכיב השכר הקבוע. </w:t>
      </w:r>
    </w:p>
    <w:p w:rsidR="009957FD" w:rsidRPr="00D34CA1" w:rsidRDefault="009957FD" w:rsidP="00B62336">
      <w:pPr>
        <w:pStyle w:val="ListParagraph"/>
        <w:numPr>
          <w:ilvl w:val="0"/>
          <w:numId w:val="6"/>
        </w:numPr>
        <w:spacing w:line="360" w:lineRule="auto"/>
        <w:jc w:val="both"/>
        <w:rPr>
          <w:rFonts w:cs="David"/>
        </w:rPr>
      </w:pPr>
      <w:r w:rsidRPr="00D34CA1">
        <w:rPr>
          <w:rFonts w:cs="David"/>
          <w:rtl/>
        </w:rPr>
        <w:t xml:space="preserve">קיים קשר מסוים לעליה בשווי החברות; יש קשר בין גובה השכר לגודל החברה (למעט לגבי שכר היו"ר); ברמות השכר הגבוהות ביותר - הגיל והנסיון משפיעים. </w:t>
      </w:r>
    </w:p>
    <w:p w:rsidR="009957FD" w:rsidRPr="00D34CA1" w:rsidRDefault="009957FD" w:rsidP="00B62336">
      <w:pPr>
        <w:pStyle w:val="ListParagraph"/>
        <w:numPr>
          <w:ilvl w:val="0"/>
          <w:numId w:val="6"/>
        </w:numPr>
        <w:spacing w:line="360" w:lineRule="auto"/>
        <w:jc w:val="both"/>
        <w:rPr>
          <w:rFonts w:cs="David"/>
        </w:rPr>
      </w:pPr>
      <w:r w:rsidRPr="00D34CA1">
        <w:rPr>
          <w:rFonts w:cs="David"/>
          <w:rtl/>
        </w:rPr>
        <w:t>למרו</w:t>
      </w:r>
      <w:r>
        <w:rPr>
          <w:rFonts w:cs="David"/>
          <w:rtl/>
        </w:rPr>
        <w:t>ת השימוש הנרחב ברכיבי שכר תלויי-</w:t>
      </w:r>
      <w:r w:rsidRPr="00D34CA1">
        <w:rPr>
          <w:rFonts w:cs="David"/>
          <w:rtl/>
        </w:rPr>
        <w:t xml:space="preserve">ביצועים - לא אותרה חוקיות לגבי היחס בין גובה השכר לרווחיות החברה </w:t>
      </w:r>
    </w:p>
    <w:p w:rsidR="009957FD" w:rsidRPr="00D34CA1" w:rsidRDefault="009957FD" w:rsidP="00B62336">
      <w:pPr>
        <w:pStyle w:val="ListParagraph"/>
        <w:numPr>
          <w:ilvl w:val="0"/>
          <w:numId w:val="6"/>
        </w:numPr>
        <w:spacing w:line="360" w:lineRule="auto"/>
        <w:jc w:val="both"/>
        <w:rPr>
          <w:rFonts w:cs="David"/>
        </w:rPr>
      </w:pPr>
      <w:r w:rsidRPr="00D34CA1">
        <w:rPr>
          <w:rFonts w:cs="David"/>
          <w:rtl/>
        </w:rPr>
        <w:t>ככל שהממשל התאגידי משוכלל יותר – השכר נמוך יותר. למשל – כ</w:t>
      </w:r>
      <w:r>
        <w:rPr>
          <w:rFonts w:cs="David"/>
          <w:rtl/>
        </w:rPr>
        <w:t>ש</w:t>
      </w:r>
      <w:r w:rsidRPr="00D34CA1">
        <w:rPr>
          <w:rFonts w:cs="David"/>
          <w:rtl/>
        </w:rPr>
        <w:t xml:space="preserve">יו"ר ועדת </w:t>
      </w:r>
      <w:r w:rsidRPr="00193287">
        <w:rPr>
          <w:rFonts w:cs="David"/>
          <w:rtl/>
        </w:rPr>
        <w:t>הביקורת הוא דח"צ, כשיש בועדת הביקורת רוב של דח"צים(כיום החוק מחייב שיו"ר וע' הביקורת יהיה דח"צ..)</w:t>
      </w:r>
    </w:p>
    <w:p w:rsidR="009957FD" w:rsidRDefault="009957FD" w:rsidP="00B62336">
      <w:pPr>
        <w:pStyle w:val="ListParagraph"/>
        <w:numPr>
          <w:ilvl w:val="0"/>
          <w:numId w:val="6"/>
        </w:numPr>
        <w:spacing w:line="360" w:lineRule="auto"/>
        <w:jc w:val="both"/>
        <w:rPr>
          <w:rFonts w:cs="David"/>
        </w:rPr>
      </w:pPr>
      <w:r w:rsidRPr="00D34CA1">
        <w:rPr>
          <w:rFonts w:cs="David"/>
          <w:rtl/>
        </w:rPr>
        <w:t>אין משמעות רבה לאישור האסיפה הכללית - האסיפות הכלליות מאשרות כמעט את כל ההמלצות של הדירקטוריון בעניני שכר מנכ"ל ויו"ר דירקטוריון המובאות בפניהן (98.4%), וזאת גם כשנדרש רוב מיוחד</w:t>
      </w:r>
      <w:r w:rsidRPr="00D34CA1">
        <w:rPr>
          <w:rStyle w:val="FootnoteReference"/>
          <w:rFonts w:cs="David"/>
          <w:rtl/>
        </w:rPr>
        <w:footnoteReference w:id="2"/>
      </w:r>
      <w:r w:rsidRPr="00D34CA1">
        <w:rPr>
          <w:rFonts w:cs="David"/>
          <w:rtl/>
        </w:rPr>
        <w:t xml:space="preserve">. </w:t>
      </w:r>
    </w:p>
    <w:p w:rsidR="009957FD" w:rsidRDefault="009957FD" w:rsidP="00B62336">
      <w:pPr>
        <w:pStyle w:val="ListParagraph"/>
        <w:numPr>
          <w:ilvl w:val="0"/>
          <w:numId w:val="6"/>
        </w:numPr>
        <w:spacing w:line="360" w:lineRule="auto"/>
        <w:jc w:val="both"/>
        <w:rPr>
          <w:rFonts w:cs="David"/>
        </w:rPr>
      </w:pPr>
      <w:r>
        <w:rPr>
          <w:rFonts w:cs="David"/>
          <w:rtl/>
        </w:rPr>
        <w:t xml:space="preserve">כאשר בעלי שליטה מכהנים כיו"ר דירקטוריון שכרם גבוה בהרבה מזה של יו"ר שאינם בעלי שליטה (וזאת למרות הדרישה לרוב מיוחד באסיפה הכללית). כשבעלי שליטה מכהנים בתפקידים אחרים – לא אותרה בעיה דומה. </w:t>
      </w:r>
    </w:p>
    <w:p w:rsidR="009957FD" w:rsidRDefault="009957FD" w:rsidP="00B62336">
      <w:pPr>
        <w:pStyle w:val="ListParagraph"/>
        <w:numPr>
          <w:ilvl w:val="0"/>
          <w:numId w:val="6"/>
        </w:numPr>
        <w:spacing w:line="360" w:lineRule="auto"/>
        <w:jc w:val="both"/>
        <w:rPr>
          <w:rFonts w:cs="David"/>
        </w:rPr>
      </w:pPr>
      <w:r>
        <w:rPr>
          <w:rFonts w:cs="David"/>
          <w:rtl/>
        </w:rPr>
        <w:t xml:space="preserve">לגבי קבוצות עסקיות (פירמידות שליטה) נמצא ממצא מובהק לפיו ככל שיורדים בשלבי הפירמידה יש סיכוי למצוא בעלי שכר גבוה יותר. הסבר אפשרי – ככל שאחזקותיו של בעל השליטה בהון של החברה קטנות - יש לו פחות תמריץ לפקח על שכר הבכירים. </w:t>
      </w:r>
    </w:p>
    <w:p w:rsidR="009957FD" w:rsidRPr="00D34CA1" w:rsidRDefault="009957FD" w:rsidP="00B62336">
      <w:pPr>
        <w:pStyle w:val="ListParagraph"/>
        <w:numPr>
          <w:ilvl w:val="0"/>
          <w:numId w:val="6"/>
        </w:numPr>
        <w:spacing w:line="360" w:lineRule="auto"/>
        <w:jc w:val="both"/>
        <w:rPr>
          <w:rFonts w:cs="David"/>
        </w:rPr>
      </w:pPr>
      <w:r>
        <w:rPr>
          <w:rFonts w:cs="David"/>
          <w:rtl/>
        </w:rPr>
        <w:t xml:space="preserve">לא נמצא ממצא מובהק לכך שהשכר שונה מהותית בקבוצות עסקיות ובפירמידות שליטה </w:t>
      </w:r>
    </w:p>
    <w:p w:rsidR="009957FD" w:rsidRDefault="009957FD" w:rsidP="00B62336">
      <w:pPr>
        <w:spacing w:line="360" w:lineRule="auto"/>
        <w:jc w:val="both"/>
        <w:rPr>
          <w:rFonts w:cs="David"/>
          <w:b/>
          <w:bCs/>
          <w:sz w:val="26"/>
          <w:szCs w:val="26"/>
          <w:highlight w:val="cyan"/>
          <w:u w:val="single"/>
          <w:rtl/>
        </w:rPr>
      </w:pPr>
    </w:p>
    <w:p w:rsidR="009957FD" w:rsidRDefault="009957FD" w:rsidP="00B62336">
      <w:pPr>
        <w:jc w:val="both"/>
        <w:rPr>
          <w:rFonts w:cs="David"/>
          <w:b/>
          <w:bCs/>
          <w:highlight w:val="cyan"/>
          <w:rtl/>
        </w:rPr>
      </w:pPr>
    </w:p>
    <w:p w:rsidR="009957FD" w:rsidRDefault="009957FD" w:rsidP="00B62336">
      <w:pPr>
        <w:jc w:val="both"/>
        <w:rPr>
          <w:rFonts w:cs="David"/>
          <w:b/>
          <w:bCs/>
          <w:highlight w:val="cyan"/>
          <w:rtl/>
        </w:rPr>
      </w:pPr>
    </w:p>
    <w:p w:rsidR="009957FD" w:rsidRDefault="009957FD" w:rsidP="00B62336">
      <w:pPr>
        <w:jc w:val="both"/>
        <w:rPr>
          <w:rFonts w:cs="David"/>
          <w:b/>
          <w:bCs/>
          <w:highlight w:val="cyan"/>
          <w:rtl/>
        </w:rPr>
      </w:pPr>
    </w:p>
    <w:p w:rsidR="009957FD" w:rsidRDefault="009957FD" w:rsidP="00B62336">
      <w:pPr>
        <w:jc w:val="both"/>
        <w:rPr>
          <w:rFonts w:cs="David"/>
          <w:b/>
          <w:bCs/>
          <w:highlight w:val="cyan"/>
          <w:rtl/>
        </w:rPr>
      </w:pPr>
    </w:p>
    <w:p w:rsidR="009957FD" w:rsidRDefault="009957FD" w:rsidP="00B62336">
      <w:pPr>
        <w:jc w:val="both"/>
        <w:rPr>
          <w:rFonts w:cs="David"/>
          <w:b/>
          <w:bCs/>
          <w:highlight w:val="cyan"/>
          <w:rtl/>
        </w:rPr>
      </w:pPr>
    </w:p>
    <w:p w:rsidR="009957FD" w:rsidRDefault="009957FD" w:rsidP="00B62336">
      <w:pPr>
        <w:jc w:val="both"/>
        <w:rPr>
          <w:rFonts w:cs="David"/>
          <w:b/>
          <w:bCs/>
          <w:highlight w:val="cyan"/>
          <w:rtl/>
        </w:rPr>
      </w:pPr>
    </w:p>
    <w:p w:rsidR="009957FD" w:rsidRPr="00FF6E85" w:rsidRDefault="009957FD" w:rsidP="00B62336">
      <w:pPr>
        <w:spacing w:line="360" w:lineRule="auto"/>
        <w:jc w:val="both"/>
        <w:rPr>
          <w:rFonts w:cs="David"/>
          <w:u w:val="single"/>
          <w:rtl/>
        </w:rPr>
      </w:pPr>
      <w:r w:rsidRPr="00FF6E85">
        <w:rPr>
          <w:rFonts w:cs="David"/>
          <w:u w:val="single"/>
          <w:rtl/>
        </w:rPr>
        <w:t xml:space="preserve">מגמות בשכר בכירים בשנתיים האחרונות </w:t>
      </w:r>
    </w:p>
    <w:p w:rsidR="009957FD" w:rsidRDefault="009957FD" w:rsidP="00B62336">
      <w:pPr>
        <w:pStyle w:val="ListParagraph"/>
        <w:numPr>
          <w:ilvl w:val="0"/>
          <w:numId w:val="38"/>
        </w:numPr>
        <w:spacing w:line="360" w:lineRule="auto"/>
        <w:jc w:val="both"/>
        <w:rPr>
          <w:rFonts w:cs="David"/>
        </w:rPr>
      </w:pPr>
      <w:r>
        <w:rPr>
          <w:rFonts w:cs="David"/>
          <w:rtl/>
        </w:rPr>
        <w:t xml:space="preserve">מגמת העלייה בשכר בכירים נעצרה. עם זאת, הירידות בשווי השוק של החברות לא באו לביטוי בשכר. </w:t>
      </w:r>
    </w:p>
    <w:p w:rsidR="009957FD" w:rsidRDefault="009957FD" w:rsidP="00B62336">
      <w:pPr>
        <w:pStyle w:val="ListParagraph"/>
        <w:numPr>
          <w:ilvl w:val="0"/>
          <w:numId w:val="38"/>
        </w:numPr>
        <w:spacing w:line="360" w:lineRule="auto"/>
        <w:jc w:val="both"/>
        <w:rPr>
          <w:rFonts w:cs="David"/>
        </w:rPr>
      </w:pPr>
      <w:r>
        <w:rPr>
          <w:rFonts w:cs="David"/>
          <w:rtl/>
        </w:rPr>
        <w:t>ירידה מסוימת בשנת 2011 בשכרם של מנכ"לים ויו"ר דירקטוריון</w:t>
      </w:r>
    </w:p>
    <w:p w:rsidR="009957FD" w:rsidRDefault="009957FD" w:rsidP="00B62336">
      <w:pPr>
        <w:pStyle w:val="ListParagraph"/>
        <w:numPr>
          <w:ilvl w:val="0"/>
          <w:numId w:val="38"/>
        </w:numPr>
        <w:spacing w:line="360" w:lineRule="auto"/>
        <w:jc w:val="both"/>
        <w:rPr>
          <w:rFonts w:cs="David"/>
        </w:rPr>
      </w:pPr>
      <w:r>
        <w:rPr>
          <w:rFonts w:cs="David"/>
          <w:rtl/>
        </w:rPr>
        <w:t xml:space="preserve">ירידה משמעותית בשכר נושאי משרה שהם בעלי שליטה החל משנת 2008 </w:t>
      </w:r>
    </w:p>
    <w:p w:rsidR="009957FD" w:rsidRDefault="009957FD" w:rsidP="00B62336">
      <w:pPr>
        <w:pStyle w:val="ListParagraph"/>
        <w:numPr>
          <w:ilvl w:val="0"/>
          <w:numId w:val="38"/>
        </w:numPr>
        <w:spacing w:line="360" w:lineRule="auto"/>
        <w:jc w:val="both"/>
        <w:rPr>
          <w:rFonts w:cs="David"/>
        </w:rPr>
      </w:pPr>
      <w:r>
        <w:rPr>
          <w:rFonts w:cs="David"/>
          <w:rtl/>
        </w:rPr>
        <w:t>אין שינוי משמעותי בגובה השכר או במבנה השכר בשנים 2010-2012</w:t>
      </w:r>
    </w:p>
    <w:p w:rsidR="009957FD" w:rsidRDefault="009957FD" w:rsidP="00B62336">
      <w:pPr>
        <w:pStyle w:val="ListParagraph"/>
        <w:numPr>
          <w:ilvl w:val="0"/>
          <w:numId w:val="38"/>
        </w:numPr>
        <w:spacing w:line="360" w:lineRule="auto"/>
        <w:jc w:val="both"/>
        <w:rPr>
          <w:rFonts w:cs="David"/>
        </w:rPr>
      </w:pPr>
      <w:r>
        <w:rPr>
          <w:rFonts w:cs="David"/>
          <w:rtl/>
        </w:rPr>
        <w:t xml:space="preserve">עלייה ברכיב דמי הניהול בשכרם של נושאי משרה שהם בעלי שליטה; ירידה בבונוסים וברכיבים מבוססי המניות </w:t>
      </w:r>
    </w:p>
    <w:p w:rsidR="009957FD" w:rsidRPr="00B94093" w:rsidRDefault="009957FD" w:rsidP="00B62336">
      <w:pPr>
        <w:jc w:val="both"/>
        <w:rPr>
          <w:rFonts w:cs="David"/>
          <w:b/>
          <w:bCs/>
          <w:highlight w:val="cyan"/>
          <w:rtl/>
        </w:rPr>
      </w:pPr>
    </w:p>
    <w:p w:rsidR="009957FD" w:rsidRPr="00FF6E85" w:rsidRDefault="009957FD" w:rsidP="002415C9">
      <w:pPr>
        <w:jc w:val="both"/>
        <w:rPr>
          <w:rFonts w:cs="David"/>
          <w:b/>
          <w:bCs/>
          <w:highlight w:val="cyan"/>
          <w:u w:val="single"/>
          <w:rtl/>
        </w:rPr>
      </w:pPr>
      <w:r>
        <w:rPr>
          <w:rFonts w:cs="David"/>
          <w:b/>
          <w:bCs/>
          <w:highlight w:val="cyan"/>
          <w:u w:val="single"/>
          <w:rtl/>
        </w:rPr>
        <w:t>4.</w:t>
      </w:r>
      <w:r w:rsidRPr="00FF6E85">
        <w:rPr>
          <w:rFonts w:cs="David"/>
          <w:b/>
          <w:bCs/>
          <w:highlight w:val="cyan"/>
          <w:u w:val="single"/>
          <w:rtl/>
        </w:rPr>
        <w:t xml:space="preserve">שינויים רלוונטיים בחקיקה – תיקון 16 ותיקון 17 לחוק החברות </w:t>
      </w:r>
    </w:p>
    <w:p w:rsidR="009957FD" w:rsidRDefault="009957FD" w:rsidP="00B62336">
      <w:pPr>
        <w:spacing w:line="360" w:lineRule="auto"/>
        <w:jc w:val="both"/>
        <w:rPr>
          <w:rFonts w:cs="David"/>
          <w:u w:val="single"/>
          <w:rtl/>
        </w:rPr>
      </w:pPr>
    </w:p>
    <w:p w:rsidR="009957FD" w:rsidRDefault="009957FD" w:rsidP="00B62336">
      <w:pPr>
        <w:spacing w:line="360" w:lineRule="auto"/>
        <w:jc w:val="both"/>
        <w:rPr>
          <w:rFonts w:cs="David"/>
          <w:u w:val="single"/>
          <w:rtl/>
        </w:rPr>
      </w:pPr>
      <w:r w:rsidRPr="002A315D">
        <w:rPr>
          <w:rFonts w:cs="David"/>
          <w:u w:val="single"/>
          <w:rtl/>
        </w:rPr>
        <w:t>תיקון מס' 16 לחוק החבר</w:t>
      </w:r>
      <w:r>
        <w:rPr>
          <w:rFonts w:cs="David"/>
          <w:u w:val="single"/>
          <w:rtl/>
        </w:rPr>
        <w:t>ו</w:t>
      </w:r>
      <w:r w:rsidRPr="002A315D">
        <w:rPr>
          <w:rFonts w:cs="David"/>
          <w:u w:val="single"/>
          <w:rtl/>
        </w:rPr>
        <w:t xml:space="preserve">ת </w:t>
      </w:r>
      <w:r>
        <w:rPr>
          <w:rFonts w:cs="David"/>
          <w:u w:val="single"/>
          <w:rtl/>
        </w:rPr>
        <w:t xml:space="preserve">– ייעול הממשל התאגידי </w:t>
      </w:r>
    </w:p>
    <w:p w:rsidR="009957FD" w:rsidRDefault="009957FD" w:rsidP="00B62336">
      <w:pPr>
        <w:pStyle w:val="ListParagraph"/>
        <w:numPr>
          <w:ilvl w:val="0"/>
          <w:numId w:val="39"/>
        </w:numPr>
        <w:spacing w:line="360" w:lineRule="auto"/>
        <w:jc w:val="both"/>
        <w:rPr>
          <w:rFonts w:cs="David"/>
        </w:rPr>
      </w:pPr>
      <w:r w:rsidRPr="005A6EA3">
        <w:rPr>
          <w:rFonts w:cs="David"/>
          <w:b/>
          <w:bCs/>
          <w:rtl/>
        </w:rPr>
        <w:t>תחילה -</w:t>
      </w:r>
      <w:r>
        <w:rPr>
          <w:rFonts w:cs="David"/>
          <w:rtl/>
        </w:rPr>
        <w:t xml:space="preserve">פורסם ב-3/2011; </w:t>
      </w:r>
      <w:r w:rsidRPr="002A315D">
        <w:rPr>
          <w:rFonts w:cs="David"/>
          <w:rtl/>
        </w:rPr>
        <w:t xml:space="preserve">כניסה לתוקף </w:t>
      </w:r>
      <w:r>
        <w:rPr>
          <w:rFonts w:cs="David"/>
          <w:rtl/>
        </w:rPr>
        <w:t xml:space="preserve">של רוב </w:t>
      </w:r>
      <w:r w:rsidRPr="002A315D">
        <w:rPr>
          <w:rFonts w:cs="David"/>
          <w:rtl/>
        </w:rPr>
        <w:t>התיקונים ב</w:t>
      </w:r>
      <w:r>
        <w:rPr>
          <w:rFonts w:cs="David"/>
          <w:rtl/>
        </w:rPr>
        <w:t>-5/2011(חלקם ב-9/11)</w:t>
      </w:r>
    </w:p>
    <w:p w:rsidR="009957FD" w:rsidRDefault="009957FD" w:rsidP="00B62336">
      <w:pPr>
        <w:pStyle w:val="ListParagraph"/>
        <w:numPr>
          <w:ilvl w:val="0"/>
          <w:numId w:val="39"/>
        </w:numPr>
        <w:spacing w:line="360" w:lineRule="auto"/>
        <w:jc w:val="both"/>
        <w:rPr>
          <w:rFonts w:cs="David"/>
        </w:rPr>
      </w:pPr>
      <w:r w:rsidRPr="00743051">
        <w:rPr>
          <w:rFonts w:cs="David"/>
          <w:b/>
          <w:bCs/>
          <w:rtl/>
        </w:rPr>
        <w:t xml:space="preserve">הנהגת קוד ממשל תאגידי - </w:t>
      </w:r>
      <w:r w:rsidRPr="00743051">
        <w:rPr>
          <w:rFonts w:cs="David"/>
          <w:rtl/>
        </w:rPr>
        <w:t xml:space="preserve">מוצע לחברות לקבל על עצמן "קוד </w:t>
      </w:r>
      <w:r>
        <w:rPr>
          <w:rFonts w:cs="David"/>
          <w:rtl/>
        </w:rPr>
        <w:t xml:space="preserve">ממשל </w:t>
      </w:r>
      <w:r w:rsidRPr="00743051">
        <w:rPr>
          <w:rFonts w:cs="David"/>
          <w:rtl/>
        </w:rPr>
        <w:t>תאגידי" ולאמצו כחלק מהתקנון</w:t>
      </w:r>
      <w:r>
        <w:rPr>
          <w:rFonts w:cs="David"/>
          <w:rtl/>
        </w:rPr>
        <w:t xml:space="preserve"> בעניינים הבאים (</w:t>
      </w:r>
      <w:r w:rsidRPr="00743051">
        <w:rPr>
          <w:rFonts w:cs="David"/>
          <w:rtl/>
        </w:rPr>
        <w:t>אין חובה לאמץ אך חובה לציין זאת בדוח השנתי ואף לתת הסבר לאי אימוץ הקוד</w:t>
      </w:r>
      <w:r>
        <w:rPr>
          <w:rFonts w:cs="David"/>
          <w:rtl/>
        </w:rPr>
        <w:t xml:space="preserve">): </w:t>
      </w:r>
    </w:p>
    <w:p w:rsidR="009957FD" w:rsidRDefault="009957FD" w:rsidP="00B62336">
      <w:pPr>
        <w:pStyle w:val="ListParagraph"/>
        <w:numPr>
          <w:ilvl w:val="0"/>
          <w:numId w:val="40"/>
        </w:numPr>
        <w:spacing w:line="360" w:lineRule="auto"/>
        <w:jc w:val="both"/>
        <w:rPr>
          <w:rFonts w:cs="David"/>
        </w:rPr>
      </w:pPr>
      <w:r w:rsidRPr="00743051">
        <w:rPr>
          <w:rFonts w:cs="David"/>
          <w:rtl/>
        </w:rPr>
        <w:t>הגדלת כמות הדירקטורים הבלתי תלויים לרוב, בחברה ללא בעל שליטה, ושליש, לפחות, בחברה עם בעל שליטה</w:t>
      </w:r>
    </w:p>
    <w:p w:rsidR="009957FD" w:rsidRDefault="009957FD" w:rsidP="00B62336">
      <w:pPr>
        <w:pStyle w:val="ListParagraph"/>
        <w:numPr>
          <w:ilvl w:val="0"/>
          <w:numId w:val="40"/>
        </w:numPr>
        <w:spacing w:line="360" w:lineRule="auto"/>
        <w:jc w:val="both"/>
        <w:rPr>
          <w:rFonts w:cs="David"/>
        </w:rPr>
      </w:pPr>
      <w:r w:rsidRPr="00743051">
        <w:rPr>
          <w:rFonts w:cs="David"/>
          <w:rtl/>
        </w:rPr>
        <w:t>הפרדה בין המנהלים לדירקטורים, בין השאר באופן זה שהמחוקק מסתייג מהאפשרות שבה נושא משרה ישמש כדירקטור</w:t>
      </w:r>
    </w:p>
    <w:p w:rsidR="009957FD" w:rsidRDefault="009957FD" w:rsidP="00B62336">
      <w:pPr>
        <w:pStyle w:val="ListParagraph"/>
        <w:numPr>
          <w:ilvl w:val="0"/>
          <w:numId w:val="40"/>
        </w:numPr>
        <w:spacing w:line="360" w:lineRule="auto"/>
        <w:jc w:val="both"/>
        <w:rPr>
          <w:rFonts w:cs="David"/>
        </w:rPr>
      </w:pPr>
      <w:r w:rsidRPr="00743051">
        <w:rPr>
          <w:rFonts w:cs="David"/>
          <w:rtl/>
        </w:rPr>
        <w:t>קיום תוכניות הכשרה לדירקטורים בחברות ציבוריות</w:t>
      </w:r>
    </w:p>
    <w:p w:rsidR="009957FD" w:rsidRDefault="009957FD" w:rsidP="00B62336">
      <w:pPr>
        <w:pStyle w:val="ListParagraph"/>
        <w:numPr>
          <w:ilvl w:val="0"/>
          <w:numId w:val="40"/>
        </w:numPr>
        <w:spacing w:line="360" w:lineRule="auto"/>
        <w:jc w:val="both"/>
        <w:rPr>
          <w:rFonts w:cs="David"/>
        </w:rPr>
      </w:pPr>
      <w:r w:rsidRPr="00743051">
        <w:rPr>
          <w:rFonts w:cs="David"/>
          <w:rtl/>
        </w:rPr>
        <w:t>קיום ישיבת דירקטוריון אחת בשנה, ללא נוכחות מנכ"ל ונושאי משרה הכפופים לו</w:t>
      </w:r>
    </w:p>
    <w:p w:rsidR="009957FD" w:rsidRDefault="009957FD" w:rsidP="00B62336">
      <w:pPr>
        <w:pStyle w:val="ListParagraph"/>
        <w:numPr>
          <w:ilvl w:val="0"/>
          <w:numId w:val="40"/>
        </w:numPr>
        <w:spacing w:line="360" w:lineRule="auto"/>
        <w:jc w:val="both"/>
        <w:rPr>
          <w:rFonts w:cs="David"/>
        </w:rPr>
      </w:pPr>
      <w:r w:rsidRPr="00743051">
        <w:rPr>
          <w:rFonts w:cs="David"/>
          <w:rtl/>
        </w:rPr>
        <w:t>אופן מינוי ובחירת דירקטורים חיצוניים</w:t>
      </w:r>
    </w:p>
    <w:p w:rsidR="009957FD" w:rsidRPr="00743051" w:rsidRDefault="009957FD" w:rsidP="00B62336">
      <w:pPr>
        <w:pStyle w:val="ListParagraph"/>
        <w:numPr>
          <w:ilvl w:val="0"/>
          <w:numId w:val="40"/>
        </w:numPr>
        <w:spacing w:line="360" w:lineRule="auto"/>
        <w:jc w:val="both"/>
        <w:rPr>
          <w:rFonts w:cs="David"/>
        </w:rPr>
      </w:pPr>
      <w:r w:rsidRPr="00743051">
        <w:rPr>
          <w:rFonts w:cs="David"/>
          <w:rtl/>
        </w:rPr>
        <w:t xml:space="preserve">מתן יכולת לבעלי מניות להצביע באסיפות כלליות דרך האינטרנט </w:t>
      </w:r>
      <w:r>
        <w:rPr>
          <w:rFonts w:cs="David"/>
          <w:rtl/>
        </w:rPr>
        <w:t>(לא קורה בפועל)</w:t>
      </w:r>
    </w:p>
    <w:p w:rsidR="009957FD" w:rsidRPr="005A6EA3" w:rsidRDefault="009957FD" w:rsidP="00B62336">
      <w:pPr>
        <w:pStyle w:val="ListParagraph"/>
        <w:numPr>
          <w:ilvl w:val="0"/>
          <w:numId w:val="39"/>
        </w:numPr>
        <w:spacing w:before="100" w:beforeAutospacing="1" w:after="100" w:afterAutospacing="1" w:line="360" w:lineRule="auto"/>
        <w:jc w:val="both"/>
        <w:rPr>
          <w:rFonts w:cs="David"/>
          <w:b/>
          <w:bCs/>
        </w:rPr>
      </w:pPr>
      <w:r w:rsidRPr="005A6EA3">
        <w:rPr>
          <w:rFonts w:cs="David"/>
          <w:b/>
          <w:bCs/>
          <w:rtl/>
        </w:rPr>
        <w:t>הגברת כוח בעלי המניות מן המיעוט –</w:t>
      </w:r>
    </w:p>
    <w:p w:rsidR="009957FD" w:rsidRDefault="009957FD" w:rsidP="00B62336">
      <w:pPr>
        <w:pStyle w:val="ListParagraph"/>
        <w:numPr>
          <w:ilvl w:val="0"/>
          <w:numId w:val="40"/>
        </w:numPr>
        <w:spacing w:before="100" w:beforeAutospacing="1" w:after="100" w:afterAutospacing="1" w:line="360" w:lineRule="auto"/>
        <w:jc w:val="both"/>
        <w:rPr>
          <w:rFonts w:cs="David"/>
        </w:rPr>
      </w:pPr>
      <w:r w:rsidRPr="00743051">
        <w:rPr>
          <w:rFonts w:cs="David"/>
          <w:rtl/>
        </w:rPr>
        <w:t xml:space="preserve">הרחבת היכולת להצביע באמצעות כתב הצבעה בנושא הסמכת יו"ר דירקטוריון </w:t>
      </w:r>
      <w:r>
        <w:rPr>
          <w:rFonts w:cs="David"/>
          <w:rtl/>
        </w:rPr>
        <w:t xml:space="preserve">לשמש </w:t>
      </w:r>
      <w:r w:rsidRPr="00743051">
        <w:rPr>
          <w:rFonts w:cs="David"/>
          <w:rtl/>
        </w:rPr>
        <w:t>מנכ"ל ולהיפך (סעיף 87) –</w:t>
      </w:r>
      <w:r>
        <w:rPr>
          <w:rFonts w:cs="David"/>
          <w:rtl/>
        </w:rPr>
        <w:t xml:space="preserve">כדי לתמרץ </w:t>
      </w:r>
      <w:r w:rsidRPr="00743051">
        <w:rPr>
          <w:rFonts w:cs="David"/>
          <w:rtl/>
        </w:rPr>
        <w:t xml:space="preserve">בעלי מניות המיעוט להשתתף </w:t>
      </w:r>
      <w:r>
        <w:rPr>
          <w:rFonts w:cs="David"/>
          <w:rtl/>
        </w:rPr>
        <w:t xml:space="preserve">בהצבעה </w:t>
      </w:r>
    </w:p>
    <w:p w:rsidR="009957FD" w:rsidRDefault="009957FD" w:rsidP="00B62336">
      <w:pPr>
        <w:pStyle w:val="ListParagraph"/>
        <w:numPr>
          <w:ilvl w:val="0"/>
          <w:numId w:val="40"/>
        </w:numPr>
        <w:spacing w:before="100" w:beforeAutospacing="1" w:after="100" w:afterAutospacing="1" w:line="360" w:lineRule="auto"/>
        <w:jc w:val="both"/>
        <w:rPr>
          <w:rFonts w:cs="David"/>
        </w:rPr>
      </w:pPr>
      <w:r w:rsidRPr="00743051">
        <w:rPr>
          <w:rFonts w:cs="David"/>
          <w:rtl/>
        </w:rPr>
        <w:t xml:space="preserve">החמרת הדרישות בעניין קבלת אישור לעסקאות עם בעלי השליטה - </w:t>
      </w:r>
      <w:r w:rsidRPr="00A77D84">
        <w:rPr>
          <w:rFonts w:cs="David"/>
          <w:u w:val="single"/>
          <w:rtl/>
        </w:rPr>
        <w:t>הרוב הנדרש עלה מ-1/3 בעלי מניות המיעוט ל-1/2 בעלי מניות המיעוט</w:t>
      </w:r>
      <w:r>
        <w:rPr>
          <w:rFonts w:cs="David"/>
          <w:rtl/>
        </w:rPr>
        <w:t>.</w:t>
      </w:r>
    </w:p>
    <w:p w:rsidR="009957FD" w:rsidRDefault="009957FD" w:rsidP="00B62336">
      <w:pPr>
        <w:pStyle w:val="ListParagraph"/>
        <w:numPr>
          <w:ilvl w:val="0"/>
          <w:numId w:val="39"/>
        </w:numPr>
        <w:spacing w:before="100" w:beforeAutospacing="1" w:after="100" w:afterAutospacing="1" w:line="360" w:lineRule="auto"/>
        <w:jc w:val="both"/>
        <w:rPr>
          <w:rFonts w:cs="David"/>
        </w:rPr>
      </w:pPr>
      <w:r w:rsidRPr="00743051">
        <w:rPr>
          <w:rFonts w:cs="David"/>
          <w:b/>
          <w:bCs/>
          <w:rtl/>
        </w:rPr>
        <w:t>הבחנה בין תפקידי יו"ר הדירקטוריון למנכ"ל</w:t>
      </w:r>
      <w:r w:rsidRPr="00A77D84">
        <w:rPr>
          <w:rFonts w:cs="David"/>
          <w:b/>
          <w:bCs/>
          <w:rtl/>
        </w:rPr>
        <w:t>בחברה ציבורית</w:t>
      </w:r>
      <w:r w:rsidRPr="00743051">
        <w:rPr>
          <w:rFonts w:cs="David"/>
          <w:rtl/>
        </w:rPr>
        <w:t>–</w:t>
      </w:r>
      <w:r>
        <w:rPr>
          <w:rFonts w:cs="David"/>
          <w:rtl/>
        </w:rPr>
        <w:t xml:space="preserve">היה </w:t>
      </w:r>
      <w:r w:rsidRPr="00743051">
        <w:rPr>
          <w:rFonts w:cs="David"/>
          <w:rtl/>
        </w:rPr>
        <w:t>איסור על מנכ"ל לשמש כיו"ר הדירקטוריון –</w:t>
      </w:r>
      <w:r>
        <w:rPr>
          <w:rFonts w:cs="David"/>
          <w:rtl/>
        </w:rPr>
        <w:t xml:space="preserve">הורחב </w:t>
      </w:r>
      <w:r w:rsidRPr="00743051">
        <w:rPr>
          <w:rFonts w:cs="David"/>
          <w:rtl/>
        </w:rPr>
        <w:t xml:space="preserve">גם </w:t>
      </w:r>
      <w:r>
        <w:rPr>
          <w:rFonts w:cs="David"/>
          <w:rtl/>
        </w:rPr>
        <w:t>ביחס ל</w:t>
      </w:r>
      <w:r w:rsidRPr="00743051">
        <w:rPr>
          <w:rFonts w:cs="David"/>
          <w:rtl/>
        </w:rPr>
        <w:t>קרובו של המנכ"ל ו</w:t>
      </w:r>
      <w:r>
        <w:rPr>
          <w:rFonts w:cs="David"/>
          <w:rtl/>
        </w:rPr>
        <w:t>מי שכפוף למנכ"ל [</w:t>
      </w:r>
      <w:r w:rsidRPr="00743051">
        <w:rPr>
          <w:rFonts w:cs="David"/>
          <w:rtl/>
        </w:rPr>
        <w:t>בכפוף לאפשרות מוגבלת לכהונה כפולה מבחינת הזמן (שלוש שנים) ומבחינת קבלת האישור לכך (ההגבלה שהייתה קיימת בנוגע</w:t>
      </w:r>
      <w:r>
        <w:rPr>
          <w:rFonts w:cs="David"/>
          <w:rtl/>
        </w:rPr>
        <w:t xml:space="preserve"> לרוב הנדרש לקבלת ההחלטה </w:t>
      </w:r>
      <w:r w:rsidRPr="00743051">
        <w:rPr>
          <w:rFonts w:cs="David"/>
          <w:rtl/>
        </w:rPr>
        <w:t>הוקלהבמובן זה ששיעור אחוז המתנגדים עלה מ 1% ל- 2%)</w:t>
      </w:r>
      <w:r>
        <w:rPr>
          <w:rFonts w:cs="David"/>
          <w:rtl/>
        </w:rPr>
        <w:t>. (תחילה 9/2011)</w:t>
      </w:r>
    </w:p>
    <w:p w:rsidR="009957FD" w:rsidRDefault="009957FD" w:rsidP="00D83A5F">
      <w:pPr>
        <w:pStyle w:val="ListParagraph"/>
        <w:spacing w:before="100" w:beforeAutospacing="1" w:after="100" w:afterAutospacing="1" w:line="360" w:lineRule="auto"/>
        <w:jc w:val="both"/>
        <w:rPr>
          <w:rFonts w:cs="David"/>
        </w:rPr>
      </w:pPr>
    </w:p>
    <w:p w:rsidR="009957FD" w:rsidRPr="005A6EA3" w:rsidRDefault="009957FD" w:rsidP="00B62336">
      <w:pPr>
        <w:pStyle w:val="ListParagraph"/>
        <w:numPr>
          <w:ilvl w:val="0"/>
          <w:numId w:val="39"/>
        </w:numPr>
        <w:spacing w:before="100" w:beforeAutospacing="1" w:after="100" w:afterAutospacing="1" w:line="360" w:lineRule="auto"/>
        <w:jc w:val="both"/>
        <w:rPr>
          <w:rFonts w:cs="David"/>
          <w:b/>
          <w:bCs/>
        </w:rPr>
      </w:pPr>
      <w:r w:rsidRPr="005A6EA3">
        <w:rPr>
          <w:rFonts w:cs="David"/>
          <w:b/>
          <w:bCs/>
          <w:rtl/>
        </w:rPr>
        <w:t>דח"צים</w:t>
      </w:r>
    </w:p>
    <w:p w:rsidR="009957FD" w:rsidRPr="00743051" w:rsidRDefault="009957FD" w:rsidP="00B62336">
      <w:pPr>
        <w:pStyle w:val="ListParagraph"/>
        <w:numPr>
          <w:ilvl w:val="0"/>
          <w:numId w:val="40"/>
        </w:numPr>
        <w:spacing w:before="100" w:beforeAutospacing="1" w:after="100" w:afterAutospacing="1" w:line="360" w:lineRule="auto"/>
        <w:jc w:val="both"/>
        <w:rPr>
          <w:rFonts w:cs="David"/>
          <w:rtl/>
        </w:rPr>
      </w:pPr>
      <w:r w:rsidRPr="005A6EA3">
        <w:rPr>
          <w:rFonts w:cs="David"/>
          <w:u w:val="single"/>
          <w:rtl/>
        </w:rPr>
        <w:t xml:space="preserve">צמצום היכולת להעסיק </w:t>
      </w:r>
      <w:r>
        <w:rPr>
          <w:rFonts w:cs="David"/>
          <w:u w:val="single"/>
          <w:rtl/>
        </w:rPr>
        <w:t>דח"צ</w:t>
      </w:r>
      <w:r w:rsidRPr="005A6EA3">
        <w:rPr>
          <w:rFonts w:cs="David"/>
          <w:u w:val="single"/>
          <w:rtl/>
        </w:rPr>
        <w:t>לאחר סיום כהונתו</w:t>
      </w:r>
      <w:r w:rsidRPr="00743051">
        <w:rPr>
          <w:rFonts w:cs="David"/>
          <w:rtl/>
        </w:rPr>
        <w:t xml:space="preserve"> (סעיף 249) – </w:t>
      </w:r>
      <w:r>
        <w:rPr>
          <w:rFonts w:cs="David"/>
          <w:rtl/>
        </w:rPr>
        <w:t xml:space="preserve">על מנת למנוע תלות בבעל שליטה, </w:t>
      </w:r>
      <w:r w:rsidRPr="00743051">
        <w:rPr>
          <w:rFonts w:cs="David"/>
          <w:rtl/>
        </w:rPr>
        <w:t>אלא אם חלפו שנתיים מסיום כהונתו ואם מדובר בקרוב של ד</w:t>
      </w:r>
      <w:r>
        <w:rPr>
          <w:rFonts w:cs="David"/>
          <w:rtl/>
        </w:rPr>
        <w:t xml:space="preserve">ח"צ–אם חלפו </w:t>
      </w:r>
      <w:r w:rsidRPr="00743051">
        <w:rPr>
          <w:rFonts w:cs="David"/>
          <w:rtl/>
        </w:rPr>
        <w:t>שנה וחצי.</w:t>
      </w:r>
    </w:p>
    <w:p w:rsidR="009957FD" w:rsidRPr="00512EAE" w:rsidRDefault="009957FD" w:rsidP="00B62336">
      <w:pPr>
        <w:pStyle w:val="ListParagraph"/>
        <w:numPr>
          <w:ilvl w:val="0"/>
          <w:numId w:val="40"/>
        </w:numPr>
        <w:spacing w:before="100" w:after="100" w:line="360" w:lineRule="auto"/>
        <w:jc w:val="both"/>
        <w:rPr>
          <w:rFonts w:cs="David"/>
          <w:rtl/>
        </w:rPr>
      </w:pPr>
      <w:r w:rsidRPr="00512EAE">
        <w:rPr>
          <w:rFonts w:cs="David"/>
          <w:u w:val="single"/>
          <w:rtl/>
        </w:rPr>
        <w:t>הארכת כהונת הדח"צ</w:t>
      </w:r>
      <w:r w:rsidRPr="00512EAE">
        <w:rPr>
          <w:rFonts w:cs="David"/>
          <w:rtl/>
        </w:rPr>
        <w:t xml:space="preserve"> – בשליטת בעלי מניות המיעוט (סעיף 245) - </w:t>
      </w:r>
      <w:r w:rsidRPr="00512EAE">
        <w:rPr>
          <w:rFonts w:cs="David"/>
          <w:rtl/>
        </w:rPr>
        <w:br/>
        <w:t>ראשית, אפשרות להאריך תקופת כהונת אדם כדח"צבתקופת כהונה נוספת (בסה"כ- 3 תקופות של 3 שנים, במקום 2 תקופות). שנית, על מנת לשריין את חסינותו ולמנוע חשש מפני בעל השליטה, ההצעה להמשך כהונת הדח"צ יכול שתבוא מכל בעל מניות המחזיק למעלה מ-1% ממניות החברה. אם הדירקטוריון מציע המשך כהונת הדח"צ יובא המשך כהונתו להצבעה באסיפה הכללית לפי הדין הקיים (רוב</w:t>
      </w:r>
      <w:r>
        <w:rPr>
          <w:rFonts w:cs="David"/>
          <w:rtl/>
        </w:rPr>
        <w:t xml:space="preserve"> מיוחס</w:t>
      </w:r>
      <w:r w:rsidRPr="00512EAE">
        <w:rPr>
          <w:rFonts w:cs="David"/>
          <w:rtl/>
        </w:rPr>
        <w:t>).</w:t>
      </w:r>
    </w:p>
    <w:p w:rsidR="009957FD" w:rsidRPr="003941FF" w:rsidRDefault="009957FD" w:rsidP="00B62336">
      <w:pPr>
        <w:pStyle w:val="ListParagraph"/>
        <w:numPr>
          <w:ilvl w:val="0"/>
          <w:numId w:val="39"/>
        </w:numPr>
        <w:spacing w:before="100" w:beforeAutospacing="1" w:after="100" w:afterAutospacing="1" w:line="360" w:lineRule="auto"/>
        <w:jc w:val="both"/>
        <w:rPr>
          <w:rFonts w:cs="David"/>
          <w:b/>
          <w:bCs/>
        </w:rPr>
      </w:pPr>
      <w:r>
        <w:rPr>
          <w:rFonts w:cs="David"/>
          <w:b/>
          <w:bCs/>
          <w:rtl/>
        </w:rPr>
        <w:t xml:space="preserve">חיזוק </w:t>
      </w:r>
      <w:r w:rsidRPr="003941FF">
        <w:rPr>
          <w:rFonts w:cs="David"/>
          <w:b/>
          <w:bCs/>
          <w:rtl/>
        </w:rPr>
        <w:t>ועדתביקורת</w:t>
      </w:r>
      <w:r>
        <w:rPr>
          <w:rFonts w:cs="David"/>
          <w:b/>
          <w:bCs/>
          <w:rtl/>
        </w:rPr>
        <w:t xml:space="preserve">והגברת עצמאותה </w:t>
      </w:r>
      <w:r w:rsidRPr="003941FF">
        <w:rPr>
          <w:rFonts w:cs="David"/>
          <w:b/>
          <w:bCs/>
          <w:rtl/>
        </w:rPr>
        <w:t>(תחילה - 9/2011)–</w:t>
      </w:r>
    </w:p>
    <w:p w:rsidR="009957FD" w:rsidRDefault="009957FD" w:rsidP="00B62336">
      <w:pPr>
        <w:pStyle w:val="ListParagraph"/>
        <w:numPr>
          <w:ilvl w:val="0"/>
          <w:numId w:val="40"/>
        </w:numPr>
        <w:spacing w:before="100" w:beforeAutospacing="1" w:after="100" w:afterAutospacing="1" w:line="360" w:lineRule="auto"/>
        <w:jc w:val="both"/>
        <w:rPr>
          <w:rFonts w:cs="David"/>
        </w:rPr>
      </w:pPr>
      <w:r w:rsidRPr="005A6EA3">
        <w:rPr>
          <w:rFonts w:cs="David"/>
          <w:rtl/>
        </w:rPr>
        <w:t xml:space="preserve">רוב הדירקטורים בוועדה בלתי תלויים. </w:t>
      </w:r>
    </w:p>
    <w:p w:rsidR="009957FD" w:rsidRDefault="009957FD" w:rsidP="00B62336">
      <w:pPr>
        <w:pStyle w:val="ListParagraph"/>
        <w:numPr>
          <w:ilvl w:val="0"/>
          <w:numId w:val="40"/>
        </w:numPr>
        <w:spacing w:before="100" w:beforeAutospacing="1" w:after="100" w:afterAutospacing="1" w:line="360" w:lineRule="auto"/>
        <w:jc w:val="both"/>
        <w:rPr>
          <w:rFonts w:cs="David"/>
        </w:rPr>
      </w:pPr>
      <w:r>
        <w:rPr>
          <w:rFonts w:cs="David"/>
          <w:rtl/>
        </w:rPr>
        <w:t>לא יכול</w:t>
      </w:r>
      <w:r w:rsidRPr="005A6EA3">
        <w:rPr>
          <w:rFonts w:cs="David"/>
          <w:rtl/>
        </w:rPr>
        <w:t xml:space="preserve">להשתתף בוועדה </w:t>
      </w:r>
      <w:r>
        <w:rPr>
          <w:rFonts w:cs="David"/>
          <w:rtl/>
        </w:rPr>
        <w:t>דירקטור המועסק</w:t>
      </w:r>
      <w:r w:rsidRPr="005A6EA3">
        <w:rPr>
          <w:rFonts w:cs="David"/>
          <w:rtl/>
        </w:rPr>
        <w:t xml:space="preserve">על ידי בעל </w:t>
      </w:r>
      <w:r>
        <w:rPr>
          <w:rFonts w:cs="David"/>
          <w:rtl/>
        </w:rPr>
        <w:t>ה</w:t>
      </w:r>
      <w:r w:rsidRPr="005A6EA3">
        <w:rPr>
          <w:rFonts w:cs="David"/>
          <w:rtl/>
        </w:rPr>
        <w:t xml:space="preserve">שליטה </w:t>
      </w:r>
      <w:r>
        <w:rPr>
          <w:rFonts w:cs="David"/>
          <w:rtl/>
        </w:rPr>
        <w:t xml:space="preserve">או </w:t>
      </w:r>
      <w:r w:rsidRPr="005A6EA3">
        <w:rPr>
          <w:rFonts w:cs="David"/>
          <w:rtl/>
        </w:rPr>
        <w:t xml:space="preserve">נותן </w:t>
      </w:r>
      <w:r>
        <w:rPr>
          <w:rFonts w:cs="David"/>
          <w:rtl/>
        </w:rPr>
        <w:t xml:space="preserve">לו או לחברה </w:t>
      </w:r>
      <w:r w:rsidRPr="005A6EA3">
        <w:rPr>
          <w:rFonts w:cs="David"/>
          <w:rtl/>
        </w:rPr>
        <w:t xml:space="preserve">שירותיםדרך קבע. </w:t>
      </w:r>
    </w:p>
    <w:p w:rsidR="009957FD" w:rsidRDefault="009957FD" w:rsidP="00B62336">
      <w:pPr>
        <w:pStyle w:val="ListParagraph"/>
        <w:numPr>
          <w:ilvl w:val="0"/>
          <w:numId w:val="40"/>
        </w:numPr>
        <w:spacing w:before="100" w:beforeAutospacing="1" w:after="100" w:afterAutospacing="1" w:line="360" w:lineRule="auto"/>
        <w:jc w:val="both"/>
        <w:rPr>
          <w:rFonts w:cs="David"/>
        </w:rPr>
      </w:pPr>
      <w:r w:rsidRPr="005A6EA3">
        <w:rPr>
          <w:rFonts w:cs="David"/>
          <w:rtl/>
        </w:rPr>
        <w:t xml:space="preserve">יו"ר הוועדה יהיה </w:t>
      </w:r>
      <w:r>
        <w:rPr>
          <w:rFonts w:cs="David"/>
          <w:rtl/>
        </w:rPr>
        <w:t>דח"צ</w:t>
      </w:r>
    </w:p>
    <w:p w:rsidR="009957FD" w:rsidRDefault="009957FD" w:rsidP="00B62336">
      <w:pPr>
        <w:pStyle w:val="ListParagraph"/>
        <w:numPr>
          <w:ilvl w:val="0"/>
          <w:numId w:val="40"/>
        </w:numPr>
        <w:spacing w:before="100" w:beforeAutospacing="1" w:after="100" w:afterAutospacing="1" w:line="360" w:lineRule="auto"/>
        <w:jc w:val="both"/>
        <w:rPr>
          <w:rFonts w:cs="David"/>
        </w:rPr>
      </w:pPr>
      <w:r>
        <w:rPr>
          <w:rFonts w:cs="David"/>
          <w:rtl/>
        </w:rPr>
        <w:t>ה</w:t>
      </w:r>
      <w:r w:rsidRPr="005A6EA3">
        <w:rPr>
          <w:rFonts w:cs="David"/>
          <w:rtl/>
        </w:rPr>
        <w:t xml:space="preserve">מניין </w:t>
      </w:r>
      <w:r>
        <w:rPr>
          <w:rFonts w:cs="David"/>
          <w:rtl/>
        </w:rPr>
        <w:t>ה</w:t>
      </w:r>
      <w:r w:rsidRPr="005A6EA3">
        <w:rPr>
          <w:rFonts w:cs="David"/>
          <w:rtl/>
        </w:rPr>
        <w:t xml:space="preserve">חוקי לדיון וקבלת החלטות, </w:t>
      </w:r>
      <w:r>
        <w:rPr>
          <w:rFonts w:cs="David"/>
          <w:rtl/>
        </w:rPr>
        <w:t xml:space="preserve">הוא </w:t>
      </w:r>
      <w:r w:rsidRPr="005A6EA3">
        <w:rPr>
          <w:rFonts w:cs="David"/>
          <w:rtl/>
        </w:rPr>
        <w:t xml:space="preserve">רוב חברי הוועדה אך על רוב הנוכחים להיות דירקטורים בלתי תלויים ואחד לפחות </w:t>
      </w:r>
      <w:r>
        <w:rPr>
          <w:rFonts w:cs="David"/>
          <w:rtl/>
        </w:rPr>
        <w:t xml:space="preserve">דח"צ.  </w:t>
      </w:r>
    </w:p>
    <w:p w:rsidR="009957FD" w:rsidRPr="003941FF" w:rsidRDefault="009957FD" w:rsidP="00B62336">
      <w:pPr>
        <w:pStyle w:val="ListParagraph"/>
        <w:numPr>
          <w:ilvl w:val="0"/>
          <w:numId w:val="40"/>
        </w:numPr>
        <w:spacing w:before="100" w:beforeAutospacing="1" w:after="100" w:afterAutospacing="1" w:line="360" w:lineRule="auto"/>
        <w:jc w:val="both"/>
        <w:rPr>
          <w:rFonts w:cs="David"/>
          <w:rtl/>
        </w:rPr>
      </w:pPr>
      <w:r>
        <w:rPr>
          <w:rFonts w:cs="David"/>
          <w:rtl/>
        </w:rPr>
        <w:t xml:space="preserve">הרחבת </w:t>
      </w:r>
      <w:r w:rsidRPr="003941FF">
        <w:rPr>
          <w:rFonts w:cs="David"/>
          <w:rtl/>
        </w:rPr>
        <w:t xml:space="preserve">סמכויות ופעולות ועדת הביקורת </w:t>
      </w:r>
      <w:r>
        <w:rPr>
          <w:rFonts w:cs="David"/>
          <w:rtl/>
        </w:rPr>
        <w:t>(</w:t>
      </w:r>
      <w:r w:rsidRPr="003941FF">
        <w:rPr>
          <w:rFonts w:cs="David"/>
          <w:rtl/>
        </w:rPr>
        <w:t>חובה לקיים ישיבה אחת לפחות, במטרה לדון בכל ליקוי מהותי שיימצא על ידי המבקר הפנימי או רואה החשבון ובנוכחותם</w:t>
      </w:r>
      <w:r>
        <w:rPr>
          <w:rFonts w:cs="David"/>
          <w:rtl/>
        </w:rPr>
        <w:t xml:space="preserve">; </w:t>
      </w:r>
      <w:r w:rsidRPr="003941FF">
        <w:rPr>
          <w:rFonts w:cs="David"/>
          <w:rtl/>
        </w:rPr>
        <w:t>להחליט</w:t>
      </w:r>
      <w:r>
        <w:rPr>
          <w:rFonts w:cs="David"/>
          <w:rtl/>
        </w:rPr>
        <w:t xml:space="preserve"> אם פעולות מסוימות הנן מהותיות </w:t>
      </w:r>
      <w:r w:rsidRPr="003941FF">
        <w:rPr>
          <w:rFonts w:cs="David"/>
          <w:rtl/>
        </w:rPr>
        <w:t xml:space="preserve">לצורך מתן אישור מיוחד על פי </w:t>
      </w:r>
      <w:r>
        <w:rPr>
          <w:rFonts w:cs="David"/>
          <w:rtl/>
        </w:rPr>
        <w:t xml:space="preserve">סעיף 355; להחליט </w:t>
      </w:r>
      <w:r w:rsidRPr="003941FF">
        <w:rPr>
          <w:rFonts w:cs="David"/>
          <w:rtl/>
        </w:rPr>
        <w:t xml:space="preserve">אם </w:t>
      </w:r>
      <w:r>
        <w:rPr>
          <w:rFonts w:cs="David"/>
          <w:rtl/>
        </w:rPr>
        <w:t xml:space="preserve">פעולות </w:t>
      </w:r>
      <w:r w:rsidRPr="003941FF">
        <w:rPr>
          <w:rFonts w:cs="David"/>
          <w:rtl/>
        </w:rPr>
        <w:t xml:space="preserve">הן חריגות לצורך מתן אישור מיוחד על פי </w:t>
      </w:r>
      <w:r>
        <w:rPr>
          <w:rFonts w:cs="David"/>
          <w:rtl/>
        </w:rPr>
        <w:t>סעיף 270</w:t>
      </w:r>
      <w:r w:rsidRPr="003941FF">
        <w:rPr>
          <w:rFonts w:cs="David"/>
          <w:rtl/>
        </w:rPr>
        <w:t>; לבחון תוכניות עבודה של המבקר הפני</w:t>
      </w:r>
      <w:r>
        <w:rPr>
          <w:rFonts w:cs="David"/>
          <w:rtl/>
        </w:rPr>
        <w:t>מי טרם הגשתן לדירקטוריון</w:t>
      </w:r>
      <w:r w:rsidRPr="003941FF">
        <w:rPr>
          <w:rFonts w:cs="David"/>
          <w:rtl/>
        </w:rPr>
        <w:t>; לבחון את מערך הביקורת הפנימית ואת תפקודו של המבקר הפנימי; לבחון את היקף העבודה של רואה החשבון המבקר ואת שכרו; לקבוע הסדרים לגבי דרכי טיפול בתלונות</w:t>
      </w:r>
      <w:r>
        <w:rPr>
          <w:rFonts w:cs="David"/>
          <w:rtl/>
        </w:rPr>
        <w:t xml:space="preserve">). </w:t>
      </w:r>
    </w:p>
    <w:p w:rsidR="009957FD" w:rsidRPr="00D83A5F" w:rsidRDefault="009957FD" w:rsidP="00D83A5F">
      <w:pPr>
        <w:pStyle w:val="NormalWeb"/>
        <w:bidi/>
        <w:spacing w:line="360" w:lineRule="auto"/>
        <w:ind w:left="720"/>
        <w:jc w:val="both"/>
        <w:rPr>
          <w:rFonts w:cs="David"/>
        </w:rPr>
      </w:pPr>
      <w:r>
        <w:rPr>
          <w:rFonts w:cs="David"/>
          <w:b/>
          <w:bCs/>
          <w:rtl/>
        </w:rPr>
        <w:t xml:space="preserve">7. </w:t>
      </w:r>
      <w:r w:rsidRPr="00D83A5F">
        <w:rPr>
          <w:rFonts w:cs="David"/>
          <w:b/>
          <w:bCs/>
          <w:rtl/>
        </w:rPr>
        <w:t>עסקאות עם בעלי עניין בחברות ציבוריות–</w:t>
      </w:r>
      <w:r w:rsidRPr="00D83A5F">
        <w:rPr>
          <w:rFonts w:cs="David"/>
          <w:rtl/>
        </w:rPr>
        <w:t>שינוי מאזן הכוחות בין בעלי השליטה לבין בעלי מניות המיעוט:</w:t>
      </w:r>
    </w:p>
    <w:p w:rsidR="009957FD" w:rsidRDefault="009957FD" w:rsidP="00D83A5F">
      <w:pPr>
        <w:pStyle w:val="NormalWeb"/>
        <w:bidi/>
        <w:spacing w:line="360" w:lineRule="auto"/>
        <w:ind w:left="720"/>
        <w:jc w:val="both"/>
        <w:rPr>
          <w:rFonts w:cs="David"/>
          <w:u w:val="single"/>
          <w:rtl/>
        </w:rPr>
      </w:pPr>
      <w:r w:rsidRPr="00D83A5F">
        <w:rPr>
          <w:rFonts w:cs="David"/>
          <w:u w:val="single"/>
          <w:rtl/>
        </w:rPr>
        <w:t xml:space="preserve">עסקאות הנוגעות לתנאי שכר וכהונה (סעיף 270) </w:t>
      </w:r>
      <w:r w:rsidRPr="00D83A5F">
        <w:rPr>
          <w:rFonts w:cs="David"/>
          <w:rtl/>
        </w:rPr>
        <w:t xml:space="preserve">- הרחבת חובת קבלת אישורמיוחדשל ועדת ביקורת ודירקטוריון גם על התקשרות החברה עם נושאי משרה </w:t>
      </w:r>
      <w:r w:rsidRPr="00D83A5F">
        <w:rPr>
          <w:rFonts w:cs="David"/>
          <w:u w:val="single"/>
          <w:rtl/>
        </w:rPr>
        <w:t>שאינם דירקטורים</w:t>
      </w:r>
      <w:r w:rsidRPr="00D83A5F">
        <w:rPr>
          <w:rFonts w:cs="David"/>
          <w:rtl/>
        </w:rPr>
        <w:t>, בנוגע לתנאי כהונתם או העסקתם. אם השינוי לא מהותי האישור יכול להינתן ע"י ועדת שכר מיוחדת שמתקיימות בה ההוראות החלות על וועדת הביקורת או על ידי וועדת הביקורת בלבד (ללא צורך בדירקטוריון).</w:t>
      </w:r>
    </w:p>
    <w:p w:rsidR="009957FD" w:rsidRDefault="009957FD" w:rsidP="00D83A5F">
      <w:pPr>
        <w:pStyle w:val="NormalWeb"/>
        <w:bidi/>
        <w:spacing w:line="360" w:lineRule="auto"/>
        <w:ind w:left="720"/>
        <w:jc w:val="both"/>
        <w:rPr>
          <w:rFonts w:cs="David"/>
        </w:rPr>
      </w:pPr>
      <w:r w:rsidRPr="00853933">
        <w:rPr>
          <w:rFonts w:cs="David"/>
          <w:u w:val="single"/>
          <w:rtl/>
        </w:rPr>
        <w:t xml:space="preserve">עסקאות </w:t>
      </w:r>
      <w:r>
        <w:rPr>
          <w:rFonts w:cs="David"/>
          <w:u w:val="single"/>
          <w:rtl/>
        </w:rPr>
        <w:t>שיש בהן ע</w:t>
      </w:r>
      <w:r w:rsidRPr="00853933">
        <w:rPr>
          <w:rFonts w:cs="David"/>
          <w:u w:val="single"/>
          <w:rtl/>
        </w:rPr>
        <w:t xml:space="preserve">ניין אישי </w:t>
      </w:r>
      <w:r>
        <w:rPr>
          <w:rFonts w:cs="David"/>
          <w:u w:val="single"/>
          <w:rtl/>
        </w:rPr>
        <w:t xml:space="preserve">לבעל השליטה </w:t>
      </w:r>
      <w:r w:rsidRPr="00853933">
        <w:rPr>
          <w:rFonts w:cs="David"/>
          <w:u w:val="single"/>
          <w:rtl/>
        </w:rPr>
        <w:t xml:space="preserve">(סעיף 275) </w:t>
      </w:r>
      <w:r>
        <w:rPr>
          <w:rFonts w:cs="David"/>
          <w:u w:val="single"/>
          <w:rtl/>
        </w:rPr>
        <w:t>–</w:t>
      </w:r>
      <w:r w:rsidRPr="00D2112C">
        <w:rPr>
          <w:rFonts w:cs="David"/>
          <w:rtl/>
        </w:rPr>
        <w:t xml:space="preserve">אישור עסקה חריגה עם בעל שליטה בחברה או שלבעל השליטה עניין אישי בה יחייב קבלת הסכמת </w:t>
      </w:r>
      <w:r w:rsidRPr="00D2112C">
        <w:rPr>
          <w:rFonts w:cs="David"/>
          <w:u w:val="single"/>
          <w:rtl/>
        </w:rPr>
        <w:t>רוב</w:t>
      </w:r>
      <w:r w:rsidRPr="00D2112C">
        <w:rPr>
          <w:rFonts w:cs="David"/>
          <w:rtl/>
        </w:rPr>
        <w:t xml:space="preserve"> מקרב בעלי המניות שאינם בעלי עניין (במקום </w:t>
      </w:r>
      <w:r w:rsidRPr="00D2112C">
        <w:rPr>
          <w:rFonts w:cs="David"/>
          <w:u w:val="single"/>
          <w:rtl/>
        </w:rPr>
        <w:t>שליש</w:t>
      </w:r>
      <w:r w:rsidRPr="00D2112C">
        <w:rPr>
          <w:rFonts w:cs="David"/>
          <w:rtl/>
        </w:rPr>
        <w:t>). מצד שני, ריכך התיקון את יכולת קבלת האישור במקרה ששיעור המתנגדים לעסקה אינו משמעותי, והעלה את רף ההתנגדות  שייחשב לצורך מניעת העסקה לשיעור של 2% ממניות החברה (לעומת 1%).</w:t>
      </w:r>
    </w:p>
    <w:p w:rsidR="009957FD" w:rsidRPr="00D2112C" w:rsidRDefault="009957FD" w:rsidP="001659E3">
      <w:pPr>
        <w:pStyle w:val="NormalWeb"/>
        <w:numPr>
          <w:ilvl w:val="0"/>
          <w:numId w:val="40"/>
        </w:numPr>
        <w:bidi/>
        <w:spacing w:line="360" w:lineRule="auto"/>
        <w:ind w:left="720"/>
        <w:jc w:val="both"/>
        <w:rPr>
          <w:rFonts w:cs="David"/>
        </w:rPr>
      </w:pPr>
      <w:r w:rsidRPr="00D2112C">
        <w:rPr>
          <w:rFonts w:cs="David"/>
          <w:rtl/>
        </w:rPr>
        <w:t>כדי למנוע הימשכות עסקאות עם בעלי השליטה מכוח "האינרציה", נקבע כי עסקה לתקופה מעל 3 שנים, טעונה אישור מחדש בכל שלש שנים.</w:t>
      </w:r>
    </w:p>
    <w:p w:rsidR="009957FD" w:rsidRPr="003941FF" w:rsidRDefault="009957FD" w:rsidP="00D83A5F">
      <w:pPr>
        <w:pStyle w:val="NormalWeb"/>
        <w:numPr>
          <w:ilvl w:val="0"/>
          <w:numId w:val="41"/>
        </w:numPr>
        <w:bidi/>
        <w:spacing w:line="360" w:lineRule="auto"/>
        <w:jc w:val="both"/>
        <w:rPr>
          <w:rFonts w:cs="David"/>
          <w:rtl/>
        </w:rPr>
      </w:pPr>
      <w:r>
        <w:rPr>
          <w:rFonts w:cs="David"/>
          <w:b/>
          <w:bCs/>
          <w:rtl/>
        </w:rPr>
        <w:t>תיקון מס' 17 - חברות פרטיות שהנפיקו אגרות חוב לציבור –</w:t>
      </w:r>
      <w:r>
        <w:rPr>
          <w:rFonts w:cs="David"/>
          <w:rtl/>
        </w:rPr>
        <w:t>החלת ה</w:t>
      </w:r>
      <w:r w:rsidRPr="00651B4B">
        <w:rPr>
          <w:rFonts w:cs="David"/>
          <w:rtl/>
        </w:rPr>
        <w:t xml:space="preserve">וראות </w:t>
      </w:r>
      <w:r>
        <w:rPr>
          <w:rFonts w:cs="David"/>
          <w:rtl/>
        </w:rPr>
        <w:t xml:space="preserve">רבות החלות על חברות ציבוריות גם על חברות אג"ח (בשינויים מחויבים) - כשירות דירקטורים, מינוי דח"צים, הפרדה בין יו"ר דירקטוריון למנכ"ל, מינוי ועדת בקורת, הרכבה ותפקידיה; חובת מינוי מבקר פנים ורו"ח מבקר; כשירות נושאי משרה בחברה; מגבלות וחובות גילוי בכל הנושע לעסקאות עם בעלי שליטה; קביעת אפשרות להגיש תביעה נגזרת; אפשרות לאימוץ הוראות ממשל תאגידי; סמכות רשות ני"ע להטיל עיצומים כספיים על חברת אג"ח. </w:t>
      </w:r>
    </w:p>
    <w:p w:rsidR="009957FD" w:rsidRPr="003F3425" w:rsidRDefault="009957FD" w:rsidP="006775EC">
      <w:pPr>
        <w:spacing w:line="360" w:lineRule="auto"/>
        <w:jc w:val="both"/>
        <w:rPr>
          <w:rFonts w:cs="David"/>
          <w:b/>
          <w:bCs/>
          <w:rtl/>
        </w:rPr>
      </w:pPr>
      <w:r>
        <w:rPr>
          <w:rFonts w:cs="David"/>
          <w:b/>
          <w:bCs/>
          <w:highlight w:val="cyan"/>
          <w:rtl/>
        </w:rPr>
        <w:t>5.</w:t>
      </w:r>
      <w:r w:rsidRPr="00DC6BEF">
        <w:rPr>
          <w:rFonts w:cs="David"/>
          <w:b/>
          <w:bCs/>
          <w:highlight w:val="cyan"/>
          <w:rtl/>
        </w:rPr>
        <w:t>ההסדר המוצע</w:t>
      </w:r>
    </w:p>
    <w:p w:rsidR="009957FD" w:rsidRPr="001659E3" w:rsidRDefault="009957FD" w:rsidP="00B62336">
      <w:pPr>
        <w:pStyle w:val="ListParagraph"/>
        <w:numPr>
          <w:ilvl w:val="0"/>
          <w:numId w:val="19"/>
        </w:numPr>
        <w:spacing w:line="360" w:lineRule="auto"/>
        <w:jc w:val="both"/>
        <w:rPr>
          <w:rFonts w:cs="David"/>
          <w:b/>
          <w:bCs/>
        </w:rPr>
      </w:pPr>
      <w:r w:rsidRPr="001659E3">
        <w:rPr>
          <w:rFonts w:cs="David"/>
          <w:b/>
          <w:bCs/>
          <w:rtl/>
        </w:rPr>
        <w:t>ועדת תגמול וקביעת מדיניות תגמול (סע' 118א, 118ב, 267א)</w:t>
      </w:r>
    </w:p>
    <w:p w:rsidR="009957FD" w:rsidRPr="001659E3" w:rsidRDefault="009957FD" w:rsidP="00B62336">
      <w:pPr>
        <w:pStyle w:val="ListParagraph"/>
        <w:numPr>
          <w:ilvl w:val="0"/>
          <w:numId w:val="20"/>
        </w:numPr>
        <w:spacing w:line="360" w:lineRule="auto"/>
        <w:jc w:val="both"/>
        <w:rPr>
          <w:rFonts w:cs="David"/>
        </w:rPr>
      </w:pPr>
      <w:r w:rsidRPr="001659E3">
        <w:rPr>
          <w:rFonts w:cs="David"/>
          <w:rtl/>
        </w:rPr>
        <w:t xml:space="preserve">חברה ציבורית וחברת אג"ח חייבות למנות ועדת תגמול ולאמץ מדיניות תגמול </w:t>
      </w:r>
    </w:p>
    <w:p w:rsidR="009957FD" w:rsidRPr="001659E3" w:rsidRDefault="009957FD" w:rsidP="00D83A5F">
      <w:pPr>
        <w:pStyle w:val="ListParagraph"/>
        <w:numPr>
          <w:ilvl w:val="0"/>
          <w:numId w:val="20"/>
        </w:numPr>
        <w:spacing w:line="360" w:lineRule="auto"/>
        <w:jc w:val="both"/>
        <w:rPr>
          <w:rFonts w:cs="David"/>
        </w:rPr>
      </w:pPr>
      <w:r w:rsidRPr="001659E3">
        <w:rPr>
          <w:rFonts w:cs="David"/>
          <w:rtl/>
        </w:rPr>
        <w:t xml:space="preserve">ועדת התגמול תכלול את כל הדח"צים(שיהיו בה רוב), בראשה יעמוד הדח"צ המכהן כיו"ר ועדת הבקורת ושאר חבריה יהיו דירקטורים בלתי תלויים (הרכב מחמיר יותר מזה של ועדת הבקורת שבה צריך להיות רק רוב לדירקטורים בלתי תלויים). </w:t>
      </w:r>
    </w:p>
    <w:p w:rsidR="009957FD" w:rsidRPr="00D83A5F" w:rsidRDefault="009957FD" w:rsidP="00B62336">
      <w:pPr>
        <w:pStyle w:val="ListParagraph"/>
        <w:numPr>
          <w:ilvl w:val="0"/>
          <w:numId w:val="19"/>
        </w:numPr>
        <w:spacing w:line="360" w:lineRule="auto"/>
        <w:jc w:val="both"/>
        <w:rPr>
          <w:rFonts w:cs="David"/>
          <w:b/>
          <w:bCs/>
        </w:rPr>
      </w:pPr>
      <w:r w:rsidRPr="00D83A5F">
        <w:rPr>
          <w:rFonts w:cs="David"/>
          <w:rtl/>
        </w:rPr>
        <w:t xml:space="preserve">הדירקטוריון יקבע את מדיניות התגמול לאחר שישקול את המלצות ועדת התגמול. המדיניות תובא לאישור האסיפה הכללית (בחברה ציבורית יידרש אישור של רוב מקרב המיעוט), ואולם הדירקטוריון יוכל להחליט על מדיניות תגמול גם בניגוד לעמדת האסיפה הכללית לאחר שהתיחס לעמדתה ולשיקולים הרלוונטים. חריג לעניין חברה נכדה ציבורית – עמדת האסיפה הכללית תהיה מחייבת. </w:t>
      </w:r>
    </w:p>
    <w:p w:rsidR="009957FD" w:rsidRPr="00D83A5F" w:rsidRDefault="009957FD" w:rsidP="00B62336">
      <w:pPr>
        <w:pStyle w:val="ListParagraph"/>
        <w:numPr>
          <w:ilvl w:val="0"/>
          <w:numId w:val="19"/>
        </w:numPr>
        <w:spacing w:line="360" w:lineRule="auto"/>
        <w:jc w:val="both"/>
        <w:rPr>
          <w:rFonts w:cs="David"/>
          <w:b/>
          <w:bCs/>
        </w:rPr>
      </w:pPr>
      <w:r w:rsidRPr="00D83A5F">
        <w:rPr>
          <w:rFonts w:cs="David"/>
          <w:b/>
          <w:bCs/>
          <w:rtl/>
        </w:rPr>
        <w:t xml:space="preserve">שיקולים ואמות מידה בקביעת מדיניות התגמול: </w:t>
      </w:r>
    </w:p>
    <w:p w:rsidR="009957FD" w:rsidRPr="00B74BCE" w:rsidRDefault="009957FD" w:rsidP="00B62336">
      <w:pPr>
        <w:pStyle w:val="ListParagraph"/>
        <w:numPr>
          <w:ilvl w:val="0"/>
          <w:numId w:val="32"/>
        </w:numPr>
        <w:spacing w:line="360" w:lineRule="auto"/>
        <w:jc w:val="both"/>
        <w:rPr>
          <w:rFonts w:cs="David"/>
          <w:u w:val="single"/>
        </w:rPr>
      </w:pPr>
      <w:r w:rsidRPr="00B74BCE">
        <w:rPr>
          <w:rFonts w:cs="David"/>
          <w:u w:val="single"/>
          <w:rtl/>
        </w:rPr>
        <w:t>שיקולים המפורטים בחוק עצמו (ס' 267ב)</w:t>
      </w:r>
    </w:p>
    <w:p w:rsidR="009957FD" w:rsidRDefault="009957FD" w:rsidP="00B62336">
      <w:pPr>
        <w:pStyle w:val="ListParagraph"/>
        <w:numPr>
          <w:ilvl w:val="0"/>
          <w:numId w:val="33"/>
        </w:numPr>
        <w:spacing w:line="360" w:lineRule="auto"/>
        <w:jc w:val="both"/>
        <w:rPr>
          <w:rFonts w:cs="David"/>
        </w:rPr>
      </w:pPr>
      <w:r>
        <w:rPr>
          <w:rFonts w:cs="David"/>
          <w:rtl/>
        </w:rPr>
        <w:t>קידום מטרות החברה, תכניתה ומדיניותה, בראיה ארוכת טווח בהתחשב בניהול הסיכונים ובתמריצים הראויים</w:t>
      </w:r>
    </w:p>
    <w:p w:rsidR="009957FD" w:rsidRDefault="009957FD" w:rsidP="00B62336">
      <w:pPr>
        <w:pStyle w:val="ListParagraph"/>
        <w:numPr>
          <w:ilvl w:val="0"/>
          <w:numId w:val="33"/>
        </w:numPr>
        <w:spacing w:line="360" w:lineRule="auto"/>
        <w:jc w:val="both"/>
        <w:rPr>
          <w:rFonts w:cs="David"/>
        </w:rPr>
      </w:pPr>
      <w:r>
        <w:rPr>
          <w:rFonts w:cs="David"/>
          <w:rtl/>
        </w:rPr>
        <w:t>גודל החברה ואופי פעילותה</w:t>
      </w:r>
    </w:p>
    <w:p w:rsidR="009957FD" w:rsidRDefault="009957FD" w:rsidP="00B62336">
      <w:pPr>
        <w:pStyle w:val="ListParagraph"/>
        <w:numPr>
          <w:ilvl w:val="0"/>
          <w:numId w:val="33"/>
        </w:numPr>
        <w:spacing w:line="360" w:lineRule="auto"/>
        <w:jc w:val="both"/>
        <w:rPr>
          <w:rFonts w:cs="David"/>
        </w:rPr>
      </w:pPr>
      <w:r>
        <w:rPr>
          <w:rFonts w:cs="David"/>
          <w:rtl/>
        </w:rPr>
        <w:t>ביחס לרכיבים משתנים – תרומת נושא המשרה לשיפור ביצועים ארוכי טווח</w:t>
      </w:r>
    </w:p>
    <w:p w:rsidR="009957FD" w:rsidRPr="00B74BCE" w:rsidRDefault="009957FD" w:rsidP="00B62336">
      <w:pPr>
        <w:pStyle w:val="ListParagraph"/>
        <w:numPr>
          <w:ilvl w:val="0"/>
          <w:numId w:val="32"/>
        </w:numPr>
        <w:spacing w:line="360" w:lineRule="auto"/>
        <w:jc w:val="both"/>
        <w:rPr>
          <w:rFonts w:cs="David"/>
          <w:u w:val="single"/>
        </w:rPr>
      </w:pPr>
      <w:r w:rsidRPr="00B74BCE">
        <w:rPr>
          <w:rFonts w:cs="David"/>
          <w:u w:val="single"/>
          <w:rtl/>
        </w:rPr>
        <w:t xml:space="preserve">אמות מידה שמדיניות התגמול צריכה להתיחס אליהן (תוספת ראשונה א' – חלק א') </w:t>
      </w:r>
    </w:p>
    <w:p w:rsidR="009957FD" w:rsidRDefault="009957FD" w:rsidP="00B62336">
      <w:pPr>
        <w:pStyle w:val="ListParagraph"/>
        <w:numPr>
          <w:ilvl w:val="0"/>
          <w:numId w:val="34"/>
        </w:numPr>
        <w:spacing w:line="360" w:lineRule="auto"/>
        <w:jc w:val="both"/>
        <w:rPr>
          <w:rFonts w:cs="David"/>
        </w:rPr>
      </w:pPr>
      <w:r>
        <w:rPr>
          <w:rFonts w:cs="David"/>
          <w:rtl/>
        </w:rPr>
        <w:t>השכלה, כישורים, מומחיות והישגים</w:t>
      </w:r>
    </w:p>
    <w:p w:rsidR="009957FD" w:rsidRDefault="009957FD" w:rsidP="001659E3">
      <w:pPr>
        <w:pStyle w:val="ListParagraph"/>
        <w:numPr>
          <w:ilvl w:val="0"/>
          <w:numId w:val="34"/>
        </w:numPr>
        <w:spacing w:line="360" w:lineRule="auto"/>
        <w:jc w:val="both"/>
        <w:rPr>
          <w:rFonts w:cs="David"/>
        </w:rPr>
      </w:pPr>
      <w:r>
        <w:rPr>
          <w:rFonts w:cs="David"/>
          <w:rtl/>
        </w:rPr>
        <w:t xml:space="preserve">הסכמי שכר קודמים שנחתמו עמו </w:t>
      </w:r>
    </w:p>
    <w:p w:rsidR="009957FD" w:rsidRDefault="009957FD" w:rsidP="00B62336">
      <w:pPr>
        <w:pStyle w:val="ListParagraph"/>
        <w:numPr>
          <w:ilvl w:val="0"/>
          <w:numId w:val="34"/>
        </w:numPr>
        <w:spacing w:line="360" w:lineRule="auto"/>
        <w:jc w:val="both"/>
        <w:rPr>
          <w:rFonts w:cs="David"/>
        </w:rPr>
      </w:pPr>
      <w:r>
        <w:rPr>
          <w:rFonts w:cs="David"/>
          <w:rtl/>
        </w:rPr>
        <w:t xml:space="preserve">היחס לשאר עובדי החברה ועובדי קבלן בחברה והשפעת הפערים על יחסי העבודה בחברה </w:t>
      </w:r>
    </w:p>
    <w:p w:rsidR="009957FD" w:rsidRPr="00B74BCE" w:rsidRDefault="009957FD" w:rsidP="00B62336">
      <w:pPr>
        <w:pStyle w:val="ListParagraph"/>
        <w:numPr>
          <w:ilvl w:val="0"/>
          <w:numId w:val="32"/>
        </w:numPr>
        <w:spacing w:line="360" w:lineRule="auto"/>
        <w:jc w:val="both"/>
        <w:rPr>
          <w:rFonts w:cs="David"/>
          <w:u w:val="single"/>
        </w:rPr>
      </w:pPr>
      <w:r w:rsidRPr="00B74BCE">
        <w:rPr>
          <w:rFonts w:cs="David"/>
          <w:u w:val="single"/>
          <w:rtl/>
        </w:rPr>
        <w:t xml:space="preserve">הוראות שחובה לכלול במדיניות התגמול (תוספת ראשונה א' – חלק </w:t>
      </w:r>
      <w:r>
        <w:rPr>
          <w:rFonts w:cs="David"/>
          <w:u w:val="single"/>
          <w:rtl/>
        </w:rPr>
        <w:t>ב</w:t>
      </w:r>
      <w:r w:rsidRPr="00B74BCE">
        <w:rPr>
          <w:rFonts w:cs="David"/>
          <w:u w:val="single"/>
          <w:rtl/>
        </w:rPr>
        <w:t>')</w:t>
      </w:r>
    </w:p>
    <w:p w:rsidR="009957FD" w:rsidRDefault="009957FD" w:rsidP="00D83A5F">
      <w:pPr>
        <w:pStyle w:val="ListParagraph"/>
        <w:numPr>
          <w:ilvl w:val="0"/>
          <w:numId w:val="35"/>
        </w:numPr>
        <w:spacing w:line="360" w:lineRule="auto"/>
        <w:jc w:val="both"/>
        <w:rPr>
          <w:rFonts w:cs="David"/>
        </w:rPr>
      </w:pPr>
      <w:r>
        <w:rPr>
          <w:rFonts w:cs="David"/>
          <w:rtl/>
        </w:rPr>
        <w:t xml:space="preserve">לענין רכיבים משתנים- קביעת תקרה + ביסוסם על ביצועים ארוכי טווח, קריטריונים מדידים (חלק לא מהותי מהרכיבים יכול להינתן על בסיס קריטריונים לא מדידים בהתחשב בתרומתו לחברה) </w:t>
      </w:r>
    </w:p>
    <w:p w:rsidR="009957FD" w:rsidRDefault="009957FD" w:rsidP="00B62336">
      <w:pPr>
        <w:pStyle w:val="ListParagraph"/>
        <w:numPr>
          <w:ilvl w:val="0"/>
          <w:numId w:val="35"/>
        </w:numPr>
        <w:spacing w:line="360" w:lineRule="auto"/>
        <w:jc w:val="both"/>
        <w:rPr>
          <w:rFonts w:cs="David"/>
        </w:rPr>
      </w:pPr>
      <w:r>
        <w:rPr>
          <w:rFonts w:cs="David"/>
          <w:rtl/>
        </w:rPr>
        <w:t>החזרת סכומים ששולמו אם התשתית היתה מוטעית או הפר חובת אמונים</w:t>
      </w:r>
    </w:p>
    <w:p w:rsidR="009957FD" w:rsidRDefault="009957FD" w:rsidP="00B62336">
      <w:pPr>
        <w:pStyle w:val="ListParagraph"/>
        <w:numPr>
          <w:ilvl w:val="0"/>
          <w:numId w:val="35"/>
        </w:numPr>
        <w:spacing w:line="360" w:lineRule="auto"/>
        <w:jc w:val="both"/>
        <w:rPr>
          <w:rFonts w:cs="David"/>
        </w:rPr>
      </w:pPr>
      <w:r>
        <w:rPr>
          <w:rFonts w:cs="David"/>
          <w:rtl/>
        </w:rPr>
        <w:t>לענין רכיבים מניתיים– תקופת החזקה מינימלית והתייחסות לתמריצים ארוכי טווח</w:t>
      </w:r>
    </w:p>
    <w:p w:rsidR="009957FD" w:rsidRPr="00B74BCE" w:rsidRDefault="009957FD" w:rsidP="00B62336">
      <w:pPr>
        <w:pStyle w:val="ListParagraph"/>
        <w:numPr>
          <w:ilvl w:val="0"/>
          <w:numId w:val="35"/>
        </w:numPr>
        <w:spacing w:line="360" w:lineRule="auto"/>
        <w:jc w:val="both"/>
        <w:rPr>
          <w:rFonts w:cs="David"/>
        </w:rPr>
      </w:pPr>
      <w:r>
        <w:rPr>
          <w:rFonts w:cs="David"/>
          <w:rtl/>
        </w:rPr>
        <w:t xml:space="preserve">קביעת תקרה למענקי פרישה  </w:t>
      </w:r>
    </w:p>
    <w:p w:rsidR="009957FD" w:rsidRDefault="009957FD" w:rsidP="00B62336">
      <w:pPr>
        <w:pStyle w:val="ListParagraph"/>
        <w:spacing w:line="360" w:lineRule="auto"/>
        <w:ind w:left="1080"/>
        <w:jc w:val="both"/>
        <w:rPr>
          <w:rFonts w:cs="David"/>
          <w:rtl/>
        </w:rPr>
      </w:pPr>
    </w:p>
    <w:p w:rsidR="009957FD" w:rsidRDefault="009957FD" w:rsidP="00B62336">
      <w:pPr>
        <w:pStyle w:val="ListParagraph"/>
        <w:numPr>
          <w:ilvl w:val="0"/>
          <w:numId w:val="19"/>
        </w:numPr>
        <w:spacing w:line="360" w:lineRule="auto"/>
        <w:jc w:val="both"/>
        <w:rPr>
          <w:rFonts w:cs="David"/>
          <w:b/>
          <w:bCs/>
        </w:rPr>
      </w:pPr>
      <w:r w:rsidRPr="00782936">
        <w:rPr>
          <w:rFonts w:cs="David"/>
          <w:b/>
          <w:bCs/>
          <w:rtl/>
        </w:rPr>
        <w:t xml:space="preserve">אישור תנאי כהונה והעסקה של </w:t>
      </w:r>
      <w:r>
        <w:rPr>
          <w:rFonts w:cs="David"/>
          <w:b/>
          <w:bCs/>
          <w:rtl/>
        </w:rPr>
        <w:t xml:space="preserve">נושא משרה </w:t>
      </w:r>
      <w:r w:rsidRPr="00782936">
        <w:rPr>
          <w:rFonts w:cs="David"/>
          <w:b/>
          <w:bCs/>
          <w:rtl/>
        </w:rPr>
        <w:t>שאינו דירקטור</w:t>
      </w:r>
      <w:r>
        <w:rPr>
          <w:rFonts w:cs="David"/>
          <w:b/>
          <w:bCs/>
          <w:rtl/>
        </w:rPr>
        <w:t xml:space="preserve"> (למעט מנכ"ל) – 272(ג)</w:t>
      </w:r>
    </w:p>
    <w:p w:rsidR="009957FD" w:rsidRDefault="009957FD" w:rsidP="00B62336">
      <w:pPr>
        <w:pStyle w:val="ListParagraph"/>
        <w:numPr>
          <w:ilvl w:val="0"/>
          <w:numId w:val="22"/>
        </w:numPr>
        <w:spacing w:line="360" w:lineRule="auto"/>
        <w:jc w:val="both"/>
        <w:rPr>
          <w:rFonts w:cs="David"/>
        </w:rPr>
      </w:pPr>
      <w:r>
        <w:rPr>
          <w:rFonts w:cs="David"/>
          <w:rtl/>
        </w:rPr>
        <w:t xml:space="preserve">אישור ועדת תגמול (במקום ועדת בקורת כיום)  </w:t>
      </w:r>
    </w:p>
    <w:p w:rsidR="009957FD" w:rsidRDefault="009957FD" w:rsidP="00B62336">
      <w:pPr>
        <w:pStyle w:val="ListParagraph"/>
        <w:numPr>
          <w:ilvl w:val="0"/>
          <w:numId w:val="22"/>
        </w:numPr>
        <w:spacing w:line="360" w:lineRule="auto"/>
        <w:jc w:val="both"/>
        <w:rPr>
          <w:rFonts w:cs="David"/>
        </w:rPr>
      </w:pPr>
      <w:r>
        <w:rPr>
          <w:rFonts w:cs="David"/>
          <w:rtl/>
        </w:rPr>
        <w:t>אישור הדירקטוריון (לא חידוש)</w:t>
      </w:r>
    </w:p>
    <w:p w:rsidR="009957FD" w:rsidRDefault="009957FD" w:rsidP="00B62336">
      <w:pPr>
        <w:pStyle w:val="ListParagraph"/>
        <w:numPr>
          <w:ilvl w:val="0"/>
          <w:numId w:val="22"/>
        </w:numPr>
        <w:spacing w:line="360" w:lineRule="auto"/>
        <w:jc w:val="both"/>
        <w:rPr>
          <w:rFonts w:cs="David"/>
        </w:rPr>
      </w:pPr>
      <w:r>
        <w:rPr>
          <w:rFonts w:cs="David"/>
          <w:rtl/>
        </w:rPr>
        <w:t>ניתן לאשר חריגה ממדיניות התגמול במקרים מיוחדים–</w:t>
      </w:r>
    </w:p>
    <w:p w:rsidR="009957FD" w:rsidRDefault="009957FD" w:rsidP="00B62336">
      <w:pPr>
        <w:pStyle w:val="ListParagraph"/>
        <w:numPr>
          <w:ilvl w:val="0"/>
          <w:numId w:val="23"/>
        </w:numPr>
        <w:spacing w:line="360" w:lineRule="auto"/>
        <w:jc w:val="both"/>
        <w:rPr>
          <w:rFonts w:cs="David"/>
        </w:rPr>
      </w:pPr>
      <w:r>
        <w:rPr>
          <w:rFonts w:cs="David"/>
          <w:rtl/>
        </w:rPr>
        <w:t>אישור האסיפה הכללית (הרוב הנדרש בחברה ציבורית – רוב מקרב המיעוט); אך אם אין אישור ניתן לאשרה בדיון מחדש לאחר בחינת התנגדות האסיפה הכללית (למעט חברה נכדה ציבורית שאז החלטת האסיפה הכללית מחייבת)</w:t>
      </w:r>
    </w:p>
    <w:p w:rsidR="009957FD" w:rsidRDefault="009957FD" w:rsidP="00B62336">
      <w:pPr>
        <w:pStyle w:val="ListParagraph"/>
        <w:numPr>
          <w:ilvl w:val="0"/>
          <w:numId w:val="23"/>
        </w:numPr>
        <w:spacing w:line="360" w:lineRule="auto"/>
        <w:jc w:val="both"/>
        <w:rPr>
          <w:rFonts w:cs="David"/>
        </w:rPr>
      </w:pPr>
      <w:r>
        <w:rPr>
          <w:rFonts w:cs="David"/>
          <w:rtl/>
        </w:rPr>
        <w:t>לוודא שתואם את השיקולים ואמות המידה לקביעת מדיניות התגמול</w:t>
      </w:r>
    </w:p>
    <w:p w:rsidR="009957FD" w:rsidRPr="006775EC" w:rsidRDefault="009957FD" w:rsidP="00B62336">
      <w:pPr>
        <w:pStyle w:val="ListParagraph"/>
        <w:spacing w:line="360" w:lineRule="auto"/>
        <w:jc w:val="both"/>
        <w:rPr>
          <w:rFonts w:cs="David"/>
          <w:b/>
          <w:bCs/>
        </w:rPr>
      </w:pPr>
    </w:p>
    <w:p w:rsidR="009957FD" w:rsidRPr="00782936" w:rsidRDefault="009957FD" w:rsidP="006775EC">
      <w:pPr>
        <w:pStyle w:val="ListParagraph"/>
        <w:numPr>
          <w:ilvl w:val="0"/>
          <w:numId w:val="19"/>
        </w:numPr>
        <w:spacing w:line="360" w:lineRule="auto"/>
        <w:jc w:val="both"/>
        <w:rPr>
          <w:rFonts w:cs="David"/>
          <w:b/>
          <w:bCs/>
        </w:rPr>
      </w:pPr>
      <w:r w:rsidRPr="00782936">
        <w:rPr>
          <w:rFonts w:cs="David"/>
          <w:b/>
          <w:bCs/>
          <w:rtl/>
        </w:rPr>
        <w:t>אישור תנאי כהונה והעסקה של מנכ"ל (שאינו דירקטור)</w:t>
      </w:r>
      <w:r>
        <w:rPr>
          <w:rFonts w:cs="David"/>
          <w:b/>
          <w:bCs/>
          <w:rtl/>
        </w:rPr>
        <w:t xml:space="preserve">– (ס' 272(ג1)) </w:t>
      </w:r>
    </w:p>
    <w:p w:rsidR="009957FD" w:rsidRDefault="009957FD" w:rsidP="00B62336">
      <w:pPr>
        <w:pStyle w:val="ListParagraph"/>
        <w:numPr>
          <w:ilvl w:val="0"/>
          <w:numId w:val="21"/>
        </w:numPr>
        <w:spacing w:line="360" w:lineRule="auto"/>
        <w:jc w:val="both"/>
        <w:rPr>
          <w:rFonts w:cs="David"/>
        </w:rPr>
      </w:pPr>
      <w:r>
        <w:rPr>
          <w:rFonts w:cs="David"/>
          <w:rtl/>
        </w:rPr>
        <w:t xml:space="preserve">כמו לגבי נושא משרה שאינו מנכ"ל, אך </w:t>
      </w:r>
      <w:r w:rsidRPr="00ED1198">
        <w:rPr>
          <w:rFonts w:cs="David"/>
          <w:u w:val="single"/>
          <w:rtl/>
        </w:rPr>
        <w:t>בכל מקרה מובא לאישור האסיפה הכללית</w:t>
      </w:r>
      <w:r>
        <w:rPr>
          <w:rFonts w:cs="David"/>
          <w:rtl/>
        </w:rPr>
        <w:t xml:space="preserve"> (חידוש) (הרוב הנדרש בחברה ציבורית – רוב מקרב המיעוט), כולל האפשרות לאשר את ההתקשרות בדיון מחדש לאחר בחינת התנגדות האסיפה הכללית (למעט חברה נכדה ציבורית שאז החלטת האסיפה הכללית מחייבת)</w:t>
      </w:r>
    </w:p>
    <w:p w:rsidR="009957FD" w:rsidRPr="00ED1198" w:rsidRDefault="009957FD" w:rsidP="00D83A5F">
      <w:pPr>
        <w:pStyle w:val="ListParagraph"/>
        <w:numPr>
          <w:ilvl w:val="0"/>
          <w:numId w:val="21"/>
        </w:numPr>
        <w:spacing w:line="360" w:lineRule="auto"/>
        <w:jc w:val="both"/>
        <w:rPr>
          <w:rFonts w:cs="David"/>
        </w:rPr>
      </w:pPr>
      <w:r>
        <w:rPr>
          <w:rFonts w:cs="David"/>
          <w:rtl/>
        </w:rPr>
        <w:t xml:space="preserve">ניתן לחרוג </w:t>
      </w:r>
      <w:r w:rsidRPr="00ED1198">
        <w:rPr>
          <w:rFonts w:cs="David"/>
          <w:rtl/>
        </w:rPr>
        <w:t xml:space="preserve">ממדיניות התגמול </w:t>
      </w:r>
      <w:r>
        <w:rPr>
          <w:rFonts w:cs="David"/>
          <w:rtl/>
        </w:rPr>
        <w:t xml:space="preserve">במקרים מיוחדים –אם זה תואם </w:t>
      </w:r>
      <w:r w:rsidRPr="00ED1198">
        <w:rPr>
          <w:rFonts w:cs="David"/>
          <w:rtl/>
        </w:rPr>
        <w:t>את השיקולים ואמות המידה לקביעת מדיניות התגמול.</w:t>
      </w:r>
    </w:p>
    <w:p w:rsidR="009957FD" w:rsidRDefault="009957FD" w:rsidP="00B62336">
      <w:pPr>
        <w:pStyle w:val="ListParagraph"/>
        <w:numPr>
          <w:ilvl w:val="0"/>
          <w:numId w:val="21"/>
        </w:numPr>
        <w:spacing w:line="360" w:lineRule="auto"/>
        <w:jc w:val="both"/>
        <w:rPr>
          <w:rFonts w:cs="David"/>
        </w:rPr>
      </w:pPr>
      <w:r w:rsidRPr="006E1505">
        <w:rPr>
          <w:rFonts w:cs="David"/>
          <w:highlight w:val="cyan"/>
          <w:rtl/>
        </w:rPr>
        <w:t>חריג –</w:t>
      </w:r>
      <w:r>
        <w:rPr>
          <w:rFonts w:cs="David"/>
          <w:rtl/>
        </w:rPr>
        <w:t xml:space="preserve"> שמאפשר לועדת התגמול לפטור התקשרות עם מנכ"ל שהוא בלתי תלוי בחברה ובבעל השליטה מאישור האסיפה הכללית אם: </w:t>
      </w:r>
    </w:p>
    <w:p w:rsidR="009957FD" w:rsidRDefault="009957FD" w:rsidP="00B62336">
      <w:pPr>
        <w:pStyle w:val="ListParagraph"/>
        <w:numPr>
          <w:ilvl w:val="0"/>
          <w:numId w:val="24"/>
        </w:numPr>
        <w:spacing w:line="360" w:lineRule="auto"/>
        <w:jc w:val="both"/>
        <w:rPr>
          <w:rFonts w:cs="David"/>
        </w:rPr>
      </w:pPr>
      <w:r w:rsidRPr="006775EC">
        <w:rPr>
          <w:rFonts w:cs="David"/>
          <w:rtl/>
        </w:rPr>
        <w:t xml:space="preserve">ועדת התגמול מצאה שהבאת העסקה לאישור תסכל את ההתקשרות. </w:t>
      </w:r>
    </w:p>
    <w:p w:rsidR="009957FD" w:rsidRPr="006775EC" w:rsidRDefault="009957FD" w:rsidP="00B62336">
      <w:pPr>
        <w:pStyle w:val="ListParagraph"/>
        <w:numPr>
          <w:ilvl w:val="0"/>
          <w:numId w:val="24"/>
        </w:numPr>
        <w:spacing w:line="360" w:lineRule="auto"/>
        <w:jc w:val="both"/>
        <w:rPr>
          <w:rFonts w:cs="David"/>
        </w:rPr>
      </w:pPr>
      <w:r w:rsidRPr="006775EC">
        <w:rPr>
          <w:rFonts w:cs="David"/>
          <w:rtl/>
        </w:rPr>
        <w:t xml:space="preserve">העסקה תואמת את מדיניות התגמול </w:t>
      </w:r>
    </w:p>
    <w:p w:rsidR="009957FD" w:rsidRDefault="009957FD" w:rsidP="00B62336">
      <w:pPr>
        <w:pStyle w:val="ListParagraph"/>
        <w:numPr>
          <w:ilvl w:val="0"/>
          <w:numId w:val="19"/>
        </w:numPr>
        <w:spacing w:line="360" w:lineRule="auto"/>
        <w:jc w:val="both"/>
        <w:rPr>
          <w:rFonts w:cs="David"/>
          <w:b/>
          <w:bCs/>
        </w:rPr>
      </w:pPr>
      <w:r w:rsidRPr="00ED1198">
        <w:rPr>
          <w:rFonts w:cs="David"/>
          <w:b/>
          <w:bCs/>
          <w:rtl/>
        </w:rPr>
        <w:t xml:space="preserve">אישור תנאי כהונה והעסקה של דירקטור </w:t>
      </w:r>
      <w:r>
        <w:rPr>
          <w:rFonts w:cs="David"/>
          <w:b/>
          <w:bCs/>
          <w:rtl/>
        </w:rPr>
        <w:t>(ס' 273)</w:t>
      </w:r>
    </w:p>
    <w:p w:rsidR="009957FD" w:rsidRDefault="009957FD" w:rsidP="00B62336">
      <w:pPr>
        <w:pStyle w:val="ListParagraph"/>
        <w:numPr>
          <w:ilvl w:val="0"/>
          <w:numId w:val="25"/>
        </w:numPr>
        <w:spacing w:line="360" w:lineRule="auto"/>
        <w:jc w:val="both"/>
        <w:rPr>
          <w:rFonts w:cs="David"/>
        </w:rPr>
      </w:pPr>
      <w:r>
        <w:rPr>
          <w:rFonts w:cs="David"/>
          <w:rtl/>
        </w:rPr>
        <w:t xml:space="preserve">אישור ועדת תגמול (במקום ועדת בקורת כיום)  </w:t>
      </w:r>
    </w:p>
    <w:p w:rsidR="009957FD" w:rsidRDefault="009957FD" w:rsidP="00B62336">
      <w:pPr>
        <w:pStyle w:val="ListParagraph"/>
        <w:numPr>
          <w:ilvl w:val="0"/>
          <w:numId w:val="25"/>
        </w:numPr>
        <w:spacing w:line="360" w:lineRule="auto"/>
        <w:jc w:val="both"/>
        <w:rPr>
          <w:rFonts w:cs="David"/>
        </w:rPr>
      </w:pPr>
      <w:r>
        <w:rPr>
          <w:rFonts w:cs="David"/>
          <w:rtl/>
        </w:rPr>
        <w:t>אישור הדירקטוריון (לא חידוש)</w:t>
      </w:r>
    </w:p>
    <w:p w:rsidR="009957FD" w:rsidRDefault="009957FD" w:rsidP="00B62336">
      <w:pPr>
        <w:pStyle w:val="ListParagraph"/>
        <w:numPr>
          <w:ilvl w:val="0"/>
          <w:numId w:val="25"/>
        </w:numPr>
        <w:spacing w:line="360" w:lineRule="auto"/>
        <w:jc w:val="both"/>
        <w:rPr>
          <w:rFonts w:cs="David"/>
        </w:rPr>
      </w:pPr>
      <w:r>
        <w:rPr>
          <w:rFonts w:cs="David"/>
          <w:rtl/>
        </w:rPr>
        <w:t xml:space="preserve">אישור האסיפה הכללית (לא חידוש) (מחייב) </w:t>
      </w:r>
    </w:p>
    <w:p w:rsidR="009957FD" w:rsidRDefault="009957FD" w:rsidP="00B62336">
      <w:pPr>
        <w:pStyle w:val="ListParagraph"/>
        <w:numPr>
          <w:ilvl w:val="0"/>
          <w:numId w:val="25"/>
        </w:numPr>
        <w:spacing w:line="360" w:lineRule="auto"/>
        <w:jc w:val="both"/>
        <w:rPr>
          <w:rFonts w:cs="David"/>
        </w:rPr>
      </w:pPr>
      <w:r>
        <w:rPr>
          <w:rFonts w:cs="David"/>
          <w:rtl/>
        </w:rPr>
        <w:t>ניתן לחרוג ממדיניות התגמול במקרים מיוחדים –</w:t>
      </w:r>
    </w:p>
    <w:p w:rsidR="009957FD" w:rsidRDefault="009957FD" w:rsidP="00B62336">
      <w:pPr>
        <w:pStyle w:val="ListParagraph"/>
        <w:spacing w:line="360" w:lineRule="auto"/>
        <w:ind w:left="1080"/>
        <w:jc w:val="both"/>
        <w:rPr>
          <w:rFonts w:cs="David"/>
          <w:rtl/>
        </w:rPr>
      </w:pPr>
      <w:r>
        <w:rPr>
          <w:rFonts w:cs="David"/>
          <w:rtl/>
        </w:rPr>
        <w:t xml:space="preserve">1. </w:t>
      </w:r>
      <w:r>
        <w:rPr>
          <w:rFonts w:cs="David"/>
          <w:rtl/>
        </w:rPr>
        <w:tab/>
      </w:r>
      <w:r w:rsidRPr="004F32B9">
        <w:rPr>
          <w:rFonts w:cs="David"/>
          <w:rtl/>
        </w:rPr>
        <w:t xml:space="preserve">אישור האסיפה הכללית </w:t>
      </w:r>
      <w:r>
        <w:rPr>
          <w:rFonts w:cs="David"/>
          <w:rtl/>
        </w:rPr>
        <w:t>(ב</w:t>
      </w:r>
      <w:r w:rsidRPr="004F32B9">
        <w:rPr>
          <w:rFonts w:cs="David"/>
          <w:rtl/>
        </w:rPr>
        <w:t>חברה ציבורית – רוב מקרב המיעוט)</w:t>
      </w:r>
      <w:r>
        <w:rPr>
          <w:rFonts w:cs="David"/>
          <w:rtl/>
        </w:rPr>
        <w:t xml:space="preserve"> (מחייב)</w:t>
      </w:r>
    </w:p>
    <w:p w:rsidR="009957FD" w:rsidRDefault="009957FD" w:rsidP="00B62336">
      <w:pPr>
        <w:pStyle w:val="ListParagraph"/>
        <w:spacing w:line="360" w:lineRule="auto"/>
        <w:ind w:left="1080"/>
        <w:jc w:val="both"/>
        <w:rPr>
          <w:rFonts w:cs="David"/>
        </w:rPr>
      </w:pPr>
      <w:r>
        <w:rPr>
          <w:rFonts w:cs="David"/>
          <w:rtl/>
        </w:rPr>
        <w:t>2.</w:t>
      </w:r>
      <w:r>
        <w:rPr>
          <w:rFonts w:cs="David"/>
          <w:rtl/>
        </w:rPr>
        <w:tab/>
        <w:t>תואם את השיקולים ואמות המידה לקביעת מדיניות התגמול</w:t>
      </w:r>
    </w:p>
    <w:p w:rsidR="009957FD" w:rsidRPr="004F32B9" w:rsidRDefault="009957FD" w:rsidP="00B62336">
      <w:pPr>
        <w:pStyle w:val="ListParagraph"/>
        <w:spacing w:line="360" w:lineRule="auto"/>
        <w:jc w:val="both"/>
        <w:rPr>
          <w:rFonts w:cs="David"/>
          <w:b/>
          <w:bCs/>
        </w:rPr>
      </w:pPr>
    </w:p>
    <w:p w:rsidR="009957FD" w:rsidRPr="004F32B9" w:rsidRDefault="009957FD" w:rsidP="00B62336">
      <w:pPr>
        <w:pStyle w:val="ListParagraph"/>
        <w:numPr>
          <w:ilvl w:val="0"/>
          <w:numId w:val="19"/>
        </w:numPr>
        <w:spacing w:line="360" w:lineRule="auto"/>
        <w:jc w:val="both"/>
        <w:rPr>
          <w:rFonts w:cs="David"/>
          <w:b/>
          <w:bCs/>
        </w:rPr>
      </w:pPr>
      <w:r w:rsidRPr="004F32B9">
        <w:rPr>
          <w:rFonts w:cs="David"/>
          <w:b/>
          <w:bCs/>
          <w:rtl/>
        </w:rPr>
        <w:t xml:space="preserve">אישור תנאי כהונה והעסקה של נושא משרה שהוא בעל שליטה או קרובו </w:t>
      </w:r>
      <w:r>
        <w:rPr>
          <w:rFonts w:cs="David"/>
          <w:b/>
          <w:bCs/>
          <w:rtl/>
        </w:rPr>
        <w:t>(ס' 275)</w:t>
      </w:r>
    </w:p>
    <w:p w:rsidR="009957FD" w:rsidRDefault="009957FD" w:rsidP="00B62336">
      <w:pPr>
        <w:pStyle w:val="ListParagraph"/>
        <w:numPr>
          <w:ilvl w:val="0"/>
          <w:numId w:val="28"/>
        </w:numPr>
        <w:spacing w:line="360" w:lineRule="auto"/>
        <w:jc w:val="both"/>
        <w:rPr>
          <w:rFonts w:cs="David"/>
        </w:rPr>
      </w:pPr>
      <w:r>
        <w:rPr>
          <w:rFonts w:cs="David"/>
          <w:rtl/>
        </w:rPr>
        <w:t xml:space="preserve">אישור ועדת תגמול (במקום ועדת בקורת כיום)  </w:t>
      </w:r>
    </w:p>
    <w:p w:rsidR="009957FD" w:rsidRDefault="009957FD" w:rsidP="00B62336">
      <w:pPr>
        <w:pStyle w:val="ListParagraph"/>
        <w:numPr>
          <w:ilvl w:val="0"/>
          <w:numId w:val="28"/>
        </w:numPr>
        <w:spacing w:line="360" w:lineRule="auto"/>
        <w:jc w:val="both"/>
        <w:rPr>
          <w:rFonts w:cs="David"/>
        </w:rPr>
      </w:pPr>
      <w:r>
        <w:rPr>
          <w:rFonts w:cs="David"/>
          <w:rtl/>
        </w:rPr>
        <w:t>אישור הדירקטוריון (לא חידוש)</w:t>
      </w:r>
    </w:p>
    <w:p w:rsidR="009957FD" w:rsidRDefault="009957FD" w:rsidP="00B62336">
      <w:pPr>
        <w:pStyle w:val="ListParagraph"/>
        <w:numPr>
          <w:ilvl w:val="0"/>
          <w:numId w:val="28"/>
        </w:numPr>
        <w:spacing w:line="360" w:lineRule="auto"/>
        <w:jc w:val="both"/>
        <w:rPr>
          <w:rFonts w:cs="David"/>
        </w:rPr>
      </w:pPr>
      <w:r>
        <w:rPr>
          <w:rFonts w:cs="David"/>
          <w:rtl/>
        </w:rPr>
        <w:t>אישור האסיפה הכללית (בחברה ציבורית - רוב מקרב המיעוט) (מחייב) – לא חידוש לגבי חברה ציבורית; חידוש לגבי חברת איגרות חוב.</w:t>
      </w:r>
    </w:p>
    <w:p w:rsidR="009957FD" w:rsidRDefault="009957FD" w:rsidP="00B62336">
      <w:pPr>
        <w:pStyle w:val="ListParagraph"/>
        <w:numPr>
          <w:ilvl w:val="0"/>
          <w:numId w:val="28"/>
        </w:numPr>
        <w:spacing w:line="360" w:lineRule="auto"/>
        <w:jc w:val="both"/>
        <w:rPr>
          <w:rFonts w:cs="David"/>
        </w:rPr>
      </w:pPr>
      <w:r>
        <w:rPr>
          <w:rFonts w:cs="David"/>
          <w:rtl/>
        </w:rPr>
        <w:t>ניתן לחרוג ממדיניות התגמול במקרים מיוחדים –</w:t>
      </w:r>
    </w:p>
    <w:p w:rsidR="009957FD" w:rsidRDefault="009957FD" w:rsidP="00B62336">
      <w:pPr>
        <w:pStyle w:val="ListParagraph"/>
        <w:spacing w:line="360" w:lineRule="auto"/>
        <w:ind w:left="1080"/>
        <w:jc w:val="both"/>
        <w:rPr>
          <w:rFonts w:cs="David"/>
          <w:rtl/>
        </w:rPr>
      </w:pPr>
      <w:r>
        <w:rPr>
          <w:rFonts w:cs="David"/>
          <w:rtl/>
        </w:rPr>
        <w:t xml:space="preserve">1. </w:t>
      </w:r>
      <w:r>
        <w:rPr>
          <w:rFonts w:cs="David"/>
          <w:rtl/>
        </w:rPr>
        <w:tab/>
      </w:r>
      <w:r w:rsidRPr="004F32B9">
        <w:rPr>
          <w:rFonts w:cs="David"/>
          <w:rtl/>
        </w:rPr>
        <w:t xml:space="preserve">אישור האסיפה הכללית </w:t>
      </w:r>
      <w:r>
        <w:rPr>
          <w:rFonts w:cs="David"/>
          <w:rtl/>
        </w:rPr>
        <w:t>(ב</w:t>
      </w:r>
      <w:r w:rsidRPr="004F32B9">
        <w:rPr>
          <w:rFonts w:cs="David"/>
          <w:rtl/>
        </w:rPr>
        <w:t>חברה ציבורית – רוב מקרב המיעוט)</w:t>
      </w:r>
      <w:r>
        <w:rPr>
          <w:rFonts w:cs="David"/>
          <w:rtl/>
        </w:rPr>
        <w:t xml:space="preserve"> (מחייב)</w:t>
      </w:r>
    </w:p>
    <w:p w:rsidR="009957FD" w:rsidRDefault="009957FD" w:rsidP="00B62336">
      <w:pPr>
        <w:pStyle w:val="ListParagraph"/>
        <w:spacing w:line="360" w:lineRule="auto"/>
        <w:ind w:left="1080"/>
        <w:jc w:val="both"/>
        <w:rPr>
          <w:rFonts w:cs="David"/>
        </w:rPr>
      </w:pPr>
      <w:r>
        <w:rPr>
          <w:rFonts w:cs="David"/>
          <w:rtl/>
        </w:rPr>
        <w:t>2.</w:t>
      </w:r>
      <w:r>
        <w:rPr>
          <w:rFonts w:cs="David"/>
          <w:rtl/>
        </w:rPr>
        <w:tab/>
        <w:t>תואם את השיקולים ואמות המידה לקביעת מדיניות התגמול</w:t>
      </w:r>
    </w:p>
    <w:p w:rsidR="009957FD" w:rsidRDefault="009957FD" w:rsidP="00B62336">
      <w:pPr>
        <w:spacing w:line="360" w:lineRule="auto"/>
        <w:jc w:val="both"/>
        <w:rPr>
          <w:rFonts w:cs="David"/>
          <w:rtl/>
        </w:rPr>
      </w:pPr>
    </w:p>
    <w:p w:rsidR="009957FD" w:rsidRPr="00DC6BEF" w:rsidRDefault="009957FD" w:rsidP="00B62336">
      <w:pPr>
        <w:spacing w:line="360" w:lineRule="auto"/>
        <w:jc w:val="both"/>
        <w:rPr>
          <w:rFonts w:cs="David"/>
          <w:b/>
          <w:bCs/>
          <w:rtl/>
        </w:rPr>
      </w:pPr>
      <w:r>
        <w:rPr>
          <w:rFonts w:cs="David"/>
          <w:b/>
          <w:bCs/>
          <w:sz w:val="26"/>
          <w:szCs w:val="26"/>
          <w:highlight w:val="cyan"/>
          <w:u w:val="single"/>
          <w:rtl/>
        </w:rPr>
        <w:t xml:space="preserve">6.דוגמאות להסדרים בעניין שכר בכירים </w:t>
      </w:r>
      <w:r w:rsidRPr="006775EC">
        <w:rPr>
          <w:rFonts w:cs="David"/>
          <w:b/>
          <w:bCs/>
          <w:sz w:val="26"/>
          <w:szCs w:val="26"/>
          <w:highlight w:val="cyan"/>
          <w:u w:val="single"/>
          <w:rtl/>
        </w:rPr>
        <w:t>מה</w:t>
      </w:r>
      <w:r w:rsidRPr="006775EC">
        <w:rPr>
          <w:rFonts w:cs="David"/>
          <w:b/>
          <w:bCs/>
          <w:highlight w:val="cyan"/>
          <w:u w:val="single"/>
          <w:rtl/>
        </w:rPr>
        <w:t>משפט המשווה</w:t>
      </w:r>
    </w:p>
    <w:p w:rsidR="009957FD" w:rsidRDefault="009957FD" w:rsidP="00B62336">
      <w:pPr>
        <w:pStyle w:val="ListParagraph"/>
        <w:numPr>
          <w:ilvl w:val="0"/>
          <w:numId w:val="5"/>
        </w:numPr>
        <w:spacing w:line="360" w:lineRule="auto"/>
        <w:jc w:val="both"/>
        <w:rPr>
          <w:rFonts w:cs="David"/>
        </w:rPr>
      </w:pPr>
      <w:r w:rsidRPr="003C5CCB">
        <w:rPr>
          <w:rFonts w:cs="David"/>
          <w:u w:val="single"/>
          <w:rtl/>
        </w:rPr>
        <w:t>תקרות שכר</w:t>
      </w:r>
      <w:r>
        <w:rPr>
          <w:rFonts w:cs="David"/>
          <w:rtl/>
        </w:rPr>
        <w:t xml:space="preserve"> - </w:t>
      </w:r>
    </w:p>
    <w:p w:rsidR="009957FD" w:rsidRDefault="009957FD" w:rsidP="006775EC">
      <w:pPr>
        <w:pStyle w:val="ListParagraph"/>
        <w:numPr>
          <w:ilvl w:val="0"/>
          <w:numId w:val="14"/>
        </w:numPr>
        <w:spacing w:line="360" w:lineRule="auto"/>
        <w:jc w:val="both"/>
        <w:rPr>
          <w:rFonts w:cs="David"/>
        </w:rPr>
      </w:pPr>
      <w:r>
        <w:rPr>
          <w:rFonts w:cs="David"/>
          <w:rtl/>
        </w:rPr>
        <w:t>אין מדינה מערבית שקבעה מגבלה על גובה השכר עצמו; ארה"ב קבעה מגבלה על הכרה בשכר גבוה כהוצאה מוכרת לצרכי מס, אך החילה זאת רק על השכר הקבוע ולכן חברות עקפו את המגבלה באמצעות רכיבי השכר המשתנה ובסה"כ השכר עלה.</w:t>
      </w:r>
    </w:p>
    <w:p w:rsidR="009957FD" w:rsidRDefault="009957FD" w:rsidP="006775EC">
      <w:pPr>
        <w:pStyle w:val="ListParagraph"/>
        <w:numPr>
          <w:ilvl w:val="0"/>
          <w:numId w:val="14"/>
        </w:numPr>
        <w:spacing w:line="360" w:lineRule="auto"/>
        <w:jc w:val="both"/>
        <w:rPr>
          <w:rFonts w:cs="David"/>
        </w:rPr>
      </w:pPr>
      <w:r>
        <w:rPr>
          <w:rFonts w:cs="David"/>
          <w:rtl/>
        </w:rPr>
        <w:t xml:space="preserve">יש מדינות שקבעו תקרות לרכיבים מסוימים כגון - מענקי פרישה, רכיבים משתנים </w:t>
      </w:r>
    </w:p>
    <w:p w:rsidR="009957FD" w:rsidRDefault="009957FD" w:rsidP="006775EC">
      <w:pPr>
        <w:pStyle w:val="ListParagraph"/>
        <w:numPr>
          <w:ilvl w:val="0"/>
          <w:numId w:val="5"/>
        </w:numPr>
        <w:spacing w:line="360" w:lineRule="auto"/>
        <w:jc w:val="both"/>
        <w:rPr>
          <w:rFonts w:cs="David"/>
        </w:rPr>
      </w:pPr>
      <w:r w:rsidRPr="003C5CCB">
        <w:rPr>
          <w:rFonts w:cs="David"/>
          <w:u w:val="single"/>
          <w:rtl/>
        </w:rPr>
        <w:t>חיזוק בעלי המניות</w:t>
      </w:r>
      <w:r w:rsidRPr="007B4185">
        <w:rPr>
          <w:rFonts w:cs="David"/>
          <w:rtl/>
        </w:rPr>
        <w:t>–</w:t>
      </w:r>
    </w:p>
    <w:p w:rsidR="009957FD" w:rsidRPr="007B4185" w:rsidRDefault="009957FD" w:rsidP="00B62336">
      <w:pPr>
        <w:pStyle w:val="ListParagraph"/>
        <w:spacing w:line="360" w:lineRule="auto"/>
        <w:ind w:left="1080"/>
        <w:jc w:val="both"/>
        <w:rPr>
          <w:rFonts w:cs="David"/>
        </w:rPr>
      </w:pPr>
      <w:r w:rsidRPr="007B4185">
        <w:rPr>
          <w:rFonts w:cs="David"/>
          <w:rtl/>
        </w:rPr>
        <w:t xml:space="preserve">הדירקטוריון הוא הגוף המקובל בעולם כגוף המתאים להחליט בעניין שכר הבכירים; עם זאת </w:t>
      </w:r>
      <w:r>
        <w:rPr>
          <w:rFonts w:cs="David"/>
          <w:rtl/>
        </w:rPr>
        <w:t xml:space="preserve">בשנים האחרונות </w:t>
      </w:r>
      <w:r w:rsidRPr="007B4185">
        <w:rPr>
          <w:rFonts w:cs="David"/>
          <w:rtl/>
        </w:rPr>
        <w:t>יש מגמה של שיתוף בעלי המניות בדרכים שונות:</w:t>
      </w:r>
    </w:p>
    <w:p w:rsidR="009957FD" w:rsidRDefault="009957FD" w:rsidP="00B62336">
      <w:pPr>
        <w:pStyle w:val="ListParagraph"/>
        <w:numPr>
          <w:ilvl w:val="0"/>
          <w:numId w:val="15"/>
        </w:numPr>
        <w:spacing w:line="360" w:lineRule="auto"/>
        <w:jc w:val="both"/>
        <w:rPr>
          <w:rFonts w:cs="David"/>
        </w:rPr>
      </w:pPr>
      <w:r>
        <w:rPr>
          <w:rFonts w:cs="David"/>
          <w:rtl/>
        </w:rPr>
        <w:t xml:space="preserve">קביעת "הצבעה ממליצה" של בעלי מניות בעניין מדיניות תגמול או חוזי העסקה ספיציפיים, בדגש על דירקטורים; </w:t>
      </w:r>
    </w:p>
    <w:p w:rsidR="009957FD" w:rsidRDefault="009957FD" w:rsidP="00B62336">
      <w:pPr>
        <w:pStyle w:val="ListParagraph"/>
        <w:numPr>
          <w:ilvl w:val="0"/>
          <w:numId w:val="15"/>
        </w:numPr>
        <w:spacing w:line="360" w:lineRule="auto"/>
        <w:jc w:val="both"/>
        <w:rPr>
          <w:rFonts w:cs="David"/>
        </w:rPr>
      </w:pPr>
      <w:r>
        <w:rPr>
          <w:rFonts w:cs="David"/>
          <w:rtl/>
        </w:rPr>
        <w:t>הבאת רכיבים מסוימים של השכר לאישור בעלי המניות (מרכיב מנייתי; הקצאת מניות בתנאים טובים מתנאי השוק; מענקי פרישה אלא אם הם עומדים בתקרה מסוימת)</w:t>
      </w:r>
    </w:p>
    <w:p w:rsidR="009957FD" w:rsidRDefault="009957FD" w:rsidP="006775EC">
      <w:pPr>
        <w:pStyle w:val="ListParagraph"/>
        <w:numPr>
          <w:ilvl w:val="0"/>
          <w:numId w:val="15"/>
        </w:numPr>
        <w:spacing w:line="360" w:lineRule="auto"/>
        <w:jc w:val="both"/>
        <w:rPr>
          <w:rFonts w:cs="David"/>
        </w:rPr>
      </w:pPr>
      <w:r>
        <w:rPr>
          <w:rFonts w:cs="David"/>
          <w:rtl/>
        </w:rPr>
        <w:t>בעלי המניות נדרשים לאשר את מדיניות השכר (בד"כ בהצבעה ממליצה; לעתים אחת לתקופה)</w:t>
      </w:r>
    </w:p>
    <w:p w:rsidR="009957FD" w:rsidRDefault="009957FD" w:rsidP="006775EC">
      <w:pPr>
        <w:pStyle w:val="ListParagraph"/>
        <w:numPr>
          <w:ilvl w:val="0"/>
          <w:numId w:val="15"/>
        </w:numPr>
        <w:spacing w:line="360" w:lineRule="auto"/>
        <w:jc w:val="both"/>
        <w:rPr>
          <w:rFonts w:cs="David"/>
        </w:rPr>
      </w:pPr>
      <w:r>
        <w:rPr>
          <w:rFonts w:cs="David"/>
          <w:rtl/>
        </w:rPr>
        <w:t xml:space="preserve">במקרה שיש הצבעה ממליצה בלבד והאסיפה הכללית מתנגדת להחלטת הדירקטוריון מס' פעמים ברצף – דרישה להביא לדיון מחודש באסיפה הכללית </w:t>
      </w:r>
    </w:p>
    <w:p w:rsidR="009957FD" w:rsidRDefault="009957FD" w:rsidP="006775EC">
      <w:pPr>
        <w:pStyle w:val="ListParagraph"/>
        <w:numPr>
          <w:ilvl w:val="0"/>
          <w:numId w:val="15"/>
        </w:numPr>
        <w:spacing w:line="360" w:lineRule="auto"/>
        <w:jc w:val="both"/>
        <w:rPr>
          <w:rFonts w:cs="David"/>
        </w:rPr>
      </w:pPr>
      <w:r>
        <w:rPr>
          <w:rFonts w:cs="David"/>
          <w:rtl/>
        </w:rPr>
        <w:t xml:space="preserve">הבאת ההחלטה לאישור בעלי מניות לפי דרישת בעלי מניות המחזיקים % מסוים ממניות החברה או מניות בשווי מסוים </w:t>
      </w:r>
    </w:p>
    <w:p w:rsidR="009957FD" w:rsidRDefault="009957FD" w:rsidP="00B62336">
      <w:pPr>
        <w:pStyle w:val="ListParagraph"/>
        <w:numPr>
          <w:ilvl w:val="0"/>
          <w:numId w:val="5"/>
        </w:numPr>
        <w:spacing w:line="360" w:lineRule="auto"/>
        <w:jc w:val="both"/>
        <w:rPr>
          <w:rFonts w:cs="David"/>
        </w:rPr>
      </w:pPr>
      <w:r>
        <w:rPr>
          <w:rFonts w:cs="David"/>
          <w:u w:val="single"/>
          <w:rtl/>
        </w:rPr>
        <w:t xml:space="preserve">הסדרה "רכה" של רכיבי שכר </w:t>
      </w:r>
      <w:r>
        <w:rPr>
          <w:rFonts w:cs="David"/>
          <w:rtl/>
        </w:rPr>
        <w:t>(בעיקר באירופה)</w:t>
      </w:r>
    </w:p>
    <w:p w:rsidR="009957FD" w:rsidRPr="00875079" w:rsidRDefault="009957FD" w:rsidP="00B62336">
      <w:pPr>
        <w:pStyle w:val="ListParagraph"/>
        <w:numPr>
          <w:ilvl w:val="0"/>
          <w:numId w:val="17"/>
        </w:numPr>
        <w:spacing w:line="360" w:lineRule="auto"/>
        <w:jc w:val="both"/>
        <w:rPr>
          <w:rFonts w:cs="David"/>
        </w:rPr>
      </w:pPr>
      <w:r>
        <w:rPr>
          <w:rFonts w:cs="David"/>
          <w:rtl/>
        </w:rPr>
        <w:t xml:space="preserve">הסוגיה </w:t>
      </w:r>
      <w:r w:rsidRPr="00875079">
        <w:rPr>
          <w:rFonts w:cs="David"/>
          <w:rtl/>
        </w:rPr>
        <w:t xml:space="preserve">באה לביטוי בדוח של הועדה האירופאית הכולל המלצות משלימות  בנושא תגמול דירקטורים מ-4/2009 </w:t>
      </w:r>
    </w:p>
    <w:p w:rsidR="009957FD" w:rsidRPr="00993B14" w:rsidRDefault="009957FD" w:rsidP="006775EC">
      <w:pPr>
        <w:pStyle w:val="ListParagraph"/>
        <w:numPr>
          <w:ilvl w:val="0"/>
          <w:numId w:val="17"/>
        </w:numPr>
        <w:spacing w:line="360" w:lineRule="auto"/>
        <w:jc w:val="both"/>
        <w:rPr>
          <w:rFonts w:cs="David"/>
          <w:u w:val="single"/>
        </w:rPr>
      </w:pPr>
      <w:r>
        <w:rPr>
          <w:rFonts w:cs="David"/>
          <w:u w:val="single"/>
          <w:rtl/>
        </w:rPr>
        <w:t xml:space="preserve">עקרונות מנחים ביחס למבנה הגמול: </w:t>
      </w:r>
      <w:r w:rsidRPr="00875079">
        <w:rPr>
          <w:rFonts w:cs="David"/>
          <w:rtl/>
        </w:rPr>
        <w:t>קידום יציבות ארוכת טווח</w:t>
      </w:r>
      <w:r>
        <w:rPr>
          <w:rFonts w:cs="David"/>
          <w:rtl/>
        </w:rPr>
        <w:t xml:space="preserve"> / התפתחות מתמשכת; </w:t>
      </w:r>
      <w:r w:rsidRPr="00875079">
        <w:rPr>
          <w:rFonts w:cs="David"/>
          <w:rtl/>
        </w:rPr>
        <w:t>תגמול מבוסס על ביצוע</w:t>
      </w:r>
      <w:r>
        <w:rPr>
          <w:rFonts w:cs="David"/>
          <w:rtl/>
        </w:rPr>
        <w:t>י</w:t>
      </w:r>
      <w:r w:rsidRPr="00875079">
        <w:rPr>
          <w:rFonts w:cs="David"/>
          <w:rtl/>
        </w:rPr>
        <w:t xml:space="preserve"> החברה</w:t>
      </w:r>
      <w:r>
        <w:rPr>
          <w:rFonts w:cs="David"/>
          <w:rtl/>
        </w:rPr>
        <w:t>; מרכיבים משתנים על יסוד ביצועים ריאליים, קבועים מראש ומדידים</w:t>
      </w:r>
      <w:r w:rsidRPr="00875079">
        <w:rPr>
          <w:rFonts w:cs="David"/>
          <w:rtl/>
        </w:rPr>
        <w:t>;</w:t>
      </w:r>
      <w:r>
        <w:rPr>
          <w:rFonts w:cs="David"/>
          <w:rtl/>
        </w:rPr>
        <w:t xml:space="preserve"> קביעת תקרה לרכיבים משתנים ולתגמולי פרישה; דרישה להחזיר תגמול שניתן על יסוד מידע לא נכון; למנוע תגמול על כישלון של המנהלים, בייחוד בחבילות פרישה; מרכיב מנייתי ייקבע בזיקה ליצירת ערך ארוך טווח ומימושו יהיה מותנה בביצועי החברה (בגרמניה – הענקת אופציה מותנית בתקופת הבשלה של 4 שנים).</w:t>
      </w:r>
    </w:p>
    <w:p w:rsidR="009957FD" w:rsidRPr="00BC01C3" w:rsidRDefault="009957FD" w:rsidP="00B62336">
      <w:pPr>
        <w:pStyle w:val="ListParagraph"/>
        <w:numPr>
          <w:ilvl w:val="0"/>
          <w:numId w:val="17"/>
        </w:numPr>
        <w:spacing w:line="360" w:lineRule="auto"/>
        <w:jc w:val="both"/>
        <w:rPr>
          <w:rFonts w:cs="David"/>
          <w:u w:val="single"/>
        </w:rPr>
      </w:pPr>
      <w:r>
        <w:rPr>
          <w:rFonts w:cs="David"/>
          <w:u w:val="single"/>
          <w:rtl/>
        </w:rPr>
        <w:t xml:space="preserve">עקרון כללי: </w:t>
      </w:r>
      <w:r>
        <w:rPr>
          <w:rFonts w:cs="David"/>
          <w:rtl/>
        </w:rPr>
        <w:t>ה</w:t>
      </w:r>
      <w:r w:rsidRPr="00993B14">
        <w:rPr>
          <w:rFonts w:cs="David"/>
          <w:rtl/>
        </w:rPr>
        <w:t xml:space="preserve">שכר </w:t>
      </w:r>
      <w:r>
        <w:rPr>
          <w:rFonts w:cs="David"/>
          <w:rtl/>
        </w:rPr>
        <w:t xml:space="preserve">חייב להיות </w:t>
      </w:r>
      <w:r w:rsidRPr="00993B14">
        <w:rPr>
          <w:rFonts w:cs="David"/>
          <w:rtl/>
        </w:rPr>
        <w:t>סביר ביחס למטלות ולביצועים של הדירקטור וביחס למצב החברה; אפשרות לחריגה מטעמים מיוחדים</w:t>
      </w:r>
      <w:r>
        <w:rPr>
          <w:rFonts w:cs="David"/>
          <w:rtl/>
        </w:rPr>
        <w:t xml:space="preserve">; </w:t>
      </w:r>
      <w:r w:rsidRPr="00993B14">
        <w:rPr>
          <w:rFonts w:cs="David"/>
          <w:rtl/>
        </w:rPr>
        <w:t>סמכות לדירקטוריון להפחית שכר אם מצב החברה התדרדר והתשלום הפך בלתי סבי</w:t>
      </w:r>
      <w:r>
        <w:rPr>
          <w:rFonts w:cs="David"/>
          <w:rtl/>
        </w:rPr>
        <w:t xml:space="preserve">ר. </w:t>
      </w:r>
    </w:p>
    <w:p w:rsidR="009957FD" w:rsidRDefault="009957FD" w:rsidP="00B62336">
      <w:pPr>
        <w:pStyle w:val="ListParagraph"/>
        <w:numPr>
          <w:ilvl w:val="0"/>
          <w:numId w:val="17"/>
        </w:numPr>
        <w:spacing w:line="360" w:lineRule="auto"/>
        <w:jc w:val="both"/>
        <w:rPr>
          <w:rFonts w:cs="David"/>
        </w:rPr>
      </w:pPr>
      <w:r w:rsidRPr="00BC01C3">
        <w:rPr>
          <w:rFonts w:cs="David"/>
          <w:rtl/>
        </w:rPr>
        <w:t>התיחסות לשכר ולמרכיביו גם בהוראות קוד הממשל התאגידי</w:t>
      </w:r>
    </w:p>
    <w:p w:rsidR="009957FD" w:rsidRDefault="009957FD" w:rsidP="00B62336">
      <w:pPr>
        <w:pStyle w:val="ListParagraph"/>
        <w:spacing w:line="360" w:lineRule="auto"/>
        <w:ind w:left="1080"/>
        <w:jc w:val="both"/>
        <w:rPr>
          <w:rFonts w:cs="David"/>
        </w:rPr>
      </w:pPr>
    </w:p>
    <w:sectPr w:rsidR="009957FD" w:rsidSect="00186CEA">
      <w:head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57FD" w:rsidRDefault="009957FD" w:rsidP="00D34CA1">
      <w:r>
        <w:separator/>
      </w:r>
    </w:p>
  </w:endnote>
  <w:endnote w:type="continuationSeparator" w:id="1">
    <w:p w:rsidR="009957FD" w:rsidRDefault="009957FD" w:rsidP="00D34C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57FD" w:rsidRDefault="009957FD" w:rsidP="00D34CA1">
      <w:r>
        <w:separator/>
      </w:r>
    </w:p>
  </w:footnote>
  <w:footnote w:type="continuationSeparator" w:id="1">
    <w:p w:rsidR="009957FD" w:rsidRDefault="009957FD" w:rsidP="00D34CA1">
      <w:r>
        <w:continuationSeparator/>
      </w:r>
    </w:p>
  </w:footnote>
  <w:footnote w:id="2">
    <w:p w:rsidR="009957FD" w:rsidRDefault="009957FD" w:rsidP="00D34CA1">
      <w:pPr>
        <w:pStyle w:val="FootnoteText"/>
      </w:pPr>
      <w:r>
        <w:rPr>
          <w:rStyle w:val="FootnoteReference"/>
        </w:rPr>
        <w:footnoteRef/>
      </w:r>
      <w:r>
        <w:rPr>
          <w:rtl/>
        </w:rPr>
        <w:t xml:space="preserve">בענין זה נבדק מה היה קורה אם היה נדרש רף תמיכה של 1/2 מבלעי מניות המיעוט ולא 1/3 ובמקרה כזה 18% מהצעות השכר למנכ"ל ו-13% מהצעות השכר ליו"ר. אם כי כמובן יתכן שאם הכללים היו משתנים זה היה משפיע על אופן ההצבעה.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7FD" w:rsidRDefault="009957FD">
    <w:pPr>
      <w:pStyle w:val="Header"/>
      <w:jc w:val="center"/>
      <w:rPr>
        <w:cs/>
      </w:rPr>
    </w:pPr>
    <w:fldSimple w:instr="PAGE   \* MERGEFORMAT">
      <w:r w:rsidRPr="00EF53FE">
        <w:rPr>
          <w:noProof/>
          <w:rtl/>
          <w:lang w:val="he-IL"/>
        </w:rPr>
        <w:t>1</w:t>
      </w:r>
    </w:fldSimple>
  </w:p>
  <w:p w:rsidR="009957FD" w:rsidRDefault="009957F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E2497"/>
    <w:multiLevelType w:val="hybridMultilevel"/>
    <w:tmpl w:val="BD4488F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08304D70"/>
    <w:multiLevelType w:val="hybridMultilevel"/>
    <w:tmpl w:val="3B8E2026"/>
    <w:lvl w:ilvl="0" w:tplc="7430CD80">
      <w:start w:val="1"/>
      <w:numFmt w:val="decimal"/>
      <w:lvlText w:val="%1."/>
      <w:lvlJc w:val="left"/>
      <w:pPr>
        <w:ind w:left="2160" w:hanging="360"/>
      </w:pPr>
      <w:rPr>
        <w:rFonts w:cs="Times New Roman" w:hint="default"/>
      </w:rPr>
    </w:lvl>
    <w:lvl w:ilvl="1" w:tplc="04090019" w:tentative="1">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2">
    <w:nsid w:val="0E7E1E8C"/>
    <w:multiLevelType w:val="hybridMultilevel"/>
    <w:tmpl w:val="4FF265EA"/>
    <w:lvl w:ilvl="0" w:tplc="74F6692C">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
    <w:nsid w:val="0E9B7CFB"/>
    <w:multiLevelType w:val="hybridMultilevel"/>
    <w:tmpl w:val="770430E2"/>
    <w:lvl w:ilvl="0" w:tplc="1CEC0D74">
      <w:start w:val="1"/>
      <w:numFmt w:val="hebrew1"/>
      <w:lvlText w:val="%1."/>
      <w:lvlJc w:val="left"/>
      <w:pPr>
        <w:ind w:left="1080" w:hanging="360"/>
      </w:pPr>
      <w:rPr>
        <w:rFonts w:cs="Times New Roman" w:hint="default"/>
        <w:sz w:val="2"/>
        <w:szCs w:val="24"/>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
    <w:nsid w:val="0F4D37A5"/>
    <w:multiLevelType w:val="hybridMultilevel"/>
    <w:tmpl w:val="2E12BD30"/>
    <w:lvl w:ilvl="0" w:tplc="72B2B55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
    <w:nsid w:val="10EE2AA9"/>
    <w:multiLevelType w:val="hybridMultilevel"/>
    <w:tmpl w:val="1004BF32"/>
    <w:lvl w:ilvl="0" w:tplc="DEE4676C">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6">
    <w:nsid w:val="11133FEC"/>
    <w:multiLevelType w:val="hybridMultilevel"/>
    <w:tmpl w:val="3E828898"/>
    <w:lvl w:ilvl="0" w:tplc="51F23882">
      <w:start w:val="1"/>
      <w:numFmt w:val="hebrew1"/>
      <w:lvlText w:val="%1."/>
      <w:lvlJc w:val="left"/>
      <w:pPr>
        <w:ind w:left="1080" w:hanging="360"/>
      </w:pPr>
      <w:rPr>
        <w:rFonts w:cs="Times New Roman" w:hint="default"/>
        <w:sz w:val="2"/>
        <w:szCs w:val="24"/>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nsid w:val="12B32281"/>
    <w:multiLevelType w:val="hybridMultilevel"/>
    <w:tmpl w:val="8716DF4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19DA01BE"/>
    <w:multiLevelType w:val="hybridMultilevel"/>
    <w:tmpl w:val="4DBC9882"/>
    <w:lvl w:ilvl="0" w:tplc="B616FB18">
      <w:start w:val="1"/>
      <w:numFmt w:val="hebrew1"/>
      <w:lvlText w:val="%1."/>
      <w:lvlJc w:val="left"/>
      <w:pPr>
        <w:ind w:left="720" w:hanging="360"/>
      </w:pPr>
      <w:rPr>
        <w:rFonts w:cs="Times New Roman" w:hint="default"/>
        <w:sz w:val="2"/>
        <w:szCs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1A9A36E9"/>
    <w:multiLevelType w:val="hybridMultilevel"/>
    <w:tmpl w:val="CC846DDC"/>
    <w:lvl w:ilvl="0" w:tplc="D5C46088">
      <w:start w:val="1"/>
      <w:numFmt w:val="hebrew1"/>
      <w:lvlText w:val="%1."/>
      <w:lvlJc w:val="left"/>
      <w:pPr>
        <w:ind w:left="1080" w:hanging="360"/>
      </w:pPr>
      <w:rPr>
        <w:rFonts w:cs="Times New Roman" w:hint="default"/>
        <w:sz w:val="2"/>
        <w:szCs w:val="24"/>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2332B66"/>
    <w:multiLevelType w:val="hybridMultilevel"/>
    <w:tmpl w:val="595CBAA6"/>
    <w:lvl w:ilvl="0" w:tplc="ECC4A29A">
      <w:start w:val="1"/>
      <w:numFmt w:val="decimal"/>
      <w:lvlText w:val="%1."/>
      <w:lvlJc w:val="left"/>
      <w:pPr>
        <w:ind w:left="720" w:hanging="360"/>
      </w:pPr>
      <w:rPr>
        <w:rFonts w:cs="Times New Roman" w:hint="default"/>
        <w:b w:val="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2E4727A7"/>
    <w:multiLevelType w:val="hybridMultilevel"/>
    <w:tmpl w:val="9330345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32133E32"/>
    <w:multiLevelType w:val="hybridMultilevel"/>
    <w:tmpl w:val="F6468F4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33B553DC"/>
    <w:multiLevelType w:val="hybridMultilevel"/>
    <w:tmpl w:val="DF14918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33EA662F"/>
    <w:multiLevelType w:val="hybridMultilevel"/>
    <w:tmpl w:val="C5248C5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38862B4B"/>
    <w:multiLevelType w:val="hybridMultilevel"/>
    <w:tmpl w:val="0644D32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AC72A46"/>
    <w:multiLevelType w:val="hybridMultilevel"/>
    <w:tmpl w:val="6464ABBC"/>
    <w:lvl w:ilvl="0" w:tplc="96747C6A">
      <w:start w:val="1"/>
      <w:numFmt w:val="hebrew1"/>
      <w:lvlText w:val="%1."/>
      <w:lvlJc w:val="left"/>
      <w:pPr>
        <w:ind w:left="1080" w:hanging="360"/>
      </w:pPr>
      <w:rPr>
        <w:rFonts w:cs="Times New Roman" w:hint="default"/>
        <w:sz w:val="2"/>
        <w:szCs w:val="24"/>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7">
    <w:nsid w:val="3B531092"/>
    <w:multiLevelType w:val="hybridMultilevel"/>
    <w:tmpl w:val="637E7462"/>
    <w:lvl w:ilvl="0" w:tplc="E230D2D2">
      <w:start w:val="1"/>
      <w:numFmt w:val="hebrew1"/>
      <w:lvlText w:val="%1."/>
      <w:lvlJc w:val="left"/>
      <w:pPr>
        <w:ind w:left="1080" w:hanging="360"/>
      </w:pPr>
      <w:rPr>
        <w:rFonts w:cs="Times New Roman" w:hint="default"/>
        <w:sz w:val="2"/>
        <w:szCs w:val="24"/>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8">
    <w:nsid w:val="3BC06749"/>
    <w:multiLevelType w:val="hybridMultilevel"/>
    <w:tmpl w:val="0F628E96"/>
    <w:lvl w:ilvl="0" w:tplc="A420EF32">
      <w:start w:val="1"/>
      <w:numFmt w:val="hebrew1"/>
      <w:lvlText w:val="%1."/>
      <w:lvlJc w:val="left"/>
      <w:pPr>
        <w:ind w:left="1800" w:hanging="360"/>
      </w:pPr>
      <w:rPr>
        <w:rFonts w:cs="Times New Roman" w:hint="default"/>
        <w:sz w:val="2"/>
        <w:szCs w:val="24"/>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9">
    <w:nsid w:val="3D3E390D"/>
    <w:multiLevelType w:val="hybridMultilevel"/>
    <w:tmpl w:val="C8DE61F8"/>
    <w:lvl w:ilvl="0" w:tplc="12B0262C">
      <w:start w:val="1"/>
      <w:numFmt w:val="bullet"/>
      <w:lvlText w:val="-"/>
      <w:lvlJc w:val="left"/>
      <w:pPr>
        <w:ind w:left="1080" w:hanging="360"/>
      </w:pPr>
      <w:rPr>
        <w:rFonts w:ascii="Times New Roman" w:eastAsia="Times New Roman" w:hAnsi="Times New Roman"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3AA1222"/>
    <w:multiLevelType w:val="hybridMultilevel"/>
    <w:tmpl w:val="0E98577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446805F0"/>
    <w:multiLevelType w:val="hybridMultilevel"/>
    <w:tmpl w:val="2E606CC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4F511EBB"/>
    <w:multiLevelType w:val="hybridMultilevel"/>
    <w:tmpl w:val="389E6044"/>
    <w:lvl w:ilvl="0" w:tplc="6CD46676">
      <w:start w:val="1"/>
      <w:numFmt w:val="decimal"/>
      <w:lvlText w:val="%1."/>
      <w:lvlJc w:val="left"/>
      <w:pPr>
        <w:ind w:left="1800" w:hanging="360"/>
      </w:pPr>
      <w:rPr>
        <w:rFonts w:cs="Times New Roman" w:hint="default"/>
        <w:u w:val="single"/>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3">
    <w:nsid w:val="51282F31"/>
    <w:multiLevelType w:val="hybridMultilevel"/>
    <w:tmpl w:val="272063FA"/>
    <w:lvl w:ilvl="0" w:tplc="7D0CC8FC">
      <w:start w:val="1"/>
      <w:numFmt w:val="hebrew1"/>
      <w:lvlText w:val="%1."/>
      <w:lvlJc w:val="left"/>
      <w:pPr>
        <w:ind w:left="1800" w:hanging="360"/>
      </w:pPr>
      <w:rPr>
        <w:rFonts w:cs="Times New Roman" w:hint="default"/>
        <w:sz w:val="2"/>
        <w:szCs w:val="24"/>
        <w:u w:val="single"/>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4">
    <w:nsid w:val="51527327"/>
    <w:multiLevelType w:val="hybridMultilevel"/>
    <w:tmpl w:val="922C148E"/>
    <w:lvl w:ilvl="0" w:tplc="42D66E9A">
      <w:numFmt w:val="bullet"/>
      <w:lvlText w:val="-"/>
      <w:lvlJc w:val="left"/>
      <w:pPr>
        <w:ind w:left="1800" w:hanging="360"/>
      </w:pPr>
      <w:rPr>
        <w:rFonts w:ascii="Times New Roman" w:eastAsia="Times New Roman" w:hAnsi="Times New Roman"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554A4086"/>
    <w:multiLevelType w:val="hybridMultilevel"/>
    <w:tmpl w:val="272063FA"/>
    <w:lvl w:ilvl="0" w:tplc="7D0CC8FC">
      <w:start w:val="1"/>
      <w:numFmt w:val="hebrew1"/>
      <w:lvlText w:val="%1."/>
      <w:lvlJc w:val="left"/>
      <w:pPr>
        <w:ind w:left="1800" w:hanging="360"/>
      </w:pPr>
      <w:rPr>
        <w:rFonts w:cs="Times New Roman" w:hint="default"/>
        <w:sz w:val="2"/>
        <w:szCs w:val="24"/>
        <w:u w:val="single"/>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6">
    <w:nsid w:val="55991F48"/>
    <w:multiLevelType w:val="hybridMultilevel"/>
    <w:tmpl w:val="3EA0CDFC"/>
    <w:lvl w:ilvl="0" w:tplc="6E5AD844">
      <w:start w:val="1"/>
      <w:numFmt w:val="hebrew1"/>
      <w:lvlText w:val="%1."/>
      <w:lvlJc w:val="left"/>
      <w:pPr>
        <w:ind w:left="1080" w:hanging="360"/>
      </w:pPr>
      <w:rPr>
        <w:rFonts w:cs="Times New Roman" w:hint="default"/>
        <w:sz w:val="2"/>
        <w:szCs w:val="24"/>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7">
    <w:nsid w:val="5CA438D1"/>
    <w:multiLevelType w:val="hybridMultilevel"/>
    <w:tmpl w:val="F1EA3B68"/>
    <w:lvl w:ilvl="0" w:tplc="2DC2D9B8">
      <w:start w:val="1"/>
      <w:numFmt w:val="hebrew1"/>
      <w:lvlText w:val="%1."/>
      <w:lvlJc w:val="left"/>
      <w:pPr>
        <w:ind w:left="1080" w:hanging="360"/>
      </w:pPr>
      <w:rPr>
        <w:rFonts w:cs="Times New Roman" w:hint="default"/>
        <w:sz w:val="2"/>
        <w:szCs w:val="24"/>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8">
    <w:nsid w:val="61B23C90"/>
    <w:multiLevelType w:val="hybridMultilevel"/>
    <w:tmpl w:val="299C8B1E"/>
    <w:lvl w:ilvl="0" w:tplc="34005898">
      <w:start w:val="1"/>
      <w:numFmt w:val="hebrew1"/>
      <w:lvlText w:val="%1."/>
      <w:lvlJc w:val="left"/>
      <w:pPr>
        <w:ind w:left="1080" w:hanging="360"/>
      </w:pPr>
      <w:rPr>
        <w:rFonts w:cs="Times New Roman" w:hint="default"/>
        <w:sz w:val="2"/>
        <w:szCs w:val="24"/>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9">
    <w:nsid w:val="624A70E9"/>
    <w:multiLevelType w:val="hybridMultilevel"/>
    <w:tmpl w:val="2C0AD81E"/>
    <w:lvl w:ilvl="0" w:tplc="337453B8">
      <w:start w:val="1"/>
      <w:numFmt w:val="decimal"/>
      <w:lvlText w:val="%1."/>
      <w:lvlJc w:val="left"/>
      <w:pPr>
        <w:ind w:left="2160" w:hanging="360"/>
      </w:pPr>
      <w:rPr>
        <w:rFonts w:cs="Times New Roman" w:hint="default"/>
      </w:rPr>
    </w:lvl>
    <w:lvl w:ilvl="1" w:tplc="04090019" w:tentative="1">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30">
    <w:nsid w:val="64D21F04"/>
    <w:multiLevelType w:val="hybridMultilevel"/>
    <w:tmpl w:val="A8BA7484"/>
    <w:lvl w:ilvl="0" w:tplc="8AA2DA3C">
      <w:start w:val="8"/>
      <w:numFmt w:val="decimal"/>
      <w:lvlText w:val="%1."/>
      <w:lvlJc w:val="left"/>
      <w:pPr>
        <w:ind w:left="1080" w:hanging="360"/>
      </w:pPr>
      <w:rPr>
        <w:rFonts w:cs="Times New Roman" w:hint="default"/>
        <w:b/>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1">
    <w:nsid w:val="65997754"/>
    <w:multiLevelType w:val="hybridMultilevel"/>
    <w:tmpl w:val="DF14918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67CA7BE4"/>
    <w:multiLevelType w:val="hybridMultilevel"/>
    <w:tmpl w:val="815E9AD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nsid w:val="6A587C6D"/>
    <w:multiLevelType w:val="hybridMultilevel"/>
    <w:tmpl w:val="EAF0B0EE"/>
    <w:lvl w:ilvl="0" w:tplc="F05C9B58">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4">
    <w:nsid w:val="6D812BDE"/>
    <w:multiLevelType w:val="hybridMultilevel"/>
    <w:tmpl w:val="909C55C0"/>
    <w:lvl w:ilvl="0" w:tplc="B92ED2E8">
      <w:start w:val="1"/>
      <w:numFmt w:val="decimal"/>
      <w:lvlText w:val="%1."/>
      <w:lvlJc w:val="left"/>
      <w:pPr>
        <w:ind w:left="2160" w:hanging="360"/>
      </w:pPr>
      <w:rPr>
        <w:rFonts w:cs="Times New Roman" w:hint="default"/>
      </w:rPr>
    </w:lvl>
    <w:lvl w:ilvl="1" w:tplc="04090019" w:tentative="1">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35">
    <w:nsid w:val="70931451"/>
    <w:multiLevelType w:val="hybridMultilevel"/>
    <w:tmpl w:val="6B54EA0E"/>
    <w:lvl w:ilvl="0" w:tplc="D290999C">
      <w:start w:val="1"/>
      <w:numFmt w:val="decimal"/>
      <w:lvlText w:val="%1."/>
      <w:lvlJc w:val="left"/>
      <w:pPr>
        <w:ind w:left="2160" w:hanging="360"/>
      </w:pPr>
      <w:rPr>
        <w:rFonts w:cs="Times New Roman" w:hint="default"/>
      </w:rPr>
    </w:lvl>
    <w:lvl w:ilvl="1" w:tplc="04090019" w:tentative="1">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36">
    <w:nsid w:val="75226845"/>
    <w:multiLevelType w:val="hybridMultilevel"/>
    <w:tmpl w:val="0BAADFD0"/>
    <w:lvl w:ilvl="0" w:tplc="60C4BBEE">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7">
    <w:nsid w:val="753B33B2"/>
    <w:multiLevelType w:val="hybridMultilevel"/>
    <w:tmpl w:val="53F2CEBE"/>
    <w:lvl w:ilvl="0" w:tplc="B39C0A10">
      <w:start w:val="1"/>
      <w:numFmt w:val="hebrew1"/>
      <w:lvlText w:val="%1."/>
      <w:lvlJc w:val="left"/>
      <w:pPr>
        <w:ind w:left="1080" w:hanging="360"/>
      </w:pPr>
      <w:rPr>
        <w:rFonts w:cs="Times New Roman" w:hint="default"/>
        <w:sz w:val="2"/>
        <w:szCs w:val="24"/>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8">
    <w:nsid w:val="755D3961"/>
    <w:multiLevelType w:val="hybridMultilevel"/>
    <w:tmpl w:val="B90A6998"/>
    <w:lvl w:ilvl="0" w:tplc="B18CC5E0">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9">
    <w:nsid w:val="76AB5250"/>
    <w:multiLevelType w:val="hybridMultilevel"/>
    <w:tmpl w:val="C0C618D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nsid w:val="7C047071"/>
    <w:multiLevelType w:val="hybridMultilevel"/>
    <w:tmpl w:val="DF14918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4"/>
  </w:num>
  <w:num w:numId="2">
    <w:abstractNumId w:val="25"/>
  </w:num>
  <w:num w:numId="3">
    <w:abstractNumId w:val="12"/>
  </w:num>
  <w:num w:numId="4">
    <w:abstractNumId w:val="6"/>
  </w:num>
  <w:num w:numId="5">
    <w:abstractNumId w:val="40"/>
  </w:num>
  <w:num w:numId="6">
    <w:abstractNumId w:val="10"/>
  </w:num>
  <w:num w:numId="7">
    <w:abstractNumId w:val="20"/>
  </w:num>
  <w:num w:numId="8">
    <w:abstractNumId w:val="32"/>
  </w:num>
  <w:num w:numId="9">
    <w:abstractNumId w:val="3"/>
  </w:num>
  <w:num w:numId="10">
    <w:abstractNumId w:val="15"/>
  </w:num>
  <w:num w:numId="11">
    <w:abstractNumId w:val="31"/>
  </w:num>
  <w:num w:numId="12">
    <w:abstractNumId w:val="13"/>
  </w:num>
  <w:num w:numId="13">
    <w:abstractNumId w:val="26"/>
  </w:num>
  <w:num w:numId="14">
    <w:abstractNumId w:val="37"/>
  </w:num>
  <w:num w:numId="15">
    <w:abstractNumId w:val="33"/>
  </w:num>
  <w:num w:numId="16">
    <w:abstractNumId w:val="22"/>
  </w:num>
  <w:num w:numId="17">
    <w:abstractNumId w:val="34"/>
  </w:num>
  <w:num w:numId="18">
    <w:abstractNumId w:val="23"/>
  </w:num>
  <w:num w:numId="19">
    <w:abstractNumId w:val="11"/>
  </w:num>
  <w:num w:numId="20">
    <w:abstractNumId w:val="27"/>
  </w:num>
  <w:num w:numId="21">
    <w:abstractNumId w:val="28"/>
  </w:num>
  <w:num w:numId="22">
    <w:abstractNumId w:val="16"/>
  </w:num>
  <w:num w:numId="23">
    <w:abstractNumId w:val="2"/>
  </w:num>
  <w:num w:numId="24">
    <w:abstractNumId w:val="36"/>
  </w:num>
  <w:num w:numId="25">
    <w:abstractNumId w:val="9"/>
  </w:num>
  <w:num w:numId="26">
    <w:abstractNumId w:val="38"/>
  </w:num>
  <w:num w:numId="27">
    <w:abstractNumId w:val="4"/>
  </w:num>
  <w:num w:numId="28">
    <w:abstractNumId w:val="17"/>
  </w:num>
  <w:num w:numId="29">
    <w:abstractNumId w:val="24"/>
  </w:num>
  <w:num w:numId="30">
    <w:abstractNumId w:val="0"/>
  </w:num>
  <w:num w:numId="31">
    <w:abstractNumId w:val="5"/>
  </w:num>
  <w:num w:numId="32">
    <w:abstractNumId w:val="18"/>
  </w:num>
  <w:num w:numId="33">
    <w:abstractNumId w:val="29"/>
  </w:num>
  <w:num w:numId="34">
    <w:abstractNumId w:val="1"/>
  </w:num>
  <w:num w:numId="35">
    <w:abstractNumId w:val="35"/>
  </w:num>
  <w:num w:numId="36">
    <w:abstractNumId w:val="8"/>
  </w:num>
  <w:num w:numId="37">
    <w:abstractNumId w:val="21"/>
  </w:num>
  <w:num w:numId="38">
    <w:abstractNumId w:val="7"/>
  </w:num>
  <w:num w:numId="39">
    <w:abstractNumId w:val="39"/>
  </w:num>
  <w:num w:numId="40">
    <w:abstractNumId w:val="19"/>
  </w:num>
  <w:num w:numId="41">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D28FA"/>
    <w:rsid w:val="00012ABD"/>
    <w:rsid w:val="000143C7"/>
    <w:rsid w:val="00026A0B"/>
    <w:rsid w:val="00032912"/>
    <w:rsid w:val="000364E8"/>
    <w:rsid w:val="00056657"/>
    <w:rsid w:val="000E7B25"/>
    <w:rsid w:val="000F0ED3"/>
    <w:rsid w:val="00133BF4"/>
    <w:rsid w:val="00143F1A"/>
    <w:rsid w:val="001659E3"/>
    <w:rsid w:val="00172895"/>
    <w:rsid w:val="001745C6"/>
    <w:rsid w:val="00186CEA"/>
    <w:rsid w:val="00190AA9"/>
    <w:rsid w:val="00193287"/>
    <w:rsid w:val="00194AA5"/>
    <w:rsid w:val="0019588F"/>
    <w:rsid w:val="00197524"/>
    <w:rsid w:val="001B54E2"/>
    <w:rsid w:val="001E5CFE"/>
    <w:rsid w:val="00222963"/>
    <w:rsid w:val="002415C9"/>
    <w:rsid w:val="002A315D"/>
    <w:rsid w:val="002D28FA"/>
    <w:rsid w:val="002E7560"/>
    <w:rsid w:val="00301AA2"/>
    <w:rsid w:val="00344026"/>
    <w:rsid w:val="00344776"/>
    <w:rsid w:val="00365E13"/>
    <w:rsid w:val="003745A3"/>
    <w:rsid w:val="00377BB9"/>
    <w:rsid w:val="003814EC"/>
    <w:rsid w:val="003941FF"/>
    <w:rsid w:val="003C2136"/>
    <w:rsid w:val="003C5CCB"/>
    <w:rsid w:val="003F3425"/>
    <w:rsid w:val="00415A10"/>
    <w:rsid w:val="0042091B"/>
    <w:rsid w:val="00425F9A"/>
    <w:rsid w:val="0044164D"/>
    <w:rsid w:val="00451AF6"/>
    <w:rsid w:val="00472222"/>
    <w:rsid w:val="00473BF0"/>
    <w:rsid w:val="00493756"/>
    <w:rsid w:val="004B00A3"/>
    <w:rsid w:val="004B3761"/>
    <w:rsid w:val="004D1C55"/>
    <w:rsid w:val="004F32B9"/>
    <w:rsid w:val="005056E8"/>
    <w:rsid w:val="00506E01"/>
    <w:rsid w:val="00507E7F"/>
    <w:rsid w:val="00512EAE"/>
    <w:rsid w:val="0055599B"/>
    <w:rsid w:val="005751DB"/>
    <w:rsid w:val="00594B09"/>
    <w:rsid w:val="005A6EA3"/>
    <w:rsid w:val="005B4CDF"/>
    <w:rsid w:val="005C4A84"/>
    <w:rsid w:val="0060524E"/>
    <w:rsid w:val="00616FE0"/>
    <w:rsid w:val="00651B4B"/>
    <w:rsid w:val="006775EC"/>
    <w:rsid w:val="006A669A"/>
    <w:rsid w:val="006D2E63"/>
    <w:rsid w:val="006D3A7B"/>
    <w:rsid w:val="006E1505"/>
    <w:rsid w:val="00743051"/>
    <w:rsid w:val="00774101"/>
    <w:rsid w:val="00782936"/>
    <w:rsid w:val="00787CAE"/>
    <w:rsid w:val="00795729"/>
    <w:rsid w:val="007B4185"/>
    <w:rsid w:val="007D0796"/>
    <w:rsid w:val="007F7249"/>
    <w:rsid w:val="00853933"/>
    <w:rsid w:val="008669AA"/>
    <w:rsid w:val="00875079"/>
    <w:rsid w:val="00875E4A"/>
    <w:rsid w:val="00880D8A"/>
    <w:rsid w:val="008E6819"/>
    <w:rsid w:val="008F7E21"/>
    <w:rsid w:val="00923CDC"/>
    <w:rsid w:val="009532D4"/>
    <w:rsid w:val="009730A4"/>
    <w:rsid w:val="00993B14"/>
    <w:rsid w:val="009957FD"/>
    <w:rsid w:val="009A6EA8"/>
    <w:rsid w:val="00A15668"/>
    <w:rsid w:val="00A21DB1"/>
    <w:rsid w:val="00A32D0B"/>
    <w:rsid w:val="00A5553E"/>
    <w:rsid w:val="00A5675E"/>
    <w:rsid w:val="00A617E1"/>
    <w:rsid w:val="00A632E8"/>
    <w:rsid w:val="00A77D84"/>
    <w:rsid w:val="00A94A8B"/>
    <w:rsid w:val="00AA0669"/>
    <w:rsid w:val="00AB2054"/>
    <w:rsid w:val="00AC04EC"/>
    <w:rsid w:val="00B3752A"/>
    <w:rsid w:val="00B62336"/>
    <w:rsid w:val="00B74BCE"/>
    <w:rsid w:val="00B93EDC"/>
    <w:rsid w:val="00B94093"/>
    <w:rsid w:val="00BB159B"/>
    <w:rsid w:val="00BC01C3"/>
    <w:rsid w:val="00BF6D3E"/>
    <w:rsid w:val="00C05B4D"/>
    <w:rsid w:val="00C07EB3"/>
    <w:rsid w:val="00C36FCC"/>
    <w:rsid w:val="00C37120"/>
    <w:rsid w:val="00C4271D"/>
    <w:rsid w:val="00C42FF8"/>
    <w:rsid w:val="00C87A11"/>
    <w:rsid w:val="00C97193"/>
    <w:rsid w:val="00CF6AD4"/>
    <w:rsid w:val="00D010C8"/>
    <w:rsid w:val="00D06713"/>
    <w:rsid w:val="00D2112C"/>
    <w:rsid w:val="00D25EF6"/>
    <w:rsid w:val="00D267C4"/>
    <w:rsid w:val="00D34CA1"/>
    <w:rsid w:val="00D543D2"/>
    <w:rsid w:val="00D63C7D"/>
    <w:rsid w:val="00D71F5C"/>
    <w:rsid w:val="00D83A5F"/>
    <w:rsid w:val="00DC4991"/>
    <w:rsid w:val="00DC6BEF"/>
    <w:rsid w:val="00DF6920"/>
    <w:rsid w:val="00E47D89"/>
    <w:rsid w:val="00E53E00"/>
    <w:rsid w:val="00E8481C"/>
    <w:rsid w:val="00EA4760"/>
    <w:rsid w:val="00EB0AB3"/>
    <w:rsid w:val="00ED1198"/>
    <w:rsid w:val="00ED17AB"/>
    <w:rsid w:val="00EE0FE1"/>
    <w:rsid w:val="00EF53FE"/>
    <w:rsid w:val="00F12D69"/>
    <w:rsid w:val="00F14E50"/>
    <w:rsid w:val="00F6070B"/>
    <w:rsid w:val="00F65FA2"/>
    <w:rsid w:val="00F867D7"/>
    <w:rsid w:val="00F90182"/>
    <w:rsid w:val="00FB2463"/>
    <w:rsid w:val="00FB3DAE"/>
    <w:rsid w:val="00FF6E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7C4"/>
    <w:pPr>
      <w:bidi/>
    </w:pPr>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730A4"/>
    <w:pPr>
      <w:ind w:left="720"/>
      <w:contextualSpacing/>
    </w:pPr>
  </w:style>
  <w:style w:type="paragraph" w:styleId="FootnoteText">
    <w:name w:val="footnote text"/>
    <w:basedOn w:val="Normal"/>
    <w:link w:val="FootnoteTextChar"/>
    <w:uiPriority w:val="99"/>
    <w:rsid w:val="00D34CA1"/>
    <w:rPr>
      <w:sz w:val="20"/>
      <w:szCs w:val="20"/>
    </w:rPr>
  </w:style>
  <w:style w:type="character" w:customStyle="1" w:styleId="FootnoteTextChar">
    <w:name w:val="Footnote Text Char"/>
    <w:basedOn w:val="DefaultParagraphFont"/>
    <w:link w:val="FootnoteText"/>
    <w:uiPriority w:val="99"/>
    <w:locked/>
    <w:rsid w:val="00D34CA1"/>
    <w:rPr>
      <w:rFonts w:cs="Times New Roman"/>
    </w:rPr>
  </w:style>
  <w:style w:type="character" w:styleId="FootnoteReference">
    <w:name w:val="footnote reference"/>
    <w:basedOn w:val="DefaultParagraphFont"/>
    <w:uiPriority w:val="99"/>
    <w:rsid w:val="00D34CA1"/>
    <w:rPr>
      <w:rFonts w:cs="Times New Roman"/>
      <w:vertAlign w:val="superscript"/>
    </w:rPr>
  </w:style>
  <w:style w:type="paragraph" w:styleId="Header">
    <w:name w:val="header"/>
    <w:basedOn w:val="Normal"/>
    <w:link w:val="HeaderChar"/>
    <w:uiPriority w:val="99"/>
    <w:rsid w:val="00D34CA1"/>
    <w:pPr>
      <w:tabs>
        <w:tab w:val="center" w:pos="4153"/>
        <w:tab w:val="right" w:pos="8306"/>
      </w:tabs>
    </w:pPr>
  </w:style>
  <w:style w:type="character" w:customStyle="1" w:styleId="HeaderChar">
    <w:name w:val="Header Char"/>
    <w:basedOn w:val="DefaultParagraphFont"/>
    <w:link w:val="Header"/>
    <w:uiPriority w:val="99"/>
    <w:locked/>
    <w:rsid w:val="00D34CA1"/>
    <w:rPr>
      <w:rFonts w:cs="Times New Roman"/>
      <w:sz w:val="24"/>
      <w:szCs w:val="24"/>
    </w:rPr>
  </w:style>
  <w:style w:type="paragraph" w:styleId="Footer">
    <w:name w:val="footer"/>
    <w:basedOn w:val="Normal"/>
    <w:link w:val="FooterChar"/>
    <w:uiPriority w:val="99"/>
    <w:rsid w:val="00D34CA1"/>
    <w:pPr>
      <w:tabs>
        <w:tab w:val="center" w:pos="4153"/>
        <w:tab w:val="right" w:pos="8306"/>
      </w:tabs>
    </w:pPr>
  </w:style>
  <w:style w:type="character" w:customStyle="1" w:styleId="FooterChar">
    <w:name w:val="Footer Char"/>
    <w:basedOn w:val="DefaultParagraphFont"/>
    <w:link w:val="Footer"/>
    <w:uiPriority w:val="99"/>
    <w:locked/>
    <w:rsid w:val="00D34CA1"/>
    <w:rPr>
      <w:rFonts w:cs="Times New Roman"/>
      <w:sz w:val="24"/>
      <w:szCs w:val="24"/>
    </w:rPr>
  </w:style>
  <w:style w:type="character" w:styleId="Strong">
    <w:name w:val="Strong"/>
    <w:basedOn w:val="DefaultParagraphFont"/>
    <w:uiPriority w:val="99"/>
    <w:qFormat/>
    <w:rsid w:val="00743051"/>
    <w:rPr>
      <w:rFonts w:cs="Times New Roman"/>
      <w:b/>
      <w:bCs/>
    </w:rPr>
  </w:style>
  <w:style w:type="paragraph" w:styleId="NormalWeb">
    <w:name w:val="Normal (Web)"/>
    <w:basedOn w:val="Normal"/>
    <w:uiPriority w:val="99"/>
    <w:rsid w:val="00743051"/>
    <w:pPr>
      <w:bidi w:val="0"/>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666326528">
      <w:marLeft w:val="0"/>
      <w:marRight w:val="0"/>
      <w:marTop w:val="0"/>
      <w:marBottom w:val="0"/>
      <w:divBdr>
        <w:top w:val="none" w:sz="0" w:space="0" w:color="auto"/>
        <w:left w:val="none" w:sz="0" w:space="0" w:color="auto"/>
        <w:bottom w:val="none" w:sz="0" w:space="0" w:color="auto"/>
        <w:right w:val="none" w:sz="0" w:space="0" w:color="auto"/>
      </w:divBdr>
      <w:divsChild>
        <w:div w:id="666326524">
          <w:marLeft w:val="0"/>
          <w:marRight w:val="0"/>
          <w:marTop w:val="100"/>
          <w:marBottom w:val="100"/>
          <w:divBdr>
            <w:top w:val="none" w:sz="0" w:space="0" w:color="auto"/>
            <w:left w:val="none" w:sz="0" w:space="0" w:color="auto"/>
            <w:bottom w:val="none" w:sz="0" w:space="0" w:color="auto"/>
            <w:right w:val="none" w:sz="0" w:space="0" w:color="auto"/>
          </w:divBdr>
          <w:divsChild>
            <w:div w:id="666326526">
              <w:marLeft w:val="0"/>
              <w:marRight w:val="0"/>
              <w:marTop w:val="100"/>
              <w:marBottom w:val="100"/>
              <w:divBdr>
                <w:top w:val="none" w:sz="0" w:space="0" w:color="auto"/>
                <w:left w:val="none" w:sz="0" w:space="0" w:color="auto"/>
                <w:bottom w:val="none" w:sz="0" w:space="0" w:color="auto"/>
                <w:right w:val="none" w:sz="0" w:space="0" w:color="auto"/>
              </w:divBdr>
              <w:divsChild>
                <w:div w:id="666326525">
                  <w:marLeft w:val="0"/>
                  <w:marRight w:val="0"/>
                  <w:marTop w:val="0"/>
                  <w:marBottom w:val="0"/>
                  <w:divBdr>
                    <w:top w:val="none" w:sz="0" w:space="0" w:color="auto"/>
                    <w:left w:val="none" w:sz="0" w:space="0" w:color="auto"/>
                    <w:bottom w:val="none" w:sz="0" w:space="0" w:color="auto"/>
                    <w:right w:val="none" w:sz="0" w:space="0" w:color="auto"/>
                  </w:divBdr>
                  <w:divsChild>
                    <w:div w:id="666326527">
                      <w:marLeft w:val="0"/>
                      <w:marRight w:val="0"/>
                      <w:marTop w:val="0"/>
                      <w:marBottom w:val="0"/>
                      <w:divBdr>
                        <w:top w:val="none" w:sz="0" w:space="0" w:color="auto"/>
                        <w:left w:val="none" w:sz="0" w:space="0" w:color="auto"/>
                        <w:bottom w:val="none" w:sz="0" w:space="0" w:color="auto"/>
                        <w:right w:val="none" w:sz="0" w:space="0" w:color="auto"/>
                      </w:divBdr>
                    </w:div>
                    <w:div w:id="666326529">
                      <w:marLeft w:val="0"/>
                      <w:marRight w:val="0"/>
                      <w:marTop w:val="0"/>
                      <w:marBottom w:val="0"/>
                      <w:divBdr>
                        <w:top w:val="none" w:sz="0" w:space="0" w:color="auto"/>
                        <w:left w:val="none" w:sz="0" w:space="0" w:color="auto"/>
                        <w:bottom w:val="none" w:sz="0" w:space="0" w:color="auto"/>
                        <w:right w:val="none" w:sz="0" w:space="0" w:color="auto"/>
                      </w:divBdr>
                    </w:div>
                    <w:div w:id="666326530">
                      <w:marLeft w:val="0"/>
                      <w:marRight w:val="0"/>
                      <w:marTop w:val="0"/>
                      <w:marBottom w:val="0"/>
                      <w:divBdr>
                        <w:top w:val="none" w:sz="0" w:space="0" w:color="auto"/>
                        <w:left w:val="none" w:sz="0" w:space="0" w:color="auto"/>
                        <w:bottom w:val="none" w:sz="0" w:space="0" w:color="auto"/>
                        <w:right w:val="none" w:sz="0" w:space="0" w:color="auto"/>
                      </w:divBdr>
                    </w:div>
                    <w:div w:id="66632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AD24F9-E77C-4495-9A67-4346A7E6DAFB}"/>
</file>

<file path=customXml/itemProps2.xml><?xml version="1.0" encoding="utf-8"?>
<ds:datastoreItem xmlns:ds="http://schemas.openxmlformats.org/officeDocument/2006/customXml" ds:itemID="{AD61E336-52EE-4C1D-9E33-9EDF5F420AE7}"/>
</file>

<file path=customXml/itemProps3.xml><?xml version="1.0" encoding="utf-8"?>
<ds:datastoreItem xmlns:ds="http://schemas.openxmlformats.org/officeDocument/2006/customXml" ds:itemID="{DBA639FB-1B09-49F9-8958-9ACA7F3444CC}"/>
</file>

<file path=docProps/app.xml><?xml version="1.0" encoding="utf-8"?>
<Properties xmlns="http://schemas.openxmlformats.org/officeDocument/2006/extended-properties" xmlns:vt="http://schemas.openxmlformats.org/officeDocument/2006/docPropsVTypes">
  <Template>Normal_Wordconv</Template>
  <TotalTime>1</TotalTime>
  <Pages>9</Pages>
  <Words>2623</Words>
  <Characters>13117</Characters>
  <Application>Microsoft Office Outlook</Application>
  <DocSecurity>0</DocSecurity>
  <Lines>0</Lines>
  <Paragraphs>0</Paragraphs>
  <ScaleCrop>false</ScaleCrop>
  <Company>Knesset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סקירת קשיים בתחום שכר בכירים, התשתית העובדתית, שינויי חקיקה אחרונים בחוק החברות וההסדר המוצעלקראת הדיון בוועדת החוקה בעניין הצעת חוק החברות (תיקון מס' 20) (תנאי כהונה והעסקה בחברות ציבוריות ובחברות איגרות חוב), התשע"ב-2012</dc:title>
  <dc:subject/>
  <dc:creator>תמי סלע</dc:creator>
  <cp:keywords/>
  <dc:description/>
  <cp:lastModifiedBy>User</cp:lastModifiedBy>
  <cp:revision>2</cp:revision>
  <dcterms:created xsi:type="dcterms:W3CDTF">2012-07-15T08:30:00Z</dcterms:created>
  <dcterms:modified xsi:type="dcterms:W3CDTF">2012-07-15T08:30:00Z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