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2B4C" w:rsidRPr="00E051FF" w:rsidRDefault="00A82B4C" w:rsidP="00E051FF">
      <w:pPr>
        <w:bidi/>
        <w:rPr>
          <w:rFonts w:ascii="Arial" w:hAnsi="Arial" w:cs="Arial"/>
          <w:color w:val="002060"/>
          <w:sz w:val="20"/>
          <w:szCs w:val="20"/>
          <w:u w:val="single"/>
          <w:rtl/>
        </w:rPr>
      </w:pPr>
      <w:bookmarkStart w:id="0" w:name="_GoBack"/>
      <w:bookmarkEnd w:id="0"/>
      <w:r w:rsidRPr="00E051FF">
        <w:rPr>
          <w:rFonts w:ascii="Arial" w:hAnsi="Arial" w:cs="Arial"/>
          <w:color w:val="002060"/>
          <w:sz w:val="20"/>
          <w:szCs w:val="20"/>
          <w:u w:val="single"/>
          <w:rtl/>
        </w:rPr>
        <w:t>נתונים מהנהלת בתי המשפט לקראת ישיבת ועדת החוקה חוק ומשפט בעניין הצעת חוק בתי המשפט (בוררות חובה) (הוראת שעה), התשע"א-2011</w:t>
      </w:r>
    </w:p>
    <w:p w:rsidR="00A82B4C" w:rsidRDefault="00A82B4C" w:rsidP="00E051FF">
      <w:pPr>
        <w:bidi/>
        <w:rPr>
          <w:rFonts w:ascii="Arial" w:hAnsi="Arial" w:cs="Arial"/>
          <w:color w:val="002060"/>
          <w:sz w:val="20"/>
          <w:szCs w:val="20"/>
          <w:rtl/>
        </w:rPr>
      </w:pPr>
    </w:p>
    <w:p w:rsidR="00A82B4C" w:rsidRDefault="00A82B4C" w:rsidP="00E051FF">
      <w:pPr>
        <w:pStyle w:val="ListParagraph"/>
        <w:numPr>
          <w:ilvl w:val="0"/>
          <w:numId w:val="1"/>
        </w:numPr>
        <w:bidi/>
        <w:rPr>
          <w:rFonts w:ascii="Arial" w:hAnsi="Arial" w:cs="Arial"/>
          <w:color w:val="002060"/>
          <w:sz w:val="20"/>
          <w:szCs w:val="20"/>
          <w:rtl/>
        </w:rPr>
      </w:pPr>
      <w:r>
        <w:rPr>
          <w:rFonts w:ascii="Arial" w:hAnsi="Arial" w:cs="Arial"/>
          <w:color w:val="002060"/>
          <w:sz w:val="20"/>
          <w:szCs w:val="20"/>
          <w:rtl/>
        </w:rPr>
        <w:t>עלויות כוללות לשנה - שופט שלום/רשם וכן עלויות בינוי:</w:t>
      </w:r>
    </w:p>
    <w:p w:rsidR="00A82B4C" w:rsidRDefault="00A82B4C" w:rsidP="00E051FF">
      <w:pPr>
        <w:bidi/>
        <w:rPr>
          <w:rFonts w:ascii="Arial" w:hAnsi="Arial" w:cs="Arial"/>
          <w:color w:val="002060"/>
          <w:sz w:val="20"/>
          <w:szCs w:val="20"/>
          <w:rtl/>
        </w:rPr>
      </w:pPr>
    </w:p>
    <w:tbl>
      <w:tblPr>
        <w:bidiVisual/>
        <w:tblW w:w="7786" w:type="dxa"/>
        <w:tblInd w:w="-23" w:type="dxa"/>
        <w:tblCellMar>
          <w:left w:w="0" w:type="dxa"/>
          <w:right w:w="0" w:type="dxa"/>
        </w:tblCellMar>
        <w:tblLook w:val="00A0"/>
      </w:tblPr>
      <w:tblGrid>
        <w:gridCol w:w="3453"/>
        <w:gridCol w:w="4333"/>
      </w:tblGrid>
      <w:tr w:rsidR="00A82B4C" w:rsidRPr="006D2DBA" w:rsidTr="00E051FF">
        <w:trPr>
          <w:trHeight w:val="794"/>
        </w:trPr>
        <w:tc>
          <w:tcPr>
            <w:tcW w:w="345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A82B4C" w:rsidRPr="006D2DBA" w:rsidRDefault="00A82B4C">
            <w:pPr>
              <w:bidi/>
              <w:jc w:val="center"/>
              <w:rPr>
                <w:color w:val="002060"/>
                <w:sz w:val="22"/>
                <w:szCs w:val="22"/>
              </w:rPr>
            </w:pPr>
            <w:r w:rsidRPr="006D2DBA">
              <w:rPr>
                <w:rFonts w:ascii="Arial" w:hAnsi="Arial" w:cs="Arial"/>
                <w:color w:val="002060"/>
                <w:sz w:val="20"/>
                <w:szCs w:val="20"/>
                <w:rtl/>
              </w:rPr>
              <w:t>עלות שופט שלום לשנה לרבות שובליו (קלדנית,עוזר משפטי, עובד וחצי מנהל), לא כולל עלויות בינוי</w:t>
            </w:r>
          </w:p>
        </w:tc>
        <w:tc>
          <w:tcPr>
            <w:tcW w:w="433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A82B4C" w:rsidRPr="006D2DBA" w:rsidRDefault="00A82B4C">
            <w:pPr>
              <w:jc w:val="center"/>
              <w:rPr>
                <w:color w:val="002060"/>
                <w:sz w:val="22"/>
                <w:szCs w:val="22"/>
              </w:rPr>
            </w:pPr>
            <w:r w:rsidRPr="006D2DBA">
              <w:rPr>
                <w:color w:val="002060"/>
                <w:sz w:val="22"/>
                <w:szCs w:val="22"/>
              </w:rPr>
              <w:t xml:space="preserve">1,442,000 </w:t>
            </w:r>
            <w:r w:rsidRPr="006D2DBA">
              <w:rPr>
                <w:rFonts w:ascii="Arial" w:hAnsi="Arial" w:cs="Arial"/>
                <w:color w:val="002060"/>
                <w:sz w:val="20"/>
                <w:szCs w:val="20"/>
                <w:rtl/>
              </w:rPr>
              <w:t>₪</w:t>
            </w:r>
          </w:p>
        </w:tc>
      </w:tr>
      <w:tr w:rsidR="00A82B4C" w:rsidRPr="006D2DBA" w:rsidTr="00E051FF">
        <w:trPr>
          <w:trHeight w:val="530"/>
        </w:trPr>
        <w:tc>
          <w:tcPr>
            <w:tcW w:w="34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82B4C" w:rsidRPr="006D2DBA" w:rsidRDefault="00A82B4C">
            <w:pPr>
              <w:bidi/>
              <w:jc w:val="center"/>
              <w:rPr>
                <w:color w:val="002060"/>
                <w:sz w:val="22"/>
                <w:szCs w:val="22"/>
              </w:rPr>
            </w:pPr>
            <w:r w:rsidRPr="006D2DBA">
              <w:rPr>
                <w:rFonts w:ascii="Arial" w:hAnsi="Arial" w:cs="Arial"/>
                <w:color w:val="002060"/>
                <w:sz w:val="20"/>
                <w:szCs w:val="20"/>
                <w:rtl/>
              </w:rPr>
              <w:t>עלות רשם שלום לשנה לרבות שובליו, לא כולל עלויות בינוי</w:t>
            </w:r>
          </w:p>
        </w:tc>
        <w:tc>
          <w:tcPr>
            <w:tcW w:w="4333" w:type="dxa"/>
            <w:tcBorders>
              <w:top w:val="nil"/>
              <w:left w:val="nil"/>
              <w:bottom w:val="single" w:sz="8" w:space="0" w:color="auto"/>
              <w:right w:val="single" w:sz="8" w:space="0" w:color="auto"/>
            </w:tcBorders>
            <w:tcMar>
              <w:top w:w="0" w:type="dxa"/>
              <w:left w:w="108" w:type="dxa"/>
              <w:bottom w:w="0" w:type="dxa"/>
              <w:right w:w="108" w:type="dxa"/>
            </w:tcMar>
            <w:vAlign w:val="center"/>
          </w:tcPr>
          <w:p w:rsidR="00A82B4C" w:rsidRPr="006D2DBA" w:rsidRDefault="00A82B4C">
            <w:pPr>
              <w:jc w:val="center"/>
              <w:rPr>
                <w:color w:val="002060"/>
                <w:sz w:val="22"/>
                <w:szCs w:val="22"/>
              </w:rPr>
            </w:pPr>
            <w:r w:rsidRPr="006D2DBA">
              <w:rPr>
                <w:color w:val="002060"/>
                <w:sz w:val="22"/>
                <w:szCs w:val="22"/>
              </w:rPr>
              <w:t xml:space="preserve">1,000,000 </w:t>
            </w:r>
            <w:r w:rsidRPr="006D2DBA">
              <w:rPr>
                <w:rFonts w:ascii="Arial" w:hAnsi="Arial" w:cs="Arial"/>
                <w:color w:val="002060"/>
                <w:sz w:val="20"/>
                <w:szCs w:val="20"/>
                <w:rtl/>
              </w:rPr>
              <w:t>₪</w:t>
            </w:r>
          </w:p>
        </w:tc>
      </w:tr>
      <w:tr w:rsidR="00A82B4C" w:rsidRPr="006D2DBA" w:rsidTr="00E051FF">
        <w:trPr>
          <w:trHeight w:val="650"/>
        </w:trPr>
        <w:tc>
          <w:tcPr>
            <w:tcW w:w="34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82B4C" w:rsidRPr="006D2DBA" w:rsidRDefault="00A82B4C">
            <w:pPr>
              <w:bidi/>
              <w:jc w:val="center"/>
              <w:rPr>
                <w:color w:val="002060"/>
                <w:sz w:val="22"/>
                <w:szCs w:val="22"/>
              </w:rPr>
            </w:pPr>
            <w:r w:rsidRPr="006D2DBA">
              <w:rPr>
                <w:rFonts w:ascii="Arial" w:hAnsi="Arial" w:cs="Arial"/>
                <w:color w:val="002060"/>
                <w:sz w:val="20"/>
                <w:szCs w:val="20"/>
                <w:rtl/>
              </w:rPr>
              <w:t>עלויות בינוי יחידת שיפוט (אולם, לשכה וכו')</w:t>
            </w:r>
          </w:p>
        </w:tc>
        <w:tc>
          <w:tcPr>
            <w:tcW w:w="4333" w:type="dxa"/>
            <w:tcBorders>
              <w:top w:val="nil"/>
              <w:left w:val="nil"/>
              <w:bottom w:val="single" w:sz="8" w:space="0" w:color="auto"/>
              <w:right w:val="single" w:sz="8" w:space="0" w:color="auto"/>
            </w:tcBorders>
            <w:tcMar>
              <w:top w:w="0" w:type="dxa"/>
              <w:left w:w="108" w:type="dxa"/>
              <w:bottom w:w="0" w:type="dxa"/>
              <w:right w:w="108" w:type="dxa"/>
            </w:tcMar>
            <w:vAlign w:val="center"/>
          </w:tcPr>
          <w:p w:rsidR="00A82B4C" w:rsidRPr="006D2DBA" w:rsidRDefault="00A82B4C" w:rsidP="00E051FF">
            <w:pPr>
              <w:jc w:val="center"/>
              <w:rPr>
                <w:color w:val="002060"/>
                <w:sz w:val="22"/>
                <w:szCs w:val="22"/>
              </w:rPr>
            </w:pPr>
            <w:r w:rsidRPr="006D2DBA">
              <w:rPr>
                <w:color w:val="002060"/>
                <w:sz w:val="22"/>
                <w:szCs w:val="22"/>
              </w:rPr>
              <w:t xml:space="preserve">1,700,000 </w:t>
            </w:r>
            <w:r w:rsidRPr="006D2DBA">
              <w:rPr>
                <w:rFonts w:ascii="Arial" w:hAnsi="Arial" w:cs="Arial"/>
                <w:color w:val="002060"/>
                <w:sz w:val="20"/>
                <w:szCs w:val="20"/>
                <w:rtl/>
              </w:rPr>
              <w:t>₪</w:t>
            </w:r>
          </w:p>
        </w:tc>
      </w:tr>
    </w:tbl>
    <w:p w:rsidR="00A82B4C" w:rsidRDefault="00A82B4C" w:rsidP="00E051FF">
      <w:pPr>
        <w:bidi/>
        <w:rPr>
          <w:rFonts w:ascii="Arial" w:hAnsi="Arial" w:cs="Arial"/>
          <w:color w:val="002060"/>
          <w:sz w:val="20"/>
          <w:szCs w:val="20"/>
          <w:rtl/>
        </w:rPr>
      </w:pPr>
    </w:p>
    <w:p w:rsidR="00A82B4C" w:rsidRDefault="00A82B4C" w:rsidP="00E051FF">
      <w:pPr>
        <w:pStyle w:val="ListParagraph"/>
        <w:numPr>
          <w:ilvl w:val="0"/>
          <w:numId w:val="1"/>
        </w:numPr>
        <w:bidi/>
        <w:rPr>
          <w:color w:val="002060"/>
          <w:sz w:val="22"/>
          <w:szCs w:val="22"/>
          <w:rtl/>
        </w:rPr>
      </w:pPr>
      <w:r>
        <w:rPr>
          <w:rFonts w:ascii="Arial" w:hAnsi="Arial" w:cs="Arial"/>
          <w:color w:val="002060"/>
          <w:sz w:val="20"/>
          <w:szCs w:val="20"/>
          <w:rtl/>
        </w:rPr>
        <w:t>משמרת שניה מתקיימת כיום בבתי המשפט הבאים: מחוזי ב"ש, שלום ב"ש, שלום אשדוד, שלום חדרה, שלום חיפה, שלום קריות, שלום עכו, שלום פ"ת, שלום ת"א ושלום ירושלים ועתידה להתקיים בחודשים הקרובים גם בבימ"ש שלום ראשל"צ. התיקים הנדונים במשמרת שניה הם בדרך כלל תיקים שבהם הצדדים אינם מיוצגים כגון תיקי תביעות קטנות ותעבורה או תיקים שנקבעו לדיון במשמרת שניה בהסכמת הצדדים ובתיאום עמם.</w:t>
      </w:r>
    </w:p>
    <w:p w:rsidR="00A82B4C" w:rsidRDefault="00A82B4C" w:rsidP="00E051FF">
      <w:pPr>
        <w:pStyle w:val="ListParagraph"/>
        <w:bidi/>
        <w:rPr>
          <w:color w:val="002060"/>
          <w:sz w:val="22"/>
          <w:szCs w:val="22"/>
          <w:rtl/>
        </w:rPr>
      </w:pPr>
    </w:p>
    <w:p w:rsidR="00A82B4C" w:rsidRDefault="00A82B4C" w:rsidP="00E051FF">
      <w:pPr>
        <w:pStyle w:val="ListParagraph"/>
        <w:numPr>
          <w:ilvl w:val="0"/>
          <w:numId w:val="1"/>
        </w:numPr>
        <w:bidi/>
        <w:rPr>
          <w:color w:val="002060"/>
          <w:sz w:val="22"/>
          <w:szCs w:val="22"/>
        </w:rPr>
      </w:pPr>
      <w:r>
        <w:rPr>
          <w:rFonts w:ascii="Arial" w:hAnsi="Arial" w:cs="Arial"/>
          <w:color w:val="002060"/>
          <w:sz w:val="20"/>
          <w:szCs w:val="20"/>
          <w:rtl/>
        </w:rPr>
        <w:t xml:space="preserve">פרוייקטהמהו"ת מתקיים היום בתשעה בתי משפט שלום: תל-אביב, ירושלים, ראשון לציון, פתח-תקווה, רחובות, רמלה, נתניה, הרצליה וכפר סבא ועתיד להתרחב בשנה הקרובה לבתי משפט נוספים. </w:t>
      </w:r>
    </w:p>
    <w:p w:rsidR="00A82B4C" w:rsidRDefault="00A82B4C" w:rsidP="00E051FF">
      <w:pPr>
        <w:pStyle w:val="ListParagraph"/>
        <w:rPr>
          <w:rFonts w:ascii="Arial" w:hAnsi="Arial" w:cs="Arial"/>
          <w:color w:val="002060"/>
          <w:sz w:val="20"/>
          <w:szCs w:val="20"/>
        </w:rPr>
      </w:pPr>
    </w:p>
    <w:p w:rsidR="00A82B4C" w:rsidRDefault="00A82B4C" w:rsidP="00E051FF">
      <w:pPr>
        <w:pStyle w:val="ListParagraph"/>
        <w:numPr>
          <w:ilvl w:val="0"/>
          <w:numId w:val="1"/>
        </w:numPr>
        <w:bidi/>
        <w:rPr>
          <w:color w:val="002060"/>
          <w:sz w:val="22"/>
          <w:szCs w:val="22"/>
        </w:rPr>
      </w:pPr>
      <w:r>
        <w:rPr>
          <w:rFonts w:ascii="Arial" w:hAnsi="Arial" w:cs="Arial"/>
          <w:color w:val="002060"/>
          <w:sz w:val="20"/>
          <w:szCs w:val="20"/>
          <w:rtl/>
        </w:rPr>
        <w:t>לגבי המחקר שעניינו משקלות תיקים – נמסר לי כי המחקר טרם הסתיים וכי בשלב זה אין ממצאים בשלים שניתן לפרסם. המחקר עתיד להסתיים בתוך כחודש ונשמח לשתף אתכם במסקנותיו בבוא העת.</w:t>
      </w:r>
    </w:p>
    <w:p w:rsidR="00A82B4C" w:rsidRDefault="00A82B4C" w:rsidP="00E051FF">
      <w:pPr>
        <w:pStyle w:val="ListParagraph"/>
        <w:rPr>
          <w:rFonts w:ascii="Arial" w:hAnsi="Arial" w:cs="Arial"/>
          <w:color w:val="002060"/>
          <w:sz w:val="20"/>
          <w:szCs w:val="20"/>
          <w:rtl/>
        </w:rPr>
      </w:pPr>
    </w:p>
    <w:p w:rsidR="00A82B4C" w:rsidRDefault="00A82B4C" w:rsidP="00E051FF">
      <w:pPr>
        <w:bidi/>
        <w:rPr>
          <w:color w:val="002060"/>
          <w:sz w:val="22"/>
          <w:szCs w:val="22"/>
          <w:rtl/>
        </w:rPr>
      </w:pPr>
    </w:p>
    <w:p w:rsidR="00A82B4C" w:rsidRDefault="00A82B4C"/>
    <w:sectPr w:rsidR="00A82B4C" w:rsidSect="00186CEA">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F83ABB"/>
    <w:multiLevelType w:val="hybridMultilevel"/>
    <w:tmpl w:val="2370FB7A"/>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stylePaneFormatFilter w:val="3F01"/>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64F5A"/>
    <w:rsid w:val="00186CEA"/>
    <w:rsid w:val="00364F5A"/>
    <w:rsid w:val="003C11F0"/>
    <w:rsid w:val="006D2DBA"/>
    <w:rsid w:val="009B6350"/>
    <w:rsid w:val="00A82B4C"/>
    <w:rsid w:val="00CA6831"/>
    <w:rsid w:val="00E051F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51FF"/>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051FF"/>
    <w:pPr>
      <w:ind w:left="720"/>
    </w:pPr>
  </w:style>
</w:styles>
</file>

<file path=word/webSettings.xml><?xml version="1.0" encoding="utf-8"?>
<w:webSettings xmlns:r="http://schemas.openxmlformats.org/officeDocument/2006/relationships" xmlns:w="http://schemas.openxmlformats.org/wordprocessingml/2006/main">
  <w:divs>
    <w:div w:id="136062500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BDD99F-06C4-415E-8333-7B3D25970F54}"/>
</file>

<file path=customXml/itemProps2.xml><?xml version="1.0" encoding="utf-8"?>
<ds:datastoreItem xmlns:ds="http://schemas.openxmlformats.org/officeDocument/2006/customXml" ds:itemID="{925152BF-95C6-439C-B9B7-D9923205C9E6}"/>
</file>

<file path=customXml/itemProps3.xml><?xml version="1.0" encoding="utf-8"?>
<ds:datastoreItem xmlns:ds="http://schemas.openxmlformats.org/officeDocument/2006/customXml" ds:itemID="{C14939F5-1318-48A7-963B-91CA8E7341A3}"/>
</file>

<file path=docProps/app.xml><?xml version="1.0" encoding="utf-8"?>
<Properties xmlns="http://schemas.openxmlformats.org/officeDocument/2006/extended-properties" xmlns:vt="http://schemas.openxmlformats.org/officeDocument/2006/docPropsVTypes">
  <Template>Normal_Wordconv</Template>
  <TotalTime>0</TotalTime>
  <Pages>2</Pages>
  <Words>186</Words>
  <Characters>932</Characters>
  <Application>Microsoft Office Outlook</Application>
  <DocSecurity>0</DocSecurity>
  <Lines>0</Lines>
  <Paragraphs>0</Paragraphs>
  <ScaleCrop>false</ScaleCrop>
  <Company>Knesset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נתונים מהנהלת בתי המשפט לקראת ישיבת ועדת החוקה חוק ומשפט בעניין הצעת חוק בתי המשפט (בוררות חובה) (הוראת שעה), התשע"א-2011</dc:title>
  <dc:subject/>
  <dc:creator>תמי סלע</dc:creator>
  <cp:keywords/>
  <dc:description/>
  <cp:lastModifiedBy>User</cp:lastModifiedBy>
  <cp:revision>2</cp:revision>
  <dcterms:created xsi:type="dcterms:W3CDTF">2012-09-04T05:50:00Z</dcterms:created>
  <dcterms:modified xsi:type="dcterms:W3CDTF">2012-09-04T05:50:00Z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