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2353" w:rsidRPr="00C5457D" w:rsidRDefault="00C5457D" w:rsidP="00A12353">
      <w:pPr>
        <w:spacing w:after="0" w:line="240" w:lineRule="auto"/>
        <w:jc w:val="right"/>
        <w:rPr>
          <w:rFonts w:ascii="David" w:hAnsi="David" w:cs="David"/>
        </w:rPr>
      </w:pPr>
      <w:bookmarkStart w:id="0" w:name="_GoBack"/>
      <w:bookmarkEnd w:id="0"/>
      <w:r w:rsidRPr="00C5457D">
        <w:rPr>
          <w:rFonts w:ascii="David" w:hAnsi="David" w:cs="David" w:hint="cs"/>
          <w:rtl/>
        </w:rPr>
        <w:t>י'</w:t>
      </w:r>
      <w:r w:rsidR="00E2116D" w:rsidRPr="00C5457D">
        <w:rPr>
          <w:rFonts w:ascii="David" w:hAnsi="David" w:cs="David" w:hint="cs"/>
          <w:rtl/>
        </w:rPr>
        <w:t xml:space="preserve"> בניסן</w:t>
      </w:r>
      <w:r w:rsidR="00A12353" w:rsidRPr="00C5457D">
        <w:rPr>
          <w:rFonts w:ascii="David" w:hAnsi="David" w:cs="David" w:hint="cs"/>
          <w:rtl/>
        </w:rPr>
        <w:t xml:space="preserve"> </w:t>
      </w:r>
      <w:proofErr w:type="spellStart"/>
      <w:r w:rsidR="00A12353" w:rsidRPr="00C5457D">
        <w:rPr>
          <w:rFonts w:ascii="David" w:hAnsi="David" w:cs="David" w:hint="cs"/>
          <w:rtl/>
        </w:rPr>
        <w:t>התשע"ו</w:t>
      </w:r>
      <w:proofErr w:type="spellEnd"/>
    </w:p>
    <w:p w:rsidR="00A12353" w:rsidRPr="00C5457D" w:rsidRDefault="00C5457D" w:rsidP="00A12353">
      <w:pPr>
        <w:spacing w:after="0" w:line="240" w:lineRule="auto"/>
        <w:jc w:val="right"/>
        <w:rPr>
          <w:rFonts w:ascii="David" w:hAnsi="David" w:cs="David"/>
          <w:rtl/>
        </w:rPr>
      </w:pPr>
      <w:r w:rsidRPr="00C5457D">
        <w:rPr>
          <w:rFonts w:ascii="David" w:hAnsi="David" w:cs="David" w:hint="cs"/>
          <w:rtl/>
        </w:rPr>
        <w:t>18</w:t>
      </w:r>
      <w:r w:rsidR="00E2116D" w:rsidRPr="00C5457D">
        <w:rPr>
          <w:rFonts w:ascii="David" w:hAnsi="David" w:cs="David" w:hint="cs"/>
          <w:rtl/>
        </w:rPr>
        <w:t xml:space="preserve"> באפריל</w:t>
      </w:r>
      <w:r w:rsidR="00A12353" w:rsidRPr="00C5457D">
        <w:rPr>
          <w:rFonts w:ascii="David" w:hAnsi="David" w:cs="David" w:hint="cs"/>
          <w:rtl/>
        </w:rPr>
        <w:t xml:space="preserve"> 2016</w:t>
      </w:r>
    </w:p>
    <w:p w:rsidR="00A12353" w:rsidRPr="00C5457D" w:rsidRDefault="00A12353" w:rsidP="006050AB">
      <w:pPr>
        <w:spacing w:after="0" w:line="240" w:lineRule="auto"/>
        <w:rPr>
          <w:rFonts w:cs="David"/>
          <w:sz w:val="24"/>
          <w:szCs w:val="24"/>
          <w:u w:val="single"/>
          <w:rtl/>
        </w:rPr>
      </w:pPr>
    </w:p>
    <w:p w:rsidR="006050AB" w:rsidRPr="00DF4F0D" w:rsidRDefault="006050AB" w:rsidP="006050AB">
      <w:pPr>
        <w:spacing w:after="0" w:line="240" w:lineRule="auto"/>
        <w:rPr>
          <w:rFonts w:cs="David"/>
          <w:sz w:val="24"/>
          <w:szCs w:val="24"/>
          <w:rtl/>
        </w:rPr>
      </w:pPr>
      <w:r w:rsidRPr="00C5457D">
        <w:rPr>
          <w:rFonts w:cs="David" w:hint="cs"/>
          <w:sz w:val="24"/>
          <w:szCs w:val="24"/>
          <w:u w:val="single"/>
          <w:rtl/>
        </w:rPr>
        <w:t>אל</w:t>
      </w:r>
      <w:r w:rsidRPr="00C5457D">
        <w:rPr>
          <w:rFonts w:cs="David" w:hint="cs"/>
          <w:sz w:val="24"/>
          <w:szCs w:val="24"/>
          <w:rtl/>
        </w:rPr>
        <w:t>: חברי ועדת החוקה, חוק ומשפט</w:t>
      </w:r>
    </w:p>
    <w:p w:rsidR="006050AB" w:rsidRPr="00DF79D1" w:rsidRDefault="006050AB" w:rsidP="006050AB">
      <w:pPr>
        <w:spacing w:after="0" w:line="240" w:lineRule="auto"/>
        <w:rPr>
          <w:rFonts w:cs="David"/>
          <w:rtl/>
        </w:rPr>
      </w:pPr>
      <w:r w:rsidRPr="00DF4F0D">
        <w:rPr>
          <w:rFonts w:cs="David" w:hint="cs"/>
          <w:sz w:val="24"/>
          <w:szCs w:val="24"/>
          <w:u w:val="single"/>
          <w:rtl/>
        </w:rPr>
        <w:t>מאת</w:t>
      </w:r>
      <w:r w:rsidRPr="00DF4F0D">
        <w:rPr>
          <w:rFonts w:cs="David" w:hint="cs"/>
          <w:sz w:val="24"/>
          <w:szCs w:val="24"/>
          <w:rtl/>
        </w:rPr>
        <w:t>: הייעוץ המשפטי לוועדה</w:t>
      </w:r>
    </w:p>
    <w:p w:rsidR="006050AB" w:rsidRPr="00DF79D1" w:rsidRDefault="006050AB" w:rsidP="006050AB">
      <w:pPr>
        <w:spacing w:after="0" w:line="240" w:lineRule="auto"/>
        <w:rPr>
          <w:rFonts w:cs="David"/>
          <w:rtl/>
        </w:rPr>
      </w:pPr>
    </w:p>
    <w:p w:rsidR="006050AB" w:rsidRPr="00DF79D1" w:rsidRDefault="006050AB" w:rsidP="006050AB">
      <w:pPr>
        <w:spacing w:after="0" w:line="240" w:lineRule="auto"/>
        <w:rPr>
          <w:rFonts w:cs="David"/>
          <w:rtl/>
        </w:rPr>
      </w:pPr>
    </w:p>
    <w:p w:rsidR="00CE5775" w:rsidRPr="00532ABE" w:rsidRDefault="00A12353" w:rsidP="00A12353">
      <w:pPr>
        <w:spacing w:after="120" w:line="240" w:lineRule="auto"/>
        <w:jc w:val="center"/>
        <w:rPr>
          <w:rFonts w:cs="David"/>
          <w:b/>
          <w:bCs/>
          <w:sz w:val="28"/>
          <w:szCs w:val="28"/>
          <w:u w:val="single"/>
          <w:rtl/>
        </w:rPr>
      </w:pPr>
      <w:r>
        <w:rPr>
          <w:rFonts w:cs="David" w:hint="cs"/>
          <w:b/>
          <w:bCs/>
          <w:sz w:val="28"/>
          <w:szCs w:val="28"/>
          <w:u w:val="single"/>
          <w:rtl/>
        </w:rPr>
        <w:t>חוק גיל הנישואין (תיקון מס' 6), התשע"ד-2013</w:t>
      </w:r>
      <w:r w:rsidR="00CE5775" w:rsidRPr="00532ABE">
        <w:rPr>
          <w:rFonts w:cs="David" w:hint="cs"/>
          <w:b/>
          <w:bCs/>
          <w:sz w:val="28"/>
          <w:szCs w:val="28"/>
          <w:u w:val="single"/>
          <w:rtl/>
        </w:rPr>
        <w:t xml:space="preserve"> </w:t>
      </w:r>
      <w:r w:rsidR="00AC7293" w:rsidRPr="00532ABE">
        <w:rPr>
          <w:rFonts w:cs="David"/>
          <w:b/>
          <w:bCs/>
          <w:sz w:val="28"/>
          <w:szCs w:val="28"/>
          <w:u w:val="single"/>
          <w:rtl/>
        </w:rPr>
        <w:t>–</w:t>
      </w:r>
      <w:r w:rsidR="00AC7293" w:rsidRPr="00532ABE">
        <w:rPr>
          <w:rFonts w:cs="David" w:hint="cs"/>
          <w:b/>
          <w:bCs/>
          <w:sz w:val="28"/>
          <w:szCs w:val="28"/>
          <w:u w:val="single"/>
          <w:rtl/>
        </w:rPr>
        <w:t xml:space="preserve"> נקודות לדיון</w:t>
      </w:r>
      <w:r w:rsidR="006050AB">
        <w:rPr>
          <w:rFonts w:cs="David" w:hint="cs"/>
          <w:b/>
          <w:bCs/>
          <w:sz w:val="28"/>
          <w:szCs w:val="28"/>
          <w:u w:val="single"/>
          <w:rtl/>
        </w:rPr>
        <w:t xml:space="preserve"> מעקב</w:t>
      </w:r>
    </w:p>
    <w:p w:rsidR="00AC7293" w:rsidRPr="00E8611C" w:rsidRDefault="00A0008C" w:rsidP="00255A45">
      <w:pPr>
        <w:spacing w:after="120" w:line="240" w:lineRule="auto"/>
        <w:jc w:val="both"/>
        <w:rPr>
          <w:rFonts w:cs="David"/>
          <w:b/>
          <w:bCs/>
          <w:sz w:val="24"/>
          <w:szCs w:val="24"/>
          <w:u w:val="single"/>
          <w:rtl/>
        </w:rPr>
      </w:pPr>
      <w:r w:rsidRPr="00A0008C">
        <w:rPr>
          <w:rFonts w:cs="David" w:hint="cs"/>
          <w:b/>
          <w:bCs/>
          <w:sz w:val="24"/>
          <w:szCs w:val="24"/>
          <w:u w:val="single"/>
          <w:rtl/>
        </w:rPr>
        <w:t xml:space="preserve">חוק גיל </w:t>
      </w:r>
      <w:r w:rsidRPr="00E8611C">
        <w:rPr>
          <w:rFonts w:cs="David" w:hint="cs"/>
          <w:b/>
          <w:bCs/>
          <w:sz w:val="24"/>
          <w:szCs w:val="24"/>
          <w:u w:val="single"/>
          <w:rtl/>
        </w:rPr>
        <w:t xml:space="preserve">הנישואין </w:t>
      </w:r>
      <w:r w:rsidRPr="00E8611C">
        <w:rPr>
          <w:rFonts w:cs="David"/>
          <w:b/>
          <w:bCs/>
          <w:sz w:val="24"/>
          <w:szCs w:val="24"/>
          <w:u w:val="single"/>
          <w:rtl/>
        </w:rPr>
        <w:t>–</w:t>
      </w:r>
      <w:r w:rsidRPr="00E8611C">
        <w:rPr>
          <w:rFonts w:cs="David" w:hint="cs"/>
          <w:b/>
          <w:bCs/>
          <w:sz w:val="24"/>
          <w:szCs w:val="24"/>
          <w:u w:val="single"/>
          <w:rtl/>
        </w:rPr>
        <w:t xml:space="preserve"> רקע</w:t>
      </w:r>
    </w:p>
    <w:p w:rsidR="00CA2C70" w:rsidRPr="00E8611C" w:rsidRDefault="00617173" w:rsidP="00617173">
      <w:pPr>
        <w:spacing w:after="120" w:line="360" w:lineRule="auto"/>
        <w:jc w:val="both"/>
        <w:rPr>
          <w:rFonts w:cs="David"/>
          <w:sz w:val="24"/>
          <w:szCs w:val="24"/>
          <w:rtl/>
        </w:rPr>
      </w:pPr>
      <w:r>
        <w:rPr>
          <w:rFonts w:cs="David" w:hint="cs"/>
          <w:sz w:val="24"/>
          <w:szCs w:val="24"/>
          <w:rtl/>
        </w:rPr>
        <w:t>סעיף 2 ל</w:t>
      </w:r>
      <w:r w:rsidR="00D67AC1" w:rsidRPr="00E8611C">
        <w:rPr>
          <w:rFonts w:cs="David" w:hint="cs"/>
          <w:sz w:val="24"/>
          <w:szCs w:val="24"/>
          <w:rtl/>
        </w:rPr>
        <w:t xml:space="preserve">חוק גיל הנישואין, התש"י-1950 (להלן </w:t>
      </w:r>
      <w:r w:rsidR="00D67AC1" w:rsidRPr="00E8611C">
        <w:rPr>
          <w:rFonts w:cs="David"/>
          <w:sz w:val="24"/>
          <w:szCs w:val="24"/>
          <w:rtl/>
        </w:rPr>
        <w:t>–</w:t>
      </w:r>
      <w:r w:rsidR="00D67AC1" w:rsidRPr="00E8611C">
        <w:rPr>
          <w:rFonts w:cs="David" w:hint="cs"/>
          <w:sz w:val="24"/>
          <w:szCs w:val="24"/>
          <w:rtl/>
        </w:rPr>
        <w:t xml:space="preserve">  חוק גיל הנישואין או החוק)</w:t>
      </w:r>
      <w:r w:rsidR="00CA2C70" w:rsidRPr="00E8611C">
        <w:rPr>
          <w:rFonts w:cs="David" w:hint="cs"/>
          <w:sz w:val="24"/>
          <w:szCs w:val="24"/>
          <w:rtl/>
        </w:rPr>
        <w:t xml:space="preserve"> קובע, כי מי שנ</w:t>
      </w:r>
      <w:r w:rsidR="00633F3B" w:rsidRPr="00E8611C">
        <w:rPr>
          <w:rFonts w:cs="David" w:hint="cs"/>
          <w:sz w:val="24"/>
          <w:szCs w:val="24"/>
          <w:rtl/>
        </w:rPr>
        <w:t>ו</w:t>
      </w:r>
      <w:r w:rsidR="00CA2C70" w:rsidRPr="00E8611C">
        <w:rPr>
          <w:rFonts w:cs="David" w:hint="cs"/>
          <w:sz w:val="24"/>
          <w:szCs w:val="24"/>
          <w:rtl/>
        </w:rPr>
        <w:t xml:space="preserve">שא </w:t>
      </w:r>
      <w:r w:rsidR="00633F3B" w:rsidRPr="00E8611C">
        <w:rPr>
          <w:rFonts w:cs="David" w:hint="cs"/>
          <w:sz w:val="24"/>
          <w:szCs w:val="24"/>
          <w:rtl/>
        </w:rPr>
        <w:t xml:space="preserve">קטין או </w:t>
      </w:r>
      <w:r w:rsidR="00CA2C70" w:rsidRPr="00E8611C">
        <w:rPr>
          <w:rFonts w:cs="David" w:hint="cs"/>
          <w:sz w:val="24"/>
          <w:szCs w:val="24"/>
          <w:rtl/>
        </w:rPr>
        <w:t xml:space="preserve">קטינה, </w:t>
      </w:r>
      <w:r w:rsidR="00633F3B" w:rsidRPr="00E8611C">
        <w:rPr>
          <w:rFonts w:cs="David" w:hint="cs"/>
          <w:sz w:val="24"/>
          <w:szCs w:val="24"/>
          <w:rtl/>
        </w:rPr>
        <w:t>מי ש</w:t>
      </w:r>
      <w:r w:rsidR="00CA2C70" w:rsidRPr="00E8611C">
        <w:rPr>
          <w:rFonts w:cs="David" w:hint="cs"/>
          <w:sz w:val="24"/>
          <w:szCs w:val="24"/>
          <w:rtl/>
        </w:rPr>
        <w:t>ע</w:t>
      </w:r>
      <w:r w:rsidR="00633F3B" w:rsidRPr="00E8611C">
        <w:rPr>
          <w:rFonts w:cs="David" w:hint="cs"/>
          <w:sz w:val="24"/>
          <w:szCs w:val="24"/>
          <w:rtl/>
        </w:rPr>
        <w:t>ו</w:t>
      </w:r>
      <w:r w:rsidR="00CA2C70" w:rsidRPr="00E8611C">
        <w:rPr>
          <w:rFonts w:cs="David" w:hint="cs"/>
          <w:sz w:val="24"/>
          <w:szCs w:val="24"/>
          <w:rtl/>
        </w:rPr>
        <w:t xml:space="preserve">רך נישואין של </w:t>
      </w:r>
      <w:r w:rsidR="00633F3B" w:rsidRPr="00E8611C">
        <w:rPr>
          <w:rFonts w:cs="David" w:hint="cs"/>
          <w:sz w:val="24"/>
          <w:szCs w:val="24"/>
          <w:rtl/>
        </w:rPr>
        <w:t xml:space="preserve">קטין או </w:t>
      </w:r>
      <w:r w:rsidR="00CA2C70" w:rsidRPr="00E8611C">
        <w:rPr>
          <w:rFonts w:cs="David" w:hint="cs"/>
          <w:sz w:val="24"/>
          <w:szCs w:val="24"/>
          <w:rtl/>
        </w:rPr>
        <w:t xml:space="preserve">קטינה, </w:t>
      </w:r>
      <w:r w:rsidR="00633F3B" w:rsidRPr="00E8611C">
        <w:rPr>
          <w:rFonts w:cs="David" w:hint="cs"/>
          <w:sz w:val="24"/>
          <w:szCs w:val="24"/>
          <w:rtl/>
        </w:rPr>
        <w:t>מי שמ</w:t>
      </w:r>
      <w:r w:rsidR="00CA2C70" w:rsidRPr="00E8611C">
        <w:rPr>
          <w:rFonts w:cs="David" w:hint="cs"/>
          <w:sz w:val="24"/>
          <w:szCs w:val="24"/>
          <w:rtl/>
        </w:rPr>
        <w:t xml:space="preserve">סייע בעריכת נישואין של </w:t>
      </w:r>
      <w:r w:rsidR="00633F3B" w:rsidRPr="00E8611C">
        <w:rPr>
          <w:rFonts w:cs="David" w:hint="cs"/>
          <w:sz w:val="24"/>
          <w:szCs w:val="24"/>
          <w:rtl/>
        </w:rPr>
        <w:t xml:space="preserve">קטין או </w:t>
      </w:r>
      <w:r w:rsidR="00CA2C70" w:rsidRPr="00E8611C">
        <w:rPr>
          <w:rFonts w:cs="David" w:hint="cs"/>
          <w:sz w:val="24"/>
          <w:szCs w:val="24"/>
          <w:rtl/>
        </w:rPr>
        <w:t xml:space="preserve">קטינה או </w:t>
      </w:r>
      <w:r w:rsidR="00633F3B" w:rsidRPr="00E8611C">
        <w:rPr>
          <w:rFonts w:cs="David" w:hint="cs"/>
          <w:sz w:val="24"/>
          <w:szCs w:val="24"/>
          <w:rtl/>
        </w:rPr>
        <w:t>מי שמ</w:t>
      </w:r>
      <w:r w:rsidR="00CA2C70" w:rsidRPr="00E8611C">
        <w:rPr>
          <w:rFonts w:cs="David" w:hint="cs"/>
          <w:sz w:val="24"/>
          <w:szCs w:val="24"/>
          <w:rtl/>
        </w:rPr>
        <w:t xml:space="preserve">שיא </w:t>
      </w:r>
      <w:r w:rsidR="00633F3B" w:rsidRPr="00E8611C">
        <w:rPr>
          <w:rFonts w:cs="David" w:hint="cs"/>
          <w:sz w:val="24"/>
          <w:szCs w:val="24"/>
          <w:rtl/>
        </w:rPr>
        <w:t xml:space="preserve">קטין או </w:t>
      </w:r>
      <w:r w:rsidR="00CA2C70" w:rsidRPr="00E8611C">
        <w:rPr>
          <w:rFonts w:cs="David" w:hint="cs"/>
          <w:sz w:val="24"/>
          <w:szCs w:val="24"/>
          <w:rtl/>
        </w:rPr>
        <w:t xml:space="preserve">קטינה </w:t>
      </w:r>
      <w:r w:rsidR="00633F3B" w:rsidRPr="00E8611C">
        <w:rPr>
          <w:rFonts w:cs="David" w:hint="cs"/>
          <w:sz w:val="24"/>
          <w:szCs w:val="24"/>
          <w:rtl/>
        </w:rPr>
        <w:t xml:space="preserve">שהם בנו או </w:t>
      </w:r>
      <w:r w:rsidR="00CA2C70" w:rsidRPr="00E8611C">
        <w:rPr>
          <w:rFonts w:cs="David" w:hint="cs"/>
          <w:sz w:val="24"/>
          <w:szCs w:val="24"/>
          <w:rtl/>
        </w:rPr>
        <w:t xml:space="preserve">בתו </w:t>
      </w:r>
      <w:r w:rsidR="00633F3B" w:rsidRPr="00E8611C">
        <w:rPr>
          <w:rFonts w:cs="David" w:hint="cs"/>
          <w:sz w:val="24"/>
          <w:szCs w:val="24"/>
          <w:rtl/>
        </w:rPr>
        <w:t>ו</w:t>
      </w:r>
      <w:r w:rsidR="00CA2C70" w:rsidRPr="00E8611C">
        <w:rPr>
          <w:rFonts w:cs="David" w:hint="cs"/>
          <w:sz w:val="24"/>
          <w:szCs w:val="24"/>
          <w:rtl/>
        </w:rPr>
        <w:t>נתונ</w:t>
      </w:r>
      <w:r w:rsidR="00633F3B" w:rsidRPr="00E8611C">
        <w:rPr>
          <w:rFonts w:cs="David" w:hint="cs"/>
          <w:sz w:val="24"/>
          <w:szCs w:val="24"/>
          <w:rtl/>
        </w:rPr>
        <w:t>ים</w:t>
      </w:r>
      <w:r w:rsidR="00CA2C70" w:rsidRPr="00E8611C">
        <w:rPr>
          <w:rFonts w:cs="David" w:hint="cs"/>
          <w:sz w:val="24"/>
          <w:szCs w:val="24"/>
          <w:rtl/>
        </w:rPr>
        <w:t xml:space="preserve"> </w:t>
      </w:r>
      <w:proofErr w:type="spellStart"/>
      <w:r w:rsidR="00CA2C70" w:rsidRPr="00E8611C">
        <w:rPr>
          <w:rFonts w:cs="David" w:hint="cs"/>
          <w:sz w:val="24"/>
          <w:szCs w:val="24"/>
          <w:rtl/>
        </w:rPr>
        <w:t>לאפוטרופסותו</w:t>
      </w:r>
      <w:proofErr w:type="spellEnd"/>
      <w:r w:rsidR="00CA2C70" w:rsidRPr="00E8611C">
        <w:rPr>
          <w:rFonts w:cs="David" w:hint="cs"/>
          <w:sz w:val="24"/>
          <w:szCs w:val="24"/>
          <w:rtl/>
        </w:rPr>
        <w:t xml:space="preserve"> </w:t>
      </w:r>
      <w:r w:rsidR="00CA2C70" w:rsidRPr="00E8611C">
        <w:rPr>
          <w:rFonts w:cs="David"/>
          <w:sz w:val="24"/>
          <w:szCs w:val="24"/>
          <w:rtl/>
        </w:rPr>
        <w:t>–</w:t>
      </w:r>
      <w:r w:rsidR="00CA2C70" w:rsidRPr="00E8611C">
        <w:rPr>
          <w:rFonts w:cs="David" w:hint="cs"/>
          <w:sz w:val="24"/>
          <w:szCs w:val="24"/>
          <w:rtl/>
        </w:rPr>
        <w:t xml:space="preserve"> דינו שנתיים מאסר, או קנס כאמור בסעיף 61(א)(3) לחוק העונשין, התשל"ז-1977</w:t>
      </w:r>
      <w:r w:rsidR="00CA2C70" w:rsidRPr="00E8611C">
        <w:rPr>
          <w:rStyle w:val="a6"/>
          <w:rFonts w:cs="David"/>
          <w:sz w:val="24"/>
          <w:szCs w:val="24"/>
          <w:rtl/>
        </w:rPr>
        <w:footnoteReference w:id="1"/>
      </w:r>
      <w:r w:rsidR="00CA2C70" w:rsidRPr="00E8611C">
        <w:rPr>
          <w:rFonts w:cs="David" w:hint="cs"/>
          <w:sz w:val="24"/>
          <w:szCs w:val="24"/>
          <w:rtl/>
        </w:rPr>
        <w:t>.</w:t>
      </w:r>
      <w:r w:rsidR="00633F3B" w:rsidRPr="00E8611C">
        <w:rPr>
          <w:rFonts w:cs="David" w:hint="cs"/>
          <w:sz w:val="24"/>
          <w:szCs w:val="24"/>
          <w:rtl/>
        </w:rPr>
        <w:t xml:space="preserve"> עם זאת, </w:t>
      </w:r>
      <w:r w:rsidR="00CA2C70" w:rsidRPr="00E8611C">
        <w:rPr>
          <w:rFonts w:cs="David" w:hint="cs"/>
          <w:sz w:val="24"/>
          <w:szCs w:val="24"/>
          <w:rtl/>
        </w:rPr>
        <w:t>בית המשפט לענייני משפחה מוסמך לתת היתר לנישואי קטינה, בנסיבות המנויות בסעיף 5 לחוק.</w:t>
      </w:r>
    </w:p>
    <w:p w:rsidR="00CA2C70" w:rsidRPr="00E8611C" w:rsidRDefault="00CA2C70" w:rsidP="00255A45">
      <w:pPr>
        <w:spacing w:after="120" w:line="360" w:lineRule="auto"/>
        <w:jc w:val="both"/>
        <w:rPr>
          <w:rFonts w:cs="David"/>
          <w:sz w:val="24"/>
          <w:szCs w:val="24"/>
          <w:rtl/>
        </w:rPr>
      </w:pPr>
      <w:r w:rsidRPr="00E8611C">
        <w:rPr>
          <w:rFonts w:cs="David" w:hint="cs"/>
          <w:sz w:val="24"/>
          <w:szCs w:val="24"/>
          <w:rtl/>
        </w:rPr>
        <w:t>עוד קובע החוק, כי אם נערכו נישואי קטינה בניגוד לאיסור, והנישואין תופסים לפי הדין האישי של הצדדים, העובדה שהנישואין נערכו בניגוד לסעיף 2 לחוק תשמש עילת תביעה להתרת הנישואין</w:t>
      </w:r>
      <w:r w:rsidR="007351F8" w:rsidRPr="00E8611C">
        <w:rPr>
          <w:rFonts w:cs="David" w:hint="cs"/>
          <w:sz w:val="24"/>
          <w:szCs w:val="24"/>
          <w:rtl/>
        </w:rPr>
        <w:t xml:space="preserve">, </w:t>
      </w:r>
      <w:r w:rsidRPr="00E8611C">
        <w:rPr>
          <w:rFonts w:cs="David" w:hint="cs"/>
          <w:sz w:val="24"/>
          <w:szCs w:val="24"/>
          <w:rtl/>
        </w:rPr>
        <w:t xml:space="preserve">והכל בהתאם לדין האישי </w:t>
      </w:r>
      <w:r w:rsidR="007351F8" w:rsidRPr="00E8611C">
        <w:rPr>
          <w:rFonts w:cs="David" w:hint="cs"/>
          <w:sz w:val="24"/>
          <w:szCs w:val="24"/>
          <w:rtl/>
        </w:rPr>
        <w:t>של הצדדים (סעיף 3(א) לחוק).</w:t>
      </w:r>
    </w:p>
    <w:p w:rsidR="00A0008C" w:rsidRPr="00E8611C" w:rsidRDefault="00A0008C" w:rsidP="00255A45">
      <w:pPr>
        <w:spacing w:after="0" w:line="360" w:lineRule="auto"/>
        <w:jc w:val="both"/>
        <w:rPr>
          <w:rFonts w:cs="David"/>
          <w:sz w:val="24"/>
          <w:szCs w:val="24"/>
          <w:rtl/>
        </w:rPr>
      </w:pPr>
    </w:p>
    <w:p w:rsidR="00A138EE" w:rsidRPr="00E8611C" w:rsidRDefault="00FC0037" w:rsidP="00255A45">
      <w:pPr>
        <w:spacing w:after="120" w:line="240" w:lineRule="auto"/>
        <w:jc w:val="both"/>
        <w:rPr>
          <w:rFonts w:cs="David"/>
          <w:b/>
          <w:bCs/>
          <w:sz w:val="24"/>
          <w:szCs w:val="24"/>
          <w:u w:val="single"/>
          <w:rtl/>
        </w:rPr>
      </w:pPr>
      <w:r w:rsidRPr="00E8611C">
        <w:rPr>
          <w:rFonts w:cs="David" w:hint="cs"/>
          <w:b/>
          <w:bCs/>
          <w:sz w:val="24"/>
          <w:szCs w:val="24"/>
          <w:u w:val="single"/>
          <w:rtl/>
        </w:rPr>
        <w:t xml:space="preserve">התיקון לחוק גיל הנישואין </w:t>
      </w:r>
    </w:p>
    <w:p w:rsidR="009506C4" w:rsidRPr="00E8611C" w:rsidRDefault="00CE5775" w:rsidP="00255A45">
      <w:pPr>
        <w:spacing w:after="0" w:line="360" w:lineRule="auto"/>
        <w:jc w:val="both"/>
        <w:rPr>
          <w:rFonts w:cs="David"/>
          <w:sz w:val="24"/>
          <w:szCs w:val="24"/>
          <w:rtl/>
        </w:rPr>
      </w:pPr>
      <w:r w:rsidRPr="00E8611C">
        <w:rPr>
          <w:rFonts w:cs="David" w:hint="cs"/>
          <w:sz w:val="24"/>
          <w:szCs w:val="24"/>
          <w:rtl/>
        </w:rPr>
        <w:t>בכנסת ה</w:t>
      </w:r>
      <w:r w:rsidR="003C11CA" w:rsidRPr="00E8611C">
        <w:rPr>
          <w:rFonts w:cs="David" w:hint="cs"/>
          <w:sz w:val="24"/>
          <w:szCs w:val="24"/>
          <w:rtl/>
        </w:rPr>
        <w:t>-</w:t>
      </w:r>
      <w:r w:rsidRPr="00E8611C">
        <w:rPr>
          <w:rFonts w:cs="David" w:hint="cs"/>
          <w:sz w:val="24"/>
          <w:szCs w:val="24"/>
          <w:rtl/>
        </w:rPr>
        <w:t xml:space="preserve">18 יזמו מספר חברי כנסת הצעות חוק לתיקון </w:t>
      </w:r>
      <w:r w:rsidR="00D67AC1" w:rsidRPr="00E8611C">
        <w:rPr>
          <w:rFonts w:cs="David" w:hint="cs"/>
          <w:sz w:val="24"/>
          <w:szCs w:val="24"/>
          <w:rtl/>
        </w:rPr>
        <w:t>ה</w:t>
      </w:r>
      <w:r w:rsidRPr="00E8611C">
        <w:rPr>
          <w:rFonts w:cs="David" w:hint="cs"/>
          <w:sz w:val="24"/>
          <w:szCs w:val="24"/>
          <w:rtl/>
        </w:rPr>
        <w:t xml:space="preserve">חוק. הצעות חוק אלו </w:t>
      </w:r>
      <w:r w:rsidR="00FC0037" w:rsidRPr="00E8611C">
        <w:rPr>
          <w:rFonts w:cs="David" w:hint="cs"/>
          <w:sz w:val="24"/>
          <w:szCs w:val="24"/>
          <w:rtl/>
        </w:rPr>
        <w:t xml:space="preserve">מוזגו </w:t>
      </w:r>
      <w:r w:rsidRPr="00E8611C">
        <w:rPr>
          <w:rFonts w:cs="David" w:hint="cs"/>
          <w:sz w:val="24"/>
          <w:szCs w:val="24"/>
          <w:rtl/>
        </w:rPr>
        <w:t xml:space="preserve">לכלל הצעת חוק </w:t>
      </w:r>
      <w:r w:rsidR="003C11CA" w:rsidRPr="00E8611C">
        <w:rPr>
          <w:rFonts w:cs="David" w:hint="cs"/>
          <w:sz w:val="24"/>
          <w:szCs w:val="24"/>
          <w:rtl/>
        </w:rPr>
        <w:t>אחת שעיקריה ה</w:t>
      </w:r>
      <w:r w:rsidR="00D67AC1" w:rsidRPr="00E8611C">
        <w:rPr>
          <w:rFonts w:cs="David" w:hint="cs"/>
          <w:sz w:val="24"/>
          <w:szCs w:val="24"/>
          <w:rtl/>
        </w:rPr>
        <w:t>יו</w:t>
      </w:r>
      <w:r w:rsidR="003C11CA" w:rsidRPr="00E8611C">
        <w:rPr>
          <w:rFonts w:cs="David" w:hint="cs"/>
          <w:sz w:val="24"/>
          <w:szCs w:val="24"/>
          <w:rtl/>
        </w:rPr>
        <w:t>:</w:t>
      </w:r>
    </w:p>
    <w:p w:rsidR="009506C4" w:rsidRPr="00E8611C" w:rsidRDefault="00CE5775" w:rsidP="00255A45">
      <w:pPr>
        <w:pStyle w:val="a3"/>
        <w:numPr>
          <w:ilvl w:val="0"/>
          <w:numId w:val="7"/>
        </w:numPr>
        <w:spacing w:after="0" w:line="360" w:lineRule="auto"/>
        <w:jc w:val="both"/>
        <w:rPr>
          <w:rFonts w:cs="David"/>
          <w:sz w:val="24"/>
          <w:szCs w:val="24"/>
        </w:rPr>
      </w:pPr>
      <w:r w:rsidRPr="00E8611C">
        <w:rPr>
          <w:rFonts w:cs="David" w:hint="cs"/>
          <w:sz w:val="24"/>
          <w:szCs w:val="24"/>
          <w:rtl/>
        </w:rPr>
        <w:t xml:space="preserve">העלאת גיל הנישואין המותר מגיל 17, </w:t>
      </w:r>
      <w:r w:rsidR="00FC0037" w:rsidRPr="00E8611C">
        <w:rPr>
          <w:rFonts w:cs="David" w:hint="cs"/>
          <w:sz w:val="24"/>
          <w:szCs w:val="24"/>
          <w:rtl/>
        </w:rPr>
        <w:t>שהיה קבוע בחוק קודם לכן</w:t>
      </w:r>
      <w:r w:rsidRPr="00E8611C">
        <w:rPr>
          <w:rFonts w:cs="David" w:hint="cs"/>
          <w:sz w:val="24"/>
          <w:szCs w:val="24"/>
          <w:rtl/>
        </w:rPr>
        <w:t>, לגיל 18.</w:t>
      </w:r>
    </w:p>
    <w:p w:rsidR="009506C4" w:rsidRPr="00E8611C" w:rsidRDefault="00CE5775" w:rsidP="00255A45">
      <w:pPr>
        <w:pStyle w:val="a3"/>
        <w:numPr>
          <w:ilvl w:val="0"/>
          <w:numId w:val="7"/>
        </w:numPr>
        <w:spacing w:after="0" w:line="360" w:lineRule="auto"/>
        <w:jc w:val="both"/>
        <w:rPr>
          <w:rFonts w:cs="David"/>
          <w:sz w:val="24"/>
          <w:szCs w:val="24"/>
        </w:rPr>
      </w:pPr>
      <w:r w:rsidRPr="00E8611C">
        <w:rPr>
          <w:rFonts w:cs="David" w:hint="cs"/>
          <w:sz w:val="24"/>
          <w:szCs w:val="24"/>
          <w:rtl/>
        </w:rPr>
        <w:t>ביטול החריג המאפשר לבית המשפט לענייני משפחה לתת היתר לנישואי נער או נערה שטרם הגיעו לגיל המותר לנישואין, במקרים של הריון או לידה.</w:t>
      </w:r>
    </w:p>
    <w:p w:rsidR="00CE5775" w:rsidRPr="0081386B" w:rsidRDefault="00CE5775" w:rsidP="00255A45">
      <w:pPr>
        <w:pStyle w:val="a3"/>
        <w:numPr>
          <w:ilvl w:val="0"/>
          <w:numId w:val="7"/>
        </w:numPr>
        <w:spacing w:after="120" w:line="360" w:lineRule="auto"/>
        <w:jc w:val="both"/>
        <w:rPr>
          <w:rFonts w:cs="David"/>
          <w:sz w:val="24"/>
          <w:szCs w:val="24"/>
        </w:rPr>
      </w:pPr>
      <w:r w:rsidRPr="00E8611C">
        <w:rPr>
          <w:rFonts w:cs="David" w:hint="cs"/>
          <w:sz w:val="24"/>
          <w:szCs w:val="24"/>
          <w:rtl/>
        </w:rPr>
        <w:t>קביעת גיל 16 כגיל מינימום למתן היתר לנישואי נער או נערה על ידי בית המשפט לענייני משפחה, וזאת במקרים חריגים בהם לדעת בית המשפט קיימות נסיבות מיוחדות הקשורות בטובת הנער או הנערה, ולאחר שבית המשפט שמע את עמדת הנער או הנערה שבנישואיהם מדובר.</w:t>
      </w:r>
    </w:p>
    <w:p w:rsidR="009506C4" w:rsidRPr="0081386B" w:rsidRDefault="00096C6D" w:rsidP="00255A45">
      <w:pPr>
        <w:spacing w:after="0" w:line="360" w:lineRule="auto"/>
        <w:jc w:val="both"/>
        <w:rPr>
          <w:rFonts w:cs="David"/>
          <w:sz w:val="24"/>
          <w:szCs w:val="24"/>
          <w:rtl/>
        </w:rPr>
      </w:pPr>
      <w:r w:rsidRPr="0081386B">
        <w:rPr>
          <w:rFonts w:cs="David" w:hint="cs"/>
          <w:sz w:val="24"/>
          <w:szCs w:val="24"/>
          <w:rtl/>
        </w:rPr>
        <w:t>הצעת החוק עברה קריאה ראשונה בכנסת ה-18</w:t>
      </w:r>
      <w:r w:rsidR="00A0008C" w:rsidRPr="0081386B">
        <w:rPr>
          <w:rFonts w:cs="David" w:hint="cs"/>
          <w:sz w:val="24"/>
          <w:szCs w:val="24"/>
          <w:rtl/>
        </w:rPr>
        <w:t>,</w:t>
      </w:r>
      <w:r w:rsidRPr="0081386B">
        <w:rPr>
          <w:rFonts w:cs="David" w:hint="cs"/>
          <w:sz w:val="24"/>
          <w:szCs w:val="24"/>
          <w:rtl/>
        </w:rPr>
        <w:t xml:space="preserve"> </w:t>
      </w:r>
      <w:r w:rsidR="00A0008C" w:rsidRPr="0081386B">
        <w:rPr>
          <w:rFonts w:cs="David" w:hint="cs"/>
          <w:sz w:val="24"/>
          <w:szCs w:val="24"/>
          <w:rtl/>
        </w:rPr>
        <w:t>ו</w:t>
      </w:r>
      <w:r w:rsidRPr="0081386B">
        <w:rPr>
          <w:rFonts w:cs="David" w:hint="cs"/>
          <w:sz w:val="24"/>
          <w:szCs w:val="24"/>
          <w:rtl/>
        </w:rPr>
        <w:t>הכנסת ה-19 החילה עליה דין רציפות</w:t>
      </w:r>
      <w:r w:rsidR="00A0008C" w:rsidRPr="0081386B">
        <w:rPr>
          <w:rFonts w:cs="David" w:hint="cs"/>
          <w:sz w:val="24"/>
          <w:szCs w:val="24"/>
          <w:rtl/>
        </w:rPr>
        <w:t xml:space="preserve">. במסגרת דיוני </w:t>
      </w:r>
      <w:r w:rsidR="00935FA3" w:rsidRPr="0081386B">
        <w:rPr>
          <w:rFonts w:cs="David" w:hint="cs"/>
          <w:sz w:val="24"/>
          <w:szCs w:val="24"/>
          <w:rtl/>
        </w:rPr>
        <w:t>ועדת החוקה, חוק ומשפט</w:t>
      </w:r>
      <w:r w:rsidR="00A0008C" w:rsidRPr="0081386B">
        <w:rPr>
          <w:rFonts w:cs="David" w:hint="cs"/>
          <w:sz w:val="24"/>
          <w:szCs w:val="24"/>
          <w:rtl/>
        </w:rPr>
        <w:t xml:space="preserve"> </w:t>
      </w:r>
      <w:r w:rsidR="00C6066C" w:rsidRPr="0081386B">
        <w:rPr>
          <w:rFonts w:cs="David" w:hint="cs"/>
          <w:sz w:val="24"/>
          <w:szCs w:val="24"/>
          <w:rtl/>
        </w:rPr>
        <w:t xml:space="preserve">(להלן </w:t>
      </w:r>
      <w:r w:rsidR="00C6066C" w:rsidRPr="0081386B">
        <w:rPr>
          <w:rFonts w:cs="David"/>
          <w:sz w:val="24"/>
          <w:szCs w:val="24"/>
          <w:rtl/>
        </w:rPr>
        <w:t>–</w:t>
      </w:r>
      <w:r w:rsidR="00C6066C" w:rsidRPr="0081386B">
        <w:rPr>
          <w:rFonts w:cs="David" w:hint="cs"/>
          <w:sz w:val="24"/>
          <w:szCs w:val="24"/>
          <w:rtl/>
        </w:rPr>
        <w:t xml:space="preserve"> הוועדה) </w:t>
      </w:r>
      <w:r w:rsidR="00A0008C" w:rsidRPr="0081386B">
        <w:rPr>
          <w:rFonts w:cs="David" w:hint="cs"/>
          <w:sz w:val="24"/>
          <w:szCs w:val="24"/>
          <w:rtl/>
        </w:rPr>
        <w:t>בכנסת ה-19, נוספ</w:t>
      </w:r>
      <w:r w:rsidR="009506C4" w:rsidRPr="0081386B">
        <w:rPr>
          <w:rFonts w:cs="David" w:hint="cs"/>
          <w:sz w:val="24"/>
          <w:szCs w:val="24"/>
          <w:rtl/>
        </w:rPr>
        <w:t>ו</w:t>
      </w:r>
      <w:r w:rsidR="00A0008C" w:rsidRPr="0081386B">
        <w:rPr>
          <w:rFonts w:cs="David" w:hint="cs"/>
          <w:sz w:val="24"/>
          <w:szCs w:val="24"/>
          <w:rtl/>
        </w:rPr>
        <w:t xml:space="preserve"> להצעת החוק </w:t>
      </w:r>
      <w:r w:rsidR="009506C4" w:rsidRPr="0081386B">
        <w:rPr>
          <w:rFonts w:cs="David" w:hint="cs"/>
          <w:sz w:val="24"/>
          <w:szCs w:val="24"/>
          <w:rtl/>
        </w:rPr>
        <w:t xml:space="preserve">שלוש הוראות </w:t>
      </w:r>
      <w:r w:rsidR="00C6066C" w:rsidRPr="0081386B">
        <w:rPr>
          <w:rFonts w:cs="David" w:hint="cs"/>
          <w:sz w:val="24"/>
          <w:szCs w:val="24"/>
          <w:rtl/>
        </w:rPr>
        <w:t xml:space="preserve">משמעותיות </w:t>
      </w:r>
      <w:r w:rsidR="009506C4" w:rsidRPr="0081386B">
        <w:rPr>
          <w:rFonts w:cs="David" w:hint="cs"/>
          <w:sz w:val="24"/>
          <w:szCs w:val="24"/>
          <w:rtl/>
        </w:rPr>
        <w:t>נוספות:</w:t>
      </w:r>
    </w:p>
    <w:p w:rsidR="009506C4" w:rsidRPr="0081386B" w:rsidRDefault="00A0008C" w:rsidP="00255A45">
      <w:pPr>
        <w:pStyle w:val="a3"/>
        <w:numPr>
          <w:ilvl w:val="0"/>
          <w:numId w:val="8"/>
        </w:numPr>
        <w:spacing w:after="120" w:line="360" w:lineRule="auto"/>
        <w:jc w:val="both"/>
        <w:rPr>
          <w:rFonts w:cs="David"/>
          <w:sz w:val="24"/>
          <w:szCs w:val="24"/>
        </w:rPr>
      </w:pPr>
      <w:r w:rsidRPr="0081386B">
        <w:rPr>
          <w:rFonts w:cs="David" w:hint="cs"/>
          <w:sz w:val="24"/>
          <w:szCs w:val="24"/>
          <w:rtl/>
        </w:rPr>
        <w:t>הוראה שמחייבת את בי</w:t>
      </w:r>
      <w:r w:rsidR="00E8611C" w:rsidRPr="0081386B">
        <w:rPr>
          <w:rFonts w:cs="David" w:hint="cs"/>
          <w:sz w:val="24"/>
          <w:szCs w:val="24"/>
          <w:rtl/>
        </w:rPr>
        <w:t>ת המשפט</w:t>
      </w:r>
      <w:r w:rsidRPr="0081386B">
        <w:rPr>
          <w:rFonts w:cs="David" w:hint="cs"/>
          <w:sz w:val="24"/>
          <w:szCs w:val="24"/>
          <w:rtl/>
        </w:rPr>
        <w:t xml:space="preserve"> לענייני משפחה לקבל תסקיר של עובד סוציאלי לפני כל הכרעה </w:t>
      </w:r>
      <w:r w:rsidR="00D67AC1" w:rsidRPr="0081386B">
        <w:rPr>
          <w:rFonts w:cs="David" w:hint="cs"/>
          <w:sz w:val="24"/>
          <w:szCs w:val="24"/>
          <w:rtl/>
        </w:rPr>
        <w:t xml:space="preserve">בבקשה </w:t>
      </w:r>
      <w:r w:rsidRPr="0081386B">
        <w:rPr>
          <w:rFonts w:cs="David" w:hint="cs"/>
          <w:sz w:val="24"/>
          <w:szCs w:val="24"/>
          <w:rtl/>
        </w:rPr>
        <w:t>לה</w:t>
      </w:r>
      <w:r w:rsidR="00D67AC1" w:rsidRPr="0081386B">
        <w:rPr>
          <w:rFonts w:cs="David" w:hint="cs"/>
          <w:sz w:val="24"/>
          <w:szCs w:val="24"/>
          <w:rtl/>
        </w:rPr>
        <w:t>י</w:t>
      </w:r>
      <w:r w:rsidRPr="0081386B">
        <w:rPr>
          <w:rFonts w:cs="David" w:hint="cs"/>
          <w:sz w:val="24"/>
          <w:szCs w:val="24"/>
          <w:rtl/>
        </w:rPr>
        <w:t>תר נישואין מתחת לגיל 18.</w:t>
      </w:r>
    </w:p>
    <w:p w:rsidR="00D67AC1" w:rsidRPr="0081386B" w:rsidRDefault="00D67AC1" w:rsidP="00255A45">
      <w:pPr>
        <w:pStyle w:val="a3"/>
        <w:numPr>
          <w:ilvl w:val="0"/>
          <w:numId w:val="8"/>
        </w:numPr>
        <w:spacing w:after="120" w:line="360" w:lineRule="auto"/>
        <w:jc w:val="both"/>
        <w:rPr>
          <w:rFonts w:cs="David"/>
          <w:sz w:val="24"/>
          <w:szCs w:val="24"/>
        </w:rPr>
      </w:pPr>
      <w:r w:rsidRPr="0081386B">
        <w:rPr>
          <w:rFonts w:cs="David" w:hint="cs"/>
          <w:sz w:val="24"/>
          <w:szCs w:val="24"/>
          <w:rtl/>
        </w:rPr>
        <w:t>הוראה שמעבירה את הטיפול בעבירות לפי חוק גיל הנישואין, מטיפולה של התביעה המשטרתית לטיפולה של הפרקליטות</w:t>
      </w:r>
      <w:r w:rsidRPr="0081386B">
        <w:rPr>
          <w:rStyle w:val="a6"/>
          <w:rFonts w:cs="David"/>
          <w:sz w:val="24"/>
          <w:szCs w:val="24"/>
          <w:rtl/>
        </w:rPr>
        <w:footnoteReference w:id="2"/>
      </w:r>
      <w:r w:rsidRPr="0081386B">
        <w:rPr>
          <w:rFonts w:cs="David" w:hint="cs"/>
          <w:sz w:val="24"/>
          <w:szCs w:val="24"/>
          <w:rtl/>
        </w:rPr>
        <w:t xml:space="preserve">. </w:t>
      </w:r>
    </w:p>
    <w:p w:rsidR="009506C4" w:rsidRPr="0081386B" w:rsidRDefault="009506C4" w:rsidP="00255A45">
      <w:pPr>
        <w:pStyle w:val="a3"/>
        <w:numPr>
          <w:ilvl w:val="0"/>
          <w:numId w:val="8"/>
        </w:numPr>
        <w:spacing w:after="120" w:line="360" w:lineRule="auto"/>
        <w:jc w:val="both"/>
        <w:rPr>
          <w:rFonts w:cs="David"/>
          <w:sz w:val="24"/>
          <w:szCs w:val="24"/>
          <w:rtl/>
        </w:rPr>
      </w:pPr>
      <w:r w:rsidRPr="0081386B">
        <w:rPr>
          <w:rFonts w:cs="David" w:hint="cs"/>
          <w:sz w:val="24"/>
          <w:szCs w:val="24"/>
          <w:rtl/>
        </w:rPr>
        <w:lastRenderedPageBreak/>
        <w:t xml:space="preserve">חובות דיווח </w:t>
      </w:r>
      <w:r w:rsidR="00175737">
        <w:rPr>
          <w:rFonts w:cs="David" w:hint="cs"/>
          <w:sz w:val="24"/>
          <w:szCs w:val="24"/>
          <w:rtl/>
        </w:rPr>
        <w:t xml:space="preserve">לוועדה, שחלה </w:t>
      </w:r>
      <w:r w:rsidRPr="0081386B">
        <w:rPr>
          <w:rFonts w:cs="David" w:hint="cs"/>
          <w:sz w:val="24"/>
          <w:szCs w:val="24"/>
          <w:rtl/>
        </w:rPr>
        <w:t>על הגורמים הממשלתיים המעורבים (ראו להלן).</w:t>
      </w:r>
    </w:p>
    <w:p w:rsidR="00A0008C" w:rsidRPr="0081386B" w:rsidRDefault="00A0008C" w:rsidP="00255A45">
      <w:pPr>
        <w:spacing w:after="120" w:line="360" w:lineRule="auto"/>
        <w:jc w:val="both"/>
        <w:rPr>
          <w:rFonts w:cs="David"/>
          <w:sz w:val="24"/>
          <w:szCs w:val="24"/>
          <w:rtl/>
        </w:rPr>
      </w:pPr>
      <w:r w:rsidRPr="0081386B">
        <w:rPr>
          <w:rFonts w:cs="David" w:hint="cs"/>
          <w:sz w:val="24"/>
          <w:szCs w:val="24"/>
          <w:rtl/>
        </w:rPr>
        <w:t xml:space="preserve">התיקון האמור אושר בכנסת ה-19 בקריאה שניה ובקריאה שלישית, ביום א' בכסלו </w:t>
      </w:r>
      <w:proofErr w:type="spellStart"/>
      <w:r w:rsidRPr="0081386B">
        <w:rPr>
          <w:rFonts w:cs="David" w:hint="cs"/>
          <w:sz w:val="24"/>
          <w:szCs w:val="24"/>
          <w:rtl/>
        </w:rPr>
        <w:t>התשע"ד</w:t>
      </w:r>
      <w:proofErr w:type="spellEnd"/>
      <w:r w:rsidRPr="0081386B">
        <w:rPr>
          <w:rFonts w:cs="David" w:hint="cs"/>
          <w:sz w:val="24"/>
          <w:szCs w:val="24"/>
          <w:rtl/>
        </w:rPr>
        <w:t xml:space="preserve"> (4 בנובמבר 2013), ופורסם ברשומות </w:t>
      </w:r>
      <w:r w:rsidR="00E8611C" w:rsidRPr="0081386B">
        <w:rPr>
          <w:rFonts w:cs="David" w:hint="cs"/>
          <w:sz w:val="24"/>
          <w:szCs w:val="24"/>
          <w:rtl/>
        </w:rPr>
        <w:t xml:space="preserve">ונכנס לתוקף </w:t>
      </w:r>
      <w:r w:rsidRPr="0081386B">
        <w:rPr>
          <w:rFonts w:cs="David" w:hint="cs"/>
          <w:sz w:val="24"/>
          <w:szCs w:val="24"/>
          <w:rtl/>
        </w:rPr>
        <w:t xml:space="preserve">ביום כ"ט בכסלו </w:t>
      </w:r>
      <w:proofErr w:type="spellStart"/>
      <w:r w:rsidRPr="0081386B">
        <w:rPr>
          <w:rFonts w:cs="David" w:hint="cs"/>
          <w:sz w:val="24"/>
          <w:szCs w:val="24"/>
          <w:rtl/>
        </w:rPr>
        <w:t>התשע"ד</w:t>
      </w:r>
      <w:proofErr w:type="spellEnd"/>
      <w:r w:rsidRPr="0081386B">
        <w:rPr>
          <w:rFonts w:cs="David" w:hint="cs"/>
          <w:sz w:val="24"/>
          <w:szCs w:val="24"/>
          <w:rtl/>
        </w:rPr>
        <w:t xml:space="preserve"> (2 בדצמבר 2013).</w:t>
      </w:r>
    </w:p>
    <w:p w:rsidR="00A138EE" w:rsidRPr="0081386B" w:rsidRDefault="00A0008C" w:rsidP="00255A45">
      <w:pPr>
        <w:spacing w:after="120" w:line="360" w:lineRule="auto"/>
        <w:jc w:val="both"/>
        <w:rPr>
          <w:rFonts w:cs="David"/>
          <w:sz w:val="24"/>
          <w:szCs w:val="24"/>
          <w:rtl/>
        </w:rPr>
      </w:pPr>
      <w:r w:rsidRPr="0081386B">
        <w:rPr>
          <w:rFonts w:cs="David" w:hint="cs"/>
          <w:sz w:val="24"/>
          <w:szCs w:val="24"/>
          <w:rtl/>
        </w:rPr>
        <w:t xml:space="preserve"> </w:t>
      </w:r>
    </w:p>
    <w:p w:rsidR="00A0008C" w:rsidRPr="0081386B" w:rsidRDefault="003F40D1" w:rsidP="00255A45">
      <w:pPr>
        <w:spacing w:after="120" w:line="240" w:lineRule="auto"/>
        <w:jc w:val="both"/>
        <w:rPr>
          <w:rFonts w:cs="David"/>
          <w:b/>
          <w:bCs/>
          <w:sz w:val="24"/>
          <w:szCs w:val="24"/>
          <w:u w:val="single"/>
          <w:rtl/>
        </w:rPr>
      </w:pPr>
      <w:r w:rsidRPr="0081386B">
        <w:rPr>
          <w:rFonts w:cs="David" w:hint="cs"/>
          <w:b/>
          <w:bCs/>
          <w:sz w:val="24"/>
          <w:szCs w:val="24"/>
          <w:u w:val="single"/>
          <w:rtl/>
        </w:rPr>
        <w:t>ק</w:t>
      </w:r>
      <w:r w:rsidR="0081386B">
        <w:rPr>
          <w:rFonts w:cs="David" w:hint="cs"/>
          <w:b/>
          <w:bCs/>
          <w:sz w:val="24"/>
          <w:szCs w:val="24"/>
          <w:u w:val="single"/>
          <w:rtl/>
        </w:rPr>
        <w:t>ש</w:t>
      </w:r>
      <w:r w:rsidRPr="0081386B">
        <w:rPr>
          <w:rFonts w:cs="David" w:hint="cs"/>
          <w:b/>
          <w:bCs/>
          <w:sz w:val="24"/>
          <w:szCs w:val="24"/>
          <w:u w:val="single"/>
          <w:rtl/>
        </w:rPr>
        <w:t>יים ב</w:t>
      </w:r>
      <w:r w:rsidR="00A0008C" w:rsidRPr="0081386B">
        <w:rPr>
          <w:rFonts w:cs="David" w:hint="cs"/>
          <w:b/>
          <w:bCs/>
          <w:sz w:val="24"/>
          <w:szCs w:val="24"/>
          <w:u w:val="single"/>
          <w:rtl/>
        </w:rPr>
        <w:t>אכיפת החוק</w:t>
      </w:r>
    </w:p>
    <w:p w:rsidR="00725C17" w:rsidRPr="0081386B" w:rsidRDefault="00A0008C" w:rsidP="00255A45">
      <w:pPr>
        <w:spacing w:after="120" w:line="360" w:lineRule="auto"/>
        <w:jc w:val="both"/>
        <w:rPr>
          <w:rFonts w:cs="David"/>
          <w:sz w:val="24"/>
          <w:szCs w:val="24"/>
          <w:rtl/>
        </w:rPr>
      </w:pPr>
      <w:r w:rsidRPr="0081386B">
        <w:rPr>
          <w:rFonts w:cs="David" w:hint="cs"/>
          <w:sz w:val="24"/>
          <w:szCs w:val="24"/>
          <w:rtl/>
        </w:rPr>
        <w:t xml:space="preserve">במסגרת דיוני </w:t>
      </w:r>
      <w:r w:rsidR="003F40D1" w:rsidRPr="0081386B">
        <w:rPr>
          <w:rFonts w:cs="David" w:hint="cs"/>
          <w:sz w:val="24"/>
          <w:szCs w:val="24"/>
          <w:rtl/>
        </w:rPr>
        <w:t>הוועדה</w:t>
      </w:r>
      <w:r w:rsidR="00CC65BA">
        <w:rPr>
          <w:rFonts w:cs="David" w:hint="cs"/>
          <w:sz w:val="24"/>
          <w:szCs w:val="24"/>
          <w:rtl/>
        </w:rPr>
        <w:t>,</w:t>
      </w:r>
      <w:r w:rsidR="003F40D1" w:rsidRPr="0081386B">
        <w:rPr>
          <w:rFonts w:cs="David" w:hint="cs"/>
          <w:sz w:val="24"/>
          <w:szCs w:val="24"/>
          <w:rtl/>
        </w:rPr>
        <w:t xml:space="preserve"> </w:t>
      </w:r>
      <w:r w:rsidRPr="0081386B">
        <w:rPr>
          <w:rFonts w:cs="David" w:hint="cs"/>
          <w:sz w:val="24"/>
          <w:szCs w:val="24"/>
          <w:rtl/>
        </w:rPr>
        <w:t>הן בכנסת ה-18 והן בכנסת ה-19</w:t>
      </w:r>
      <w:r w:rsidR="001C49A2" w:rsidRPr="0081386B">
        <w:rPr>
          <w:rFonts w:cs="David" w:hint="cs"/>
          <w:sz w:val="24"/>
          <w:szCs w:val="24"/>
          <w:rtl/>
        </w:rPr>
        <w:t>, התברר כי יש</w:t>
      </w:r>
      <w:r w:rsidR="009C04B9" w:rsidRPr="0081386B">
        <w:rPr>
          <w:rFonts w:cs="David" w:hint="cs"/>
          <w:sz w:val="24"/>
          <w:szCs w:val="24"/>
          <w:rtl/>
        </w:rPr>
        <w:t>נן</w:t>
      </w:r>
      <w:r w:rsidR="001C49A2" w:rsidRPr="0081386B">
        <w:rPr>
          <w:rFonts w:cs="David" w:hint="cs"/>
          <w:sz w:val="24"/>
          <w:szCs w:val="24"/>
          <w:rtl/>
        </w:rPr>
        <w:t xml:space="preserve"> בעיות של ממש בתחום אכיפת החוק</w:t>
      </w:r>
      <w:r w:rsidR="00EF71A6" w:rsidRPr="0081386B">
        <w:rPr>
          <w:rFonts w:cs="David" w:hint="cs"/>
          <w:sz w:val="24"/>
          <w:szCs w:val="24"/>
          <w:rtl/>
        </w:rPr>
        <w:t xml:space="preserve"> בנושא זה של נישואי קטינים</w:t>
      </w:r>
      <w:r w:rsidR="001C49A2" w:rsidRPr="0081386B">
        <w:rPr>
          <w:rFonts w:cs="David" w:hint="cs"/>
          <w:sz w:val="24"/>
          <w:szCs w:val="24"/>
          <w:rtl/>
        </w:rPr>
        <w:t xml:space="preserve">. </w:t>
      </w:r>
      <w:r w:rsidR="001863F2" w:rsidRPr="0081386B">
        <w:rPr>
          <w:rFonts w:cs="David" w:hint="cs"/>
          <w:sz w:val="24"/>
          <w:szCs w:val="24"/>
          <w:rtl/>
        </w:rPr>
        <w:t xml:space="preserve">במסגרת </w:t>
      </w:r>
      <w:r w:rsidR="00F178DD" w:rsidRPr="0081386B">
        <w:rPr>
          <w:rFonts w:cs="David" w:hint="cs"/>
          <w:sz w:val="24"/>
          <w:szCs w:val="24"/>
          <w:rtl/>
        </w:rPr>
        <w:t xml:space="preserve">הדיונים שנערכו בוועדה, </w:t>
      </w:r>
      <w:r w:rsidR="001863F2" w:rsidRPr="0081386B">
        <w:rPr>
          <w:rFonts w:cs="David" w:hint="cs"/>
          <w:sz w:val="24"/>
          <w:szCs w:val="24"/>
          <w:rtl/>
        </w:rPr>
        <w:t xml:space="preserve">ובעקבות </w:t>
      </w:r>
      <w:r w:rsidR="00A138EE" w:rsidRPr="0081386B">
        <w:rPr>
          <w:rFonts w:cs="David" w:hint="cs"/>
          <w:sz w:val="24"/>
          <w:szCs w:val="24"/>
          <w:rtl/>
        </w:rPr>
        <w:t xml:space="preserve">בקשת יו"ר הוועדה </w:t>
      </w:r>
      <w:r w:rsidRPr="0081386B">
        <w:rPr>
          <w:rFonts w:cs="David" w:hint="cs"/>
          <w:sz w:val="24"/>
          <w:szCs w:val="24"/>
          <w:rtl/>
        </w:rPr>
        <w:t xml:space="preserve">דאז, </w:t>
      </w:r>
      <w:r w:rsidR="00A138EE" w:rsidRPr="0081386B">
        <w:rPr>
          <w:rFonts w:cs="David" w:hint="cs"/>
          <w:sz w:val="24"/>
          <w:szCs w:val="24"/>
          <w:rtl/>
        </w:rPr>
        <w:t xml:space="preserve">לקבל מהגורמים הרלוונטיים נתונים באשר לאכיפת החוק הקיים, הצטיירה בפני הוועדה תמונה </w:t>
      </w:r>
      <w:r w:rsidR="001C49A2" w:rsidRPr="0081386B">
        <w:rPr>
          <w:rFonts w:cs="David" w:hint="cs"/>
          <w:sz w:val="24"/>
          <w:szCs w:val="24"/>
          <w:rtl/>
        </w:rPr>
        <w:t xml:space="preserve">בעייתית של תת אכיפה </w:t>
      </w:r>
      <w:r w:rsidR="00F178DD" w:rsidRPr="0081386B">
        <w:rPr>
          <w:rFonts w:cs="David" w:hint="cs"/>
          <w:sz w:val="24"/>
          <w:szCs w:val="24"/>
          <w:rtl/>
        </w:rPr>
        <w:t xml:space="preserve">של החוק. </w:t>
      </w:r>
      <w:r w:rsidR="00B06C49" w:rsidRPr="0081386B">
        <w:rPr>
          <w:rFonts w:cs="David" w:hint="cs"/>
          <w:sz w:val="24"/>
          <w:szCs w:val="24"/>
          <w:rtl/>
        </w:rPr>
        <w:t>כך, למשל</w:t>
      </w:r>
      <w:r w:rsidR="00725C17" w:rsidRPr="0081386B">
        <w:rPr>
          <w:rFonts w:cs="David" w:hint="cs"/>
          <w:sz w:val="24"/>
          <w:szCs w:val="24"/>
          <w:rtl/>
        </w:rPr>
        <w:t>,</w:t>
      </w:r>
      <w:r w:rsidR="001863F2" w:rsidRPr="0081386B">
        <w:rPr>
          <w:rFonts w:cs="David" w:hint="cs"/>
          <w:sz w:val="24"/>
          <w:szCs w:val="24"/>
          <w:rtl/>
        </w:rPr>
        <w:t xml:space="preserve"> התברר</w:t>
      </w:r>
      <w:r w:rsidR="00725C17" w:rsidRPr="0081386B">
        <w:rPr>
          <w:rFonts w:cs="David" w:hint="cs"/>
          <w:sz w:val="24"/>
          <w:szCs w:val="24"/>
          <w:rtl/>
        </w:rPr>
        <w:t xml:space="preserve"> לוועדה מנתונים שנמסרו לה בחודש מאי 2012</w:t>
      </w:r>
      <w:r w:rsidR="001863F2" w:rsidRPr="0081386B">
        <w:rPr>
          <w:rFonts w:cs="David" w:hint="cs"/>
          <w:sz w:val="24"/>
          <w:szCs w:val="24"/>
          <w:rtl/>
        </w:rPr>
        <w:t xml:space="preserve">, כי </w:t>
      </w:r>
      <w:r w:rsidR="00725C17" w:rsidRPr="0081386B">
        <w:rPr>
          <w:rFonts w:cs="David" w:hint="cs"/>
          <w:sz w:val="24"/>
          <w:szCs w:val="24"/>
          <w:rtl/>
        </w:rPr>
        <w:t xml:space="preserve">על אף שרשות האוכלוסין העבירה למשטרה </w:t>
      </w:r>
      <w:r w:rsidR="00B06C49" w:rsidRPr="0081386B">
        <w:rPr>
          <w:rFonts w:cs="David"/>
          <w:sz w:val="24"/>
          <w:szCs w:val="24"/>
          <w:rtl/>
        </w:rPr>
        <w:t>–</w:t>
      </w:r>
      <w:r w:rsidR="00B06C49" w:rsidRPr="0081386B">
        <w:rPr>
          <w:rFonts w:cs="David" w:hint="cs"/>
          <w:sz w:val="24"/>
          <w:szCs w:val="24"/>
          <w:rtl/>
        </w:rPr>
        <w:t xml:space="preserve"> </w:t>
      </w:r>
      <w:r w:rsidR="008631B1" w:rsidRPr="0081386B">
        <w:rPr>
          <w:rFonts w:cs="David" w:hint="cs"/>
          <w:sz w:val="24"/>
          <w:szCs w:val="24"/>
          <w:rtl/>
        </w:rPr>
        <w:t xml:space="preserve">במהלך </w:t>
      </w:r>
      <w:r w:rsidR="008744AE" w:rsidRPr="0081386B">
        <w:rPr>
          <w:rFonts w:cs="David" w:hint="cs"/>
          <w:sz w:val="24"/>
          <w:szCs w:val="24"/>
          <w:rtl/>
        </w:rPr>
        <w:t>ה</w:t>
      </w:r>
      <w:r w:rsidR="008631B1" w:rsidRPr="0081386B">
        <w:rPr>
          <w:rFonts w:cs="David" w:hint="cs"/>
          <w:sz w:val="24"/>
          <w:szCs w:val="24"/>
          <w:rtl/>
        </w:rPr>
        <w:t xml:space="preserve">חודשים שקדמו לתאריך האמור </w:t>
      </w:r>
      <w:r w:rsidR="008631B1" w:rsidRPr="0081386B">
        <w:rPr>
          <w:rFonts w:cs="David"/>
          <w:sz w:val="24"/>
          <w:szCs w:val="24"/>
          <w:rtl/>
        </w:rPr>
        <w:t>–</w:t>
      </w:r>
      <w:r w:rsidR="008631B1" w:rsidRPr="0081386B">
        <w:rPr>
          <w:rFonts w:cs="David" w:hint="cs"/>
          <w:sz w:val="24"/>
          <w:szCs w:val="24"/>
          <w:rtl/>
        </w:rPr>
        <w:t xml:space="preserve"> </w:t>
      </w:r>
      <w:r w:rsidR="00725C17" w:rsidRPr="0081386B">
        <w:rPr>
          <w:rFonts w:cs="David" w:hint="cs"/>
          <w:sz w:val="24"/>
          <w:szCs w:val="24"/>
          <w:rtl/>
        </w:rPr>
        <w:t xml:space="preserve">מידע על כ-90 מקרים </w:t>
      </w:r>
      <w:r w:rsidR="00A32CDF" w:rsidRPr="0081386B">
        <w:rPr>
          <w:rFonts w:cs="David" w:hint="cs"/>
          <w:sz w:val="24"/>
          <w:szCs w:val="24"/>
          <w:rtl/>
        </w:rPr>
        <w:t xml:space="preserve">של </w:t>
      </w:r>
      <w:r w:rsidR="00725C17" w:rsidRPr="0081386B">
        <w:rPr>
          <w:rFonts w:cs="David" w:hint="cs"/>
          <w:sz w:val="24"/>
          <w:szCs w:val="24"/>
          <w:rtl/>
        </w:rPr>
        <w:t xml:space="preserve">רישום נישואין </w:t>
      </w:r>
      <w:r w:rsidR="00A32CDF" w:rsidRPr="0081386B">
        <w:rPr>
          <w:rFonts w:cs="David" w:hint="cs"/>
          <w:sz w:val="24"/>
          <w:szCs w:val="24"/>
          <w:rtl/>
        </w:rPr>
        <w:t xml:space="preserve">שיש בהם עבירה על חוק גיל הנישואין, במשטרה נפתח רק תיק בודד אחד. </w:t>
      </w:r>
      <w:r w:rsidR="008631B1" w:rsidRPr="0081386B">
        <w:rPr>
          <w:rFonts w:cs="David" w:hint="cs"/>
          <w:sz w:val="24"/>
          <w:szCs w:val="24"/>
          <w:rtl/>
        </w:rPr>
        <w:t xml:space="preserve">יתר על כן, ברור כי היקף התופעה רחב בהרבה, שכן </w:t>
      </w:r>
      <w:r w:rsidR="00B06C49" w:rsidRPr="0081386B">
        <w:rPr>
          <w:rFonts w:cs="David" w:hint="cs"/>
          <w:sz w:val="24"/>
          <w:szCs w:val="24"/>
          <w:rtl/>
        </w:rPr>
        <w:t>לא כל הנישאים בנישואין שיש בהם עבירה על חוק גיל הנישואין מגיעים ללשכות מרשם האוכלוסין כדי לרשום נישואין אלה</w:t>
      </w:r>
      <w:r w:rsidR="0026106A" w:rsidRPr="0081386B">
        <w:rPr>
          <w:rFonts w:cs="David" w:hint="cs"/>
          <w:sz w:val="24"/>
          <w:szCs w:val="24"/>
          <w:rtl/>
        </w:rPr>
        <w:t>,</w:t>
      </w:r>
      <w:r w:rsidR="00B06C49" w:rsidRPr="0081386B">
        <w:rPr>
          <w:rFonts w:cs="David" w:hint="cs"/>
          <w:sz w:val="24"/>
          <w:szCs w:val="24"/>
          <w:rtl/>
        </w:rPr>
        <w:t xml:space="preserve"> וגם המגיעים לעשות כן עושים זאת לרוב רק לאחר </w:t>
      </w:r>
      <w:proofErr w:type="spellStart"/>
      <w:r w:rsidR="00B06C49" w:rsidRPr="0081386B">
        <w:rPr>
          <w:rFonts w:cs="David" w:hint="cs"/>
          <w:sz w:val="24"/>
          <w:szCs w:val="24"/>
          <w:rtl/>
        </w:rPr>
        <w:t>הגיעם</w:t>
      </w:r>
      <w:proofErr w:type="spellEnd"/>
      <w:r w:rsidR="00B06C49" w:rsidRPr="0081386B">
        <w:rPr>
          <w:rFonts w:cs="David" w:hint="cs"/>
          <w:sz w:val="24"/>
          <w:szCs w:val="24"/>
          <w:rtl/>
        </w:rPr>
        <w:t xml:space="preserve"> לגיל הבגרות או לאחר לידה של ילד שאותו מבקש לרשום.</w:t>
      </w:r>
    </w:p>
    <w:p w:rsidR="00A0008C" w:rsidRPr="0081386B" w:rsidRDefault="00A0008C" w:rsidP="00255A45">
      <w:pPr>
        <w:spacing w:after="120" w:line="360" w:lineRule="auto"/>
        <w:jc w:val="both"/>
        <w:rPr>
          <w:rFonts w:cs="David"/>
          <w:sz w:val="24"/>
          <w:szCs w:val="24"/>
          <w:rtl/>
        </w:rPr>
      </w:pPr>
      <w:r w:rsidRPr="0081386B">
        <w:rPr>
          <w:rFonts w:cs="David" w:hint="cs"/>
          <w:sz w:val="24"/>
          <w:szCs w:val="24"/>
          <w:rtl/>
        </w:rPr>
        <w:t>כחלק מהתיקון לחוק, הוחלט להטיל על כל הגורמים הממשלתיים המעורבים בעניין חובת דיווח שנתית לוועד</w:t>
      </w:r>
      <w:r w:rsidR="00EF71A6" w:rsidRPr="0081386B">
        <w:rPr>
          <w:rFonts w:cs="David" w:hint="cs"/>
          <w:sz w:val="24"/>
          <w:szCs w:val="24"/>
          <w:rtl/>
        </w:rPr>
        <w:t>ה</w:t>
      </w:r>
      <w:r w:rsidRPr="0081386B">
        <w:rPr>
          <w:rFonts w:cs="David" w:hint="cs"/>
          <w:sz w:val="24"/>
          <w:szCs w:val="24"/>
          <w:rtl/>
        </w:rPr>
        <w:t>, וזאת במטרה לאפשר פיקוח פרלמנטרי על רשויות האכיפה ולהגביר את ערנותם של הגורמים השונים באשר לחשיבות האכיפה.</w:t>
      </w:r>
    </w:p>
    <w:p w:rsidR="006E4F8A" w:rsidRPr="006E44B9" w:rsidRDefault="00EF71A6" w:rsidP="00F03CCE">
      <w:pPr>
        <w:spacing w:after="120" w:line="360" w:lineRule="auto"/>
        <w:jc w:val="both"/>
        <w:rPr>
          <w:rFonts w:cs="David"/>
          <w:sz w:val="24"/>
          <w:szCs w:val="24"/>
          <w:highlight w:val="yellow"/>
          <w:rtl/>
        </w:rPr>
      </w:pPr>
      <w:r w:rsidRPr="0081386B">
        <w:rPr>
          <w:rFonts w:cs="David" w:hint="cs"/>
          <w:sz w:val="24"/>
          <w:szCs w:val="24"/>
          <w:rtl/>
        </w:rPr>
        <w:t>לפי סעיף 8 לחוק, מדי שנה, ב-1 במר</w:t>
      </w:r>
      <w:r w:rsidR="00F03CCE">
        <w:rPr>
          <w:rFonts w:cs="David" w:hint="cs"/>
          <w:sz w:val="24"/>
          <w:szCs w:val="24"/>
          <w:rtl/>
        </w:rPr>
        <w:t>ס</w:t>
      </w:r>
      <w:r w:rsidRPr="0081386B">
        <w:rPr>
          <w:rFonts w:cs="David" w:hint="cs"/>
          <w:sz w:val="24"/>
          <w:szCs w:val="24"/>
          <w:rtl/>
        </w:rPr>
        <w:t xml:space="preserve">, יימסר לוועדה דיווח בכתב </w:t>
      </w:r>
      <w:r w:rsidR="006E4F8A" w:rsidRPr="0081386B">
        <w:rPr>
          <w:rFonts w:cs="David" w:hint="cs"/>
          <w:sz w:val="24"/>
          <w:szCs w:val="24"/>
          <w:rtl/>
        </w:rPr>
        <w:t xml:space="preserve">של רשימה מפורטת וארוכה של נתונים, </w:t>
      </w:r>
      <w:r w:rsidRPr="0081386B">
        <w:rPr>
          <w:rFonts w:cs="David" w:hint="cs"/>
          <w:sz w:val="24"/>
          <w:szCs w:val="24"/>
          <w:rtl/>
        </w:rPr>
        <w:t>על ידי הגורמים הבאים:</w:t>
      </w:r>
      <w:r w:rsidR="006E4F8A" w:rsidRPr="0081386B">
        <w:rPr>
          <w:rFonts w:cs="David" w:hint="cs"/>
          <w:sz w:val="24"/>
          <w:szCs w:val="24"/>
          <w:rtl/>
        </w:rPr>
        <w:t xml:space="preserve"> </w:t>
      </w:r>
      <w:r w:rsidRPr="0081386B">
        <w:rPr>
          <w:rFonts w:cs="David" w:hint="cs"/>
          <w:sz w:val="24"/>
          <w:szCs w:val="24"/>
          <w:rtl/>
        </w:rPr>
        <w:t>שר המשפטים</w:t>
      </w:r>
      <w:r w:rsidR="006E4F8A" w:rsidRPr="0081386B">
        <w:rPr>
          <w:rFonts w:cs="David" w:hint="cs"/>
          <w:sz w:val="24"/>
          <w:szCs w:val="24"/>
          <w:rtl/>
        </w:rPr>
        <w:t xml:space="preserve">; השר לשירותי דת; שר הפנים; שר הרווחה והשירותים החברתיים; והשר לביטחון </w:t>
      </w:r>
      <w:r w:rsidR="006E4F8A" w:rsidRPr="00846752">
        <w:rPr>
          <w:rFonts w:cs="David" w:hint="cs"/>
          <w:sz w:val="24"/>
          <w:szCs w:val="24"/>
          <w:rtl/>
        </w:rPr>
        <w:t>הפנים.</w:t>
      </w:r>
    </w:p>
    <w:p w:rsidR="006E4F8A" w:rsidRPr="00135D3A" w:rsidRDefault="006E4F8A" w:rsidP="003F47FE">
      <w:pPr>
        <w:spacing w:after="120" w:line="360" w:lineRule="auto"/>
        <w:jc w:val="both"/>
        <w:rPr>
          <w:rFonts w:cs="David"/>
          <w:sz w:val="24"/>
          <w:szCs w:val="24"/>
          <w:rtl/>
        </w:rPr>
      </w:pPr>
      <w:r w:rsidRPr="00135D3A">
        <w:rPr>
          <w:rFonts w:cs="David" w:hint="cs"/>
          <w:sz w:val="24"/>
          <w:szCs w:val="24"/>
          <w:rtl/>
        </w:rPr>
        <w:t>למסמך זה מצורפת טבלה שמסכמת את הנתונים שנמסרו בדיווחים האמורים</w:t>
      </w:r>
      <w:r w:rsidR="00F03CCE" w:rsidRPr="00F03CCE">
        <w:rPr>
          <w:rFonts w:cs="David" w:hint="cs"/>
          <w:sz w:val="24"/>
          <w:szCs w:val="24"/>
          <w:rtl/>
        </w:rPr>
        <w:t xml:space="preserve"> </w:t>
      </w:r>
      <w:r w:rsidR="00F03CCE">
        <w:rPr>
          <w:rFonts w:cs="David" w:hint="cs"/>
          <w:sz w:val="24"/>
          <w:szCs w:val="24"/>
          <w:rtl/>
        </w:rPr>
        <w:t>לשנים 2013-2014</w:t>
      </w:r>
      <w:r w:rsidR="00F03CCE">
        <w:rPr>
          <w:rStyle w:val="a6"/>
          <w:rFonts w:cs="David"/>
          <w:sz w:val="24"/>
          <w:szCs w:val="24"/>
          <w:rtl/>
        </w:rPr>
        <w:footnoteReference w:id="3"/>
      </w:r>
      <w:r w:rsidRPr="00135D3A">
        <w:rPr>
          <w:rFonts w:cs="David" w:hint="cs"/>
          <w:sz w:val="24"/>
          <w:szCs w:val="24"/>
          <w:rtl/>
        </w:rPr>
        <w:t>.</w:t>
      </w:r>
      <w:r w:rsidR="003F47FE">
        <w:rPr>
          <w:rFonts w:cs="David" w:hint="cs"/>
          <w:sz w:val="24"/>
          <w:szCs w:val="24"/>
          <w:rtl/>
        </w:rPr>
        <w:t xml:space="preserve"> בשל העובדה שהתיקון לחוק נכנס לתוקף בדצמבר 2013, הדיווחים לוועדה במרץ 2014 היו חלקיים והתייחסו לא לשנה שלמה אלא לחלק ממנה.</w:t>
      </w:r>
    </w:p>
    <w:p w:rsidR="00EF71A6" w:rsidRPr="006050AB" w:rsidRDefault="00EF71A6" w:rsidP="00255A45">
      <w:pPr>
        <w:spacing w:after="120" w:line="360" w:lineRule="auto"/>
        <w:jc w:val="both"/>
        <w:rPr>
          <w:rFonts w:cs="David"/>
          <w:color w:val="0070C0"/>
          <w:sz w:val="24"/>
          <w:szCs w:val="24"/>
          <w:rtl/>
        </w:rPr>
      </w:pPr>
    </w:p>
    <w:p w:rsidR="00E43C8C" w:rsidRPr="00D675C9" w:rsidRDefault="00E43C8C" w:rsidP="00255A45">
      <w:pPr>
        <w:spacing w:after="120" w:line="240" w:lineRule="auto"/>
        <w:jc w:val="both"/>
        <w:rPr>
          <w:rFonts w:cs="David"/>
          <w:b/>
          <w:bCs/>
          <w:sz w:val="24"/>
          <w:szCs w:val="24"/>
          <w:u w:val="single"/>
          <w:rtl/>
        </w:rPr>
      </w:pPr>
      <w:r w:rsidRPr="00D675C9">
        <w:rPr>
          <w:rFonts w:cs="David" w:hint="cs"/>
          <w:b/>
          <w:bCs/>
          <w:sz w:val="24"/>
          <w:szCs w:val="24"/>
          <w:u w:val="single"/>
          <w:rtl/>
        </w:rPr>
        <w:t>נקודות לדיון</w:t>
      </w:r>
    </w:p>
    <w:p w:rsidR="00E43C8C" w:rsidRPr="00D675C9" w:rsidRDefault="009506C4" w:rsidP="00F03CCE">
      <w:pPr>
        <w:spacing w:after="0" w:line="360" w:lineRule="auto"/>
        <w:jc w:val="both"/>
        <w:rPr>
          <w:rFonts w:cs="David"/>
          <w:sz w:val="24"/>
          <w:szCs w:val="24"/>
          <w:rtl/>
        </w:rPr>
      </w:pPr>
      <w:r w:rsidRPr="00D675C9">
        <w:rPr>
          <w:rFonts w:cs="David" w:hint="cs"/>
          <w:sz w:val="24"/>
          <w:szCs w:val="24"/>
          <w:rtl/>
        </w:rPr>
        <w:t>להלן מספר נקודות מוצעות לדיון</w:t>
      </w:r>
      <w:r w:rsidR="00D675C9">
        <w:rPr>
          <w:rFonts w:cs="David" w:hint="cs"/>
          <w:sz w:val="24"/>
          <w:szCs w:val="24"/>
          <w:rtl/>
        </w:rPr>
        <w:t>, על בסיס הנתונים שנמסרו לוועדה</w:t>
      </w:r>
      <w:r w:rsidR="00F03CCE">
        <w:rPr>
          <w:rFonts w:cs="David" w:hint="cs"/>
          <w:sz w:val="24"/>
          <w:szCs w:val="24"/>
          <w:rtl/>
        </w:rPr>
        <w:t>:</w:t>
      </w:r>
      <w:r w:rsidR="00AC4113">
        <w:rPr>
          <w:rFonts w:cs="David" w:hint="cs"/>
          <w:sz w:val="24"/>
          <w:szCs w:val="24"/>
          <w:rtl/>
        </w:rPr>
        <w:t xml:space="preserve"> </w:t>
      </w:r>
    </w:p>
    <w:p w:rsidR="00305C67" w:rsidRPr="00663F7B" w:rsidRDefault="00F45368" w:rsidP="00F45368">
      <w:pPr>
        <w:pStyle w:val="a3"/>
        <w:numPr>
          <w:ilvl w:val="0"/>
          <w:numId w:val="5"/>
        </w:numPr>
        <w:spacing w:after="0" w:line="360" w:lineRule="auto"/>
        <w:jc w:val="both"/>
        <w:rPr>
          <w:rFonts w:cs="David"/>
          <w:sz w:val="24"/>
          <w:szCs w:val="24"/>
        </w:rPr>
      </w:pPr>
      <w:r>
        <w:rPr>
          <w:rFonts w:cs="David" w:hint="cs"/>
          <w:sz w:val="24"/>
          <w:szCs w:val="24"/>
          <w:rtl/>
        </w:rPr>
        <w:t>מהו המקור ל</w:t>
      </w:r>
      <w:r w:rsidR="000E3AF8" w:rsidRPr="00663F7B">
        <w:rPr>
          <w:rFonts w:cs="David" w:hint="cs"/>
          <w:sz w:val="24"/>
          <w:szCs w:val="24"/>
          <w:rtl/>
        </w:rPr>
        <w:t xml:space="preserve">פער </w:t>
      </w:r>
      <w:proofErr w:type="spellStart"/>
      <w:r>
        <w:rPr>
          <w:rFonts w:cs="David" w:hint="cs"/>
          <w:sz w:val="24"/>
          <w:szCs w:val="24"/>
          <w:rtl/>
        </w:rPr>
        <w:t>ה</w:t>
      </w:r>
      <w:r w:rsidR="000E3AF8" w:rsidRPr="00663F7B">
        <w:rPr>
          <w:rFonts w:cs="David" w:hint="cs"/>
          <w:sz w:val="24"/>
          <w:szCs w:val="24"/>
          <w:rtl/>
        </w:rPr>
        <w:t>כ</w:t>
      </w:r>
      <w:r w:rsidR="00305C67" w:rsidRPr="00663F7B">
        <w:rPr>
          <w:rFonts w:cs="David" w:hint="cs"/>
          <w:sz w:val="24"/>
          <w:szCs w:val="24"/>
          <w:rtl/>
        </w:rPr>
        <w:t>ל</w:t>
      </w:r>
      <w:proofErr w:type="spellEnd"/>
      <w:r w:rsidR="00305C67" w:rsidRPr="00663F7B">
        <w:rPr>
          <w:rFonts w:cs="David" w:hint="cs"/>
          <w:sz w:val="24"/>
          <w:szCs w:val="24"/>
          <w:rtl/>
        </w:rPr>
        <w:t xml:space="preserve"> כך</w:t>
      </w:r>
      <w:r w:rsidR="000E3AF8" w:rsidRPr="00663F7B">
        <w:rPr>
          <w:rFonts w:cs="David" w:hint="cs"/>
          <w:sz w:val="24"/>
          <w:szCs w:val="24"/>
          <w:rtl/>
        </w:rPr>
        <w:t xml:space="preserve"> גדול בין כמות המקרים של נישואי קטינים לבין כמות </w:t>
      </w:r>
      <w:r w:rsidR="00305C67" w:rsidRPr="00663F7B">
        <w:rPr>
          <w:rFonts w:cs="David" w:hint="cs"/>
          <w:sz w:val="24"/>
          <w:szCs w:val="24"/>
          <w:rtl/>
        </w:rPr>
        <w:t>כל כך</w:t>
      </w:r>
      <w:r w:rsidR="000E3AF8" w:rsidRPr="00663F7B">
        <w:rPr>
          <w:rFonts w:cs="David" w:hint="cs"/>
          <w:sz w:val="24"/>
          <w:szCs w:val="24"/>
          <w:rtl/>
        </w:rPr>
        <w:t xml:space="preserve"> קטנה של תלונות למשטרה? </w:t>
      </w:r>
      <w:r w:rsidR="005C7D1C">
        <w:rPr>
          <w:rFonts w:cs="David" w:hint="cs"/>
          <w:sz w:val="24"/>
          <w:szCs w:val="24"/>
          <w:rtl/>
        </w:rPr>
        <w:t xml:space="preserve">כך, למשל, לגבי שנת 2013 </w:t>
      </w:r>
      <w:r w:rsidR="005C7D1C">
        <w:rPr>
          <w:rFonts w:cs="David"/>
          <w:sz w:val="24"/>
          <w:szCs w:val="24"/>
          <w:rtl/>
        </w:rPr>
        <w:t>–</w:t>
      </w:r>
      <w:r w:rsidR="005C7D1C">
        <w:rPr>
          <w:rFonts w:cs="David" w:hint="cs"/>
          <w:sz w:val="24"/>
          <w:szCs w:val="24"/>
          <w:rtl/>
        </w:rPr>
        <w:t xml:space="preserve"> </w:t>
      </w:r>
      <w:r w:rsidR="005C7D1C" w:rsidRPr="00663F7B">
        <w:rPr>
          <w:rFonts w:cs="David" w:hint="cs"/>
          <w:sz w:val="24"/>
          <w:szCs w:val="24"/>
          <w:rtl/>
        </w:rPr>
        <w:t xml:space="preserve">רק מבתי הדין </w:t>
      </w:r>
      <w:proofErr w:type="spellStart"/>
      <w:r w:rsidR="005C7D1C" w:rsidRPr="00663F7B">
        <w:rPr>
          <w:rFonts w:cs="David" w:hint="cs"/>
          <w:sz w:val="24"/>
          <w:szCs w:val="24"/>
          <w:rtl/>
        </w:rPr>
        <w:t>השרעיים</w:t>
      </w:r>
      <w:proofErr w:type="spellEnd"/>
      <w:r w:rsidR="005C7D1C" w:rsidRPr="00663F7B">
        <w:rPr>
          <w:rFonts w:cs="David" w:hint="cs"/>
          <w:sz w:val="24"/>
          <w:szCs w:val="24"/>
          <w:rtl/>
        </w:rPr>
        <w:t xml:space="preserve"> נמסר מידע על כ-300 מקרים של נישואי קטינים בשנת 2013</w:t>
      </w:r>
      <w:r w:rsidR="005C7D1C">
        <w:rPr>
          <w:rFonts w:cs="David" w:hint="cs"/>
          <w:sz w:val="24"/>
          <w:szCs w:val="24"/>
          <w:rtl/>
        </w:rPr>
        <w:t xml:space="preserve">, ואילו במשטרה התקבלו רק 24 תלונות? לגבי שנת 2014 </w:t>
      </w:r>
      <w:r w:rsidR="005C7D1C">
        <w:rPr>
          <w:rFonts w:cs="David"/>
          <w:sz w:val="24"/>
          <w:szCs w:val="24"/>
          <w:rtl/>
        </w:rPr>
        <w:t>–</w:t>
      </w:r>
      <w:r w:rsidR="005C7D1C">
        <w:rPr>
          <w:rFonts w:cs="David" w:hint="cs"/>
          <w:sz w:val="24"/>
          <w:szCs w:val="24"/>
          <w:rtl/>
        </w:rPr>
        <w:t xml:space="preserve"> רק מהמשרד לשירותי דת נמסר מידע על כ-60 מקרים של נישואי קטינים בשנת 2014, ואילו במשטרה התקבלו רק 37 תלונות.</w:t>
      </w:r>
    </w:p>
    <w:p w:rsidR="00305C67" w:rsidRPr="00663F7B" w:rsidRDefault="00305C67" w:rsidP="00F45368">
      <w:pPr>
        <w:pStyle w:val="a3"/>
        <w:numPr>
          <w:ilvl w:val="0"/>
          <w:numId w:val="5"/>
        </w:numPr>
        <w:spacing w:after="0" w:line="360" w:lineRule="auto"/>
        <w:jc w:val="both"/>
        <w:rPr>
          <w:rFonts w:cs="David"/>
          <w:sz w:val="24"/>
          <w:szCs w:val="24"/>
        </w:rPr>
      </w:pPr>
      <w:r w:rsidRPr="00663F7B">
        <w:rPr>
          <w:rFonts w:cs="David" w:hint="cs"/>
          <w:sz w:val="24"/>
          <w:szCs w:val="24"/>
          <w:rtl/>
        </w:rPr>
        <w:lastRenderedPageBreak/>
        <w:t xml:space="preserve">האם ישנה הנחייה של היועץ המשפטי לממשלה לרשויות מנהליות שמגיע לידם מידע על נישואי קטינים בניגוד לחוק, להגיש תלונה למשטרה? אם כן </w:t>
      </w:r>
      <w:r w:rsidRPr="00663F7B">
        <w:rPr>
          <w:rFonts w:cs="David"/>
          <w:sz w:val="24"/>
          <w:szCs w:val="24"/>
          <w:rtl/>
        </w:rPr>
        <w:t>–</w:t>
      </w:r>
      <w:r w:rsidRPr="00663F7B">
        <w:rPr>
          <w:rFonts w:cs="David" w:hint="cs"/>
          <w:sz w:val="24"/>
          <w:szCs w:val="24"/>
          <w:rtl/>
        </w:rPr>
        <w:t xml:space="preserve"> </w:t>
      </w:r>
      <w:r w:rsidR="00F45368">
        <w:rPr>
          <w:rFonts w:cs="David" w:hint="cs"/>
          <w:sz w:val="24"/>
          <w:szCs w:val="24"/>
          <w:rtl/>
        </w:rPr>
        <w:t>מהו ההסבר ל</w:t>
      </w:r>
      <w:r w:rsidRPr="00663F7B">
        <w:rPr>
          <w:rFonts w:cs="David" w:hint="cs"/>
          <w:sz w:val="24"/>
          <w:szCs w:val="24"/>
          <w:rtl/>
        </w:rPr>
        <w:t xml:space="preserve">פער שבין ריבוי המקרים המתועדים על ידי רשויות מנהליות לבין הכמות הנמוכה של תלונות למשטרה? אם לא </w:t>
      </w:r>
      <w:r w:rsidRPr="00663F7B">
        <w:rPr>
          <w:rFonts w:cs="David"/>
          <w:sz w:val="24"/>
          <w:szCs w:val="24"/>
          <w:rtl/>
        </w:rPr>
        <w:t>–</w:t>
      </w:r>
      <w:r w:rsidRPr="00663F7B">
        <w:rPr>
          <w:rFonts w:cs="David" w:hint="cs"/>
          <w:sz w:val="24"/>
          <w:szCs w:val="24"/>
          <w:rtl/>
        </w:rPr>
        <w:t xml:space="preserve"> מדוע אין הנחייה כזאת?</w:t>
      </w:r>
    </w:p>
    <w:p w:rsidR="00520241" w:rsidRDefault="00F45368" w:rsidP="00F45368">
      <w:pPr>
        <w:pStyle w:val="a3"/>
        <w:numPr>
          <w:ilvl w:val="0"/>
          <w:numId w:val="5"/>
        </w:numPr>
        <w:spacing w:after="0" w:line="360" w:lineRule="auto"/>
        <w:jc w:val="both"/>
        <w:rPr>
          <w:rFonts w:cs="David"/>
          <w:sz w:val="24"/>
          <w:szCs w:val="24"/>
        </w:rPr>
      </w:pPr>
      <w:r>
        <w:rPr>
          <w:rFonts w:cs="David" w:hint="cs"/>
          <w:sz w:val="24"/>
          <w:szCs w:val="24"/>
          <w:rtl/>
        </w:rPr>
        <w:t>מהו המקור ל</w:t>
      </w:r>
      <w:r w:rsidR="00663F7B" w:rsidRPr="00663F7B">
        <w:rPr>
          <w:rFonts w:cs="David" w:hint="cs"/>
          <w:sz w:val="24"/>
          <w:szCs w:val="24"/>
          <w:rtl/>
        </w:rPr>
        <w:t xml:space="preserve">פער </w:t>
      </w:r>
      <w:proofErr w:type="spellStart"/>
      <w:r>
        <w:rPr>
          <w:rFonts w:cs="David" w:hint="cs"/>
          <w:sz w:val="24"/>
          <w:szCs w:val="24"/>
          <w:rtl/>
        </w:rPr>
        <w:t>ה</w:t>
      </w:r>
      <w:r w:rsidR="00663F7B" w:rsidRPr="00663F7B">
        <w:rPr>
          <w:rFonts w:cs="David" w:hint="cs"/>
          <w:sz w:val="24"/>
          <w:szCs w:val="24"/>
          <w:rtl/>
        </w:rPr>
        <w:t>כל</w:t>
      </w:r>
      <w:proofErr w:type="spellEnd"/>
      <w:r w:rsidR="00663F7B" w:rsidRPr="00663F7B">
        <w:rPr>
          <w:rFonts w:cs="David" w:hint="cs"/>
          <w:sz w:val="24"/>
          <w:szCs w:val="24"/>
          <w:rtl/>
        </w:rPr>
        <w:t xml:space="preserve"> כך גדול בין כמות התלונות המוגשות למשטרה (24 בשנת 2013 ו-37 בשנת 2014) לבין כמות התיקים שהועברו על ידי המשטרה לפרקליטות (4 ב-2013 ו-6 ב-2014)</w:t>
      </w:r>
      <w:r w:rsidR="00520241">
        <w:rPr>
          <w:rFonts w:cs="David" w:hint="cs"/>
          <w:sz w:val="24"/>
          <w:szCs w:val="24"/>
          <w:rtl/>
        </w:rPr>
        <w:t>?</w:t>
      </w:r>
      <w:r w:rsidR="00663F7B">
        <w:rPr>
          <w:rFonts w:cs="David" w:hint="cs"/>
          <w:sz w:val="24"/>
          <w:szCs w:val="24"/>
          <w:rtl/>
        </w:rPr>
        <w:t xml:space="preserve"> </w:t>
      </w:r>
      <w:r w:rsidR="00520241">
        <w:rPr>
          <w:rFonts w:cs="David" w:hint="cs"/>
          <w:sz w:val="24"/>
          <w:szCs w:val="24"/>
          <w:rtl/>
        </w:rPr>
        <w:t>מדוע ברוב המכריע של המקרים המשטרה בוחרת שלא להעביר את התיק לפרקליטות במטרה להגיש כתב אישום?</w:t>
      </w:r>
    </w:p>
    <w:p w:rsidR="00305C67" w:rsidRPr="005C7D1C" w:rsidRDefault="00F45368" w:rsidP="00520241">
      <w:pPr>
        <w:pStyle w:val="a3"/>
        <w:numPr>
          <w:ilvl w:val="0"/>
          <w:numId w:val="5"/>
        </w:numPr>
        <w:spacing w:after="0" w:line="360" w:lineRule="auto"/>
        <w:jc w:val="both"/>
        <w:rPr>
          <w:rFonts w:cs="David"/>
          <w:sz w:val="24"/>
          <w:szCs w:val="24"/>
        </w:rPr>
      </w:pPr>
      <w:r>
        <w:rPr>
          <w:rFonts w:cs="David" w:hint="cs"/>
          <w:sz w:val="24"/>
          <w:szCs w:val="24"/>
          <w:rtl/>
        </w:rPr>
        <w:t>מהו המקור ל</w:t>
      </w:r>
      <w:r w:rsidR="00520241">
        <w:rPr>
          <w:rFonts w:cs="David" w:hint="cs"/>
          <w:sz w:val="24"/>
          <w:szCs w:val="24"/>
          <w:rtl/>
        </w:rPr>
        <w:t xml:space="preserve">פער </w:t>
      </w:r>
      <w:proofErr w:type="spellStart"/>
      <w:r>
        <w:rPr>
          <w:rFonts w:cs="David" w:hint="cs"/>
          <w:sz w:val="24"/>
          <w:szCs w:val="24"/>
          <w:rtl/>
        </w:rPr>
        <w:t>ה</w:t>
      </w:r>
      <w:r w:rsidR="00520241">
        <w:rPr>
          <w:rFonts w:cs="David" w:hint="cs"/>
          <w:sz w:val="24"/>
          <w:szCs w:val="24"/>
          <w:rtl/>
        </w:rPr>
        <w:t>כל</w:t>
      </w:r>
      <w:proofErr w:type="spellEnd"/>
      <w:r w:rsidR="00520241">
        <w:rPr>
          <w:rFonts w:cs="David" w:hint="cs"/>
          <w:sz w:val="24"/>
          <w:szCs w:val="24"/>
          <w:rtl/>
        </w:rPr>
        <w:t xml:space="preserve"> כך גדול בין כמות התיקים המועברים מהמשטרה לפרקליטות </w:t>
      </w:r>
      <w:r w:rsidR="00520241" w:rsidRPr="00663F7B">
        <w:rPr>
          <w:rFonts w:cs="David" w:hint="cs"/>
          <w:sz w:val="24"/>
          <w:szCs w:val="24"/>
          <w:rtl/>
        </w:rPr>
        <w:t xml:space="preserve">(4 </w:t>
      </w:r>
      <w:r>
        <w:rPr>
          <w:rFonts w:cs="David" w:hint="cs"/>
          <w:sz w:val="24"/>
          <w:szCs w:val="24"/>
          <w:rtl/>
        </w:rPr>
        <w:t xml:space="preserve">  </w:t>
      </w:r>
      <w:r w:rsidR="00520241" w:rsidRPr="00663F7B">
        <w:rPr>
          <w:rFonts w:cs="David" w:hint="cs"/>
          <w:sz w:val="24"/>
          <w:szCs w:val="24"/>
          <w:rtl/>
        </w:rPr>
        <w:t xml:space="preserve">ב-2013 ו-6 </w:t>
      </w:r>
      <w:r w:rsidR="00520241" w:rsidRPr="005C7D1C">
        <w:rPr>
          <w:rFonts w:cs="David" w:hint="cs"/>
          <w:sz w:val="24"/>
          <w:szCs w:val="24"/>
          <w:rtl/>
        </w:rPr>
        <w:t xml:space="preserve">ב-2014) לבין </w:t>
      </w:r>
      <w:r w:rsidR="00663F7B" w:rsidRPr="005C7D1C">
        <w:rPr>
          <w:rFonts w:cs="David" w:hint="cs"/>
          <w:sz w:val="24"/>
          <w:szCs w:val="24"/>
          <w:rtl/>
        </w:rPr>
        <w:t xml:space="preserve">כמות התיקים שבגינם בסופו של חשבון הוגש כתב אישום (1 </w:t>
      </w:r>
      <w:r>
        <w:rPr>
          <w:rFonts w:cs="David" w:hint="cs"/>
          <w:sz w:val="24"/>
          <w:szCs w:val="24"/>
          <w:rtl/>
        </w:rPr>
        <w:t xml:space="preserve">        </w:t>
      </w:r>
      <w:r w:rsidR="00663F7B" w:rsidRPr="005C7D1C">
        <w:rPr>
          <w:rFonts w:cs="David" w:hint="cs"/>
          <w:sz w:val="24"/>
          <w:szCs w:val="24"/>
          <w:rtl/>
        </w:rPr>
        <w:t>ב-2013</w:t>
      </w:r>
      <w:r w:rsidR="005C7D1C" w:rsidRPr="005C7D1C">
        <w:rPr>
          <w:rFonts w:cs="David" w:hint="cs"/>
          <w:sz w:val="24"/>
          <w:szCs w:val="24"/>
          <w:rtl/>
        </w:rPr>
        <w:t xml:space="preserve"> ו-0 ב-2014</w:t>
      </w:r>
      <w:r w:rsidR="00663F7B" w:rsidRPr="005C7D1C">
        <w:rPr>
          <w:rFonts w:cs="David" w:hint="cs"/>
          <w:sz w:val="24"/>
          <w:szCs w:val="24"/>
          <w:rtl/>
        </w:rPr>
        <w:t>)?</w:t>
      </w:r>
      <w:r w:rsidR="00520241" w:rsidRPr="005C7D1C">
        <w:rPr>
          <w:rFonts w:cs="David" w:hint="cs"/>
          <w:sz w:val="24"/>
          <w:szCs w:val="24"/>
          <w:rtl/>
        </w:rPr>
        <w:t xml:space="preserve"> </w:t>
      </w:r>
    </w:p>
    <w:p w:rsidR="00663F7B" w:rsidRPr="00663F7B" w:rsidRDefault="00F45368" w:rsidP="00795450">
      <w:pPr>
        <w:pStyle w:val="a3"/>
        <w:numPr>
          <w:ilvl w:val="0"/>
          <w:numId w:val="5"/>
        </w:numPr>
        <w:spacing w:after="0" w:line="360" w:lineRule="auto"/>
        <w:jc w:val="both"/>
        <w:rPr>
          <w:rFonts w:cs="David"/>
          <w:sz w:val="24"/>
          <w:szCs w:val="24"/>
        </w:rPr>
      </w:pPr>
      <w:r>
        <w:rPr>
          <w:rFonts w:cs="David" w:hint="cs"/>
          <w:sz w:val="24"/>
          <w:szCs w:val="24"/>
          <w:rtl/>
        </w:rPr>
        <w:t>מהו המקור ל</w:t>
      </w:r>
      <w:r w:rsidR="00663F7B">
        <w:rPr>
          <w:rFonts w:cs="David" w:hint="cs"/>
          <w:sz w:val="24"/>
          <w:szCs w:val="24"/>
          <w:rtl/>
        </w:rPr>
        <w:t xml:space="preserve">פער </w:t>
      </w:r>
      <w:proofErr w:type="spellStart"/>
      <w:r>
        <w:rPr>
          <w:rFonts w:cs="David" w:hint="cs"/>
          <w:sz w:val="24"/>
          <w:szCs w:val="24"/>
          <w:rtl/>
        </w:rPr>
        <w:t>ה</w:t>
      </w:r>
      <w:r w:rsidR="00663F7B">
        <w:rPr>
          <w:rFonts w:cs="David" w:hint="cs"/>
          <w:sz w:val="24"/>
          <w:szCs w:val="24"/>
          <w:rtl/>
        </w:rPr>
        <w:t>כל</w:t>
      </w:r>
      <w:proofErr w:type="spellEnd"/>
      <w:r w:rsidR="00663F7B">
        <w:rPr>
          <w:rFonts w:cs="David" w:hint="cs"/>
          <w:sz w:val="24"/>
          <w:szCs w:val="24"/>
          <w:rtl/>
        </w:rPr>
        <w:t xml:space="preserve"> כך גדול לגבי </w:t>
      </w:r>
      <w:r w:rsidR="00795450">
        <w:rPr>
          <w:rFonts w:cs="David" w:hint="cs"/>
          <w:sz w:val="24"/>
          <w:szCs w:val="24"/>
          <w:rtl/>
        </w:rPr>
        <w:t xml:space="preserve">השאלה כמה </w:t>
      </w:r>
      <w:r w:rsidR="00663F7B">
        <w:rPr>
          <w:rFonts w:cs="David" w:hint="cs"/>
          <w:sz w:val="24"/>
          <w:szCs w:val="24"/>
          <w:rtl/>
        </w:rPr>
        <w:t>תלונות הוגשו למשטרה על ידי משרד הפנים, בין הנתונים שנמסרו על ידי המשטרה (9 ב-2013 ו</w:t>
      </w:r>
      <w:r w:rsidR="00795450">
        <w:rPr>
          <w:rFonts w:cs="David" w:hint="cs"/>
          <w:sz w:val="24"/>
          <w:szCs w:val="24"/>
          <w:rtl/>
        </w:rPr>
        <w:t>-</w:t>
      </w:r>
      <w:r w:rsidR="00663F7B">
        <w:rPr>
          <w:rFonts w:cs="David" w:hint="cs"/>
          <w:sz w:val="24"/>
          <w:szCs w:val="24"/>
          <w:rtl/>
        </w:rPr>
        <w:t>54 ב-2014</w:t>
      </w:r>
      <w:r w:rsidR="00795450">
        <w:rPr>
          <w:rStyle w:val="a6"/>
          <w:rFonts w:cs="David"/>
          <w:sz w:val="24"/>
          <w:szCs w:val="24"/>
          <w:rtl/>
        </w:rPr>
        <w:footnoteReference w:id="4"/>
      </w:r>
      <w:r w:rsidR="00663F7B">
        <w:rPr>
          <w:rFonts w:cs="David" w:hint="cs"/>
          <w:sz w:val="24"/>
          <w:szCs w:val="24"/>
          <w:rtl/>
        </w:rPr>
        <w:t>) לבין הנתונים שנמסרו על ידי משרד הפנים (42 ב-2013 ו-416 ב-2014)?</w:t>
      </w:r>
    </w:p>
    <w:p w:rsidR="00CC44A2" w:rsidRPr="00D675C9" w:rsidRDefault="005F7A46" w:rsidP="001957BC">
      <w:pPr>
        <w:pStyle w:val="a3"/>
        <w:numPr>
          <w:ilvl w:val="0"/>
          <w:numId w:val="5"/>
        </w:numPr>
        <w:spacing w:after="0" w:line="360" w:lineRule="auto"/>
        <w:jc w:val="both"/>
        <w:rPr>
          <w:rFonts w:cs="David"/>
          <w:sz w:val="24"/>
          <w:szCs w:val="24"/>
        </w:rPr>
      </w:pPr>
      <w:r w:rsidRPr="00D675C9">
        <w:rPr>
          <w:rFonts w:cs="David" w:hint="cs"/>
          <w:sz w:val="24"/>
          <w:szCs w:val="24"/>
          <w:rtl/>
        </w:rPr>
        <w:t>מדוע ב-20% מהמקרים שבאו לרשום את הנישואין במשרד הפנים</w:t>
      </w:r>
      <w:r w:rsidR="00D43EE0" w:rsidRPr="00D675C9">
        <w:rPr>
          <w:rFonts w:cs="David" w:hint="cs"/>
          <w:sz w:val="24"/>
          <w:szCs w:val="24"/>
          <w:rtl/>
        </w:rPr>
        <w:t xml:space="preserve"> ללא שהיה היתר נישואין מבית המשפט לענייני משפחה</w:t>
      </w:r>
      <w:r w:rsidR="006E091C" w:rsidRPr="00D675C9">
        <w:rPr>
          <w:rFonts w:cs="David" w:hint="cs"/>
          <w:sz w:val="24"/>
          <w:szCs w:val="24"/>
          <w:rtl/>
        </w:rPr>
        <w:t>, לא הוגשה תלונה במשטרה על ידי משרד הפנים</w:t>
      </w:r>
      <w:r w:rsidR="00663F7B" w:rsidRPr="00D675C9">
        <w:rPr>
          <w:rFonts w:cs="David" w:hint="cs"/>
          <w:sz w:val="24"/>
          <w:szCs w:val="24"/>
          <w:rtl/>
        </w:rPr>
        <w:t xml:space="preserve"> (לפי נתוני 2013)</w:t>
      </w:r>
      <w:r w:rsidR="006E091C" w:rsidRPr="00D675C9">
        <w:rPr>
          <w:rFonts w:cs="David" w:hint="cs"/>
          <w:sz w:val="24"/>
          <w:szCs w:val="24"/>
          <w:rtl/>
        </w:rPr>
        <w:t>?</w:t>
      </w:r>
    </w:p>
    <w:p w:rsidR="00D43EE0" w:rsidRPr="00D675C9" w:rsidRDefault="00663F7B" w:rsidP="001957BC">
      <w:pPr>
        <w:pStyle w:val="a3"/>
        <w:numPr>
          <w:ilvl w:val="0"/>
          <w:numId w:val="5"/>
        </w:numPr>
        <w:spacing w:after="0" w:line="360" w:lineRule="auto"/>
        <w:jc w:val="both"/>
        <w:rPr>
          <w:rFonts w:cs="David"/>
          <w:sz w:val="24"/>
          <w:szCs w:val="24"/>
        </w:rPr>
      </w:pPr>
      <w:r w:rsidRPr="00D675C9">
        <w:rPr>
          <w:rFonts w:cs="David" w:hint="cs"/>
          <w:sz w:val="24"/>
          <w:szCs w:val="24"/>
          <w:rtl/>
        </w:rPr>
        <w:t xml:space="preserve">כיצד יתכן </w:t>
      </w:r>
      <w:r w:rsidR="00190B01" w:rsidRPr="00D675C9">
        <w:rPr>
          <w:rFonts w:cs="David" w:hint="cs"/>
          <w:sz w:val="24"/>
          <w:szCs w:val="24"/>
          <w:rtl/>
        </w:rPr>
        <w:t>שבשנת 2014, הוגשו רק 24 תסקירים על ידי משרד הרווחה לבימ"ש לענייני משפחה</w:t>
      </w:r>
      <w:r w:rsidRPr="00D675C9">
        <w:rPr>
          <w:rFonts w:cs="David" w:hint="cs"/>
          <w:sz w:val="24"/>
          <w:szCs w:val="24"/>
          <w:rtl/>
        </w:rPr>
        <w:t xml:space="preserve"> במסגרת הליך לקבלת היתר נישואין</w:t>
      </w:r>
      <w:r w:rsidR="00190B01" w:rsidRPr="00D675C9">
        <w:rPr>
          <w:rFonts w:cs="David" w:hint="cs"/>
          <w:sz w:val="24"/>
          <w:szCs w:val="24"/>
          <w:rtl/>
        </w:rPr>
        <w:t xml:space="preserve">, אם מהנתונים של משרד הפנים עולה כי 106 </w:t>
      </w:r>
      <w:r w:rsidRPr="00D675C9">
        <w:rPr>
          <w:rFonts w:cs="David" w:hint="cs"/>
          <w:sz w:val="24"/>
          <w:szCs w:val="24"/>
          <w:rtl/>
        </w:rPr>
        <w:t>מנישואי הקטינים שנרשמו באותה שנה, נרשמו לאחר קבלת היתר נישואין מבית המשפט</w:t>
      </w:r>
      <w:r w:rsidR="00795450">
        <w:rPr>
          <w:rFonts w:cs="David" w:hint="cs"/>
          <w:sz w:val="24"/>
          <w:szCs w:val="24"/>
          <w:rtl/>
        </w:rPr>
        <w:t xml:space="preserve"> (הליך שלפי התיקון לחוק מחייב קבלת תסקיר)</w:t>
      </w:r>
      <w:r w:rsidR="00190B01" w:rsidRPr="00D675C9">
        <w:rPr>
          <w:rFonts w:cs="David" w:hint="cs"/>
          <w:sz w:val="24"/>
          <w:szCs w:val="24"/>
          <w:rtl/>
        </w:rPr>
        <w:t>?</w:t>
      </w:r>
    </w:p>
    <w:p w:rsidR="00190B01" w:rsidRPr="00D675C9" w:rsidRDefault="00190B01" w:rsidP="001957BC">
      <w:pPr>
        <w:pStyle w:val="a3"/>
        <w:numPr>
          <w:ilvl w:val="0"/>
          <w:numId w:val="5"/>
        </w:numPr>
        <w:spacing w:after="0" w:line="360" w:lineRule="auto"/>
        <w:jc w:val="both"/>
        <w:rPr>
          <w:rFonts w:cs="David"/>
          <w:sz w:val="24"/>
          <w:szCs w:val="24"/>
        </w:rPr>
      </w:pPr>
      <w:r w:rsidRPr="00D675C9">
        <w:rPr>
          <w:rFonts w:cs="David" w:hint="cs"/>
          <w:sz w:val="24"/>
          <w:szCs w:val="24"/>
          <w:rtl/>
        </w:rPr>
        <w:t xml:space="preserve">ממכלול הנתונים עולה כי יש תופעה חריגה בהיקפה של נישואי קטינים בירושלים: גם מהנתונים של בתי הדין </w:t>
      </w:r>
      <w:proofErr w:type="spellStart"/>
      <w:r w:rsidRPr="00D675C9">
        <w:rPr>
          <w:rFonts w:cs="David" w:hint="cs"/>
          <w:sz w:val="24"/>
          <w:szCs w:val="24"/>
          <w:rtl/>
        </w:rPr>
        <w:t>השרעיים</w:t>
      </w:r>
      <w:proofErr w:type="spellEnd"/>
      <w:r w:rsidRPr="00D675C9">
        <w:rPr>
          <w:rFonts w:cs="David" w:hint="cs"/>
          <w:sz w:val="24"/>
          <w:szCs w:val="24"/>
          <w:rtl/>
        </w:rPr>
        <w:t xml:space="preserve"> לשנת 2013 עולה כי היו 204 מקרים של נישואי קטינים</w:t>
      </w:r>
      <w:r w:rsidR="00D675C9" w:rsidRPr="00D675C9">
        <w:rPr>
          <w:rFonts w:cs="David" w:hint="cs"/>
          <w:sz w:val="24"/>
          <w:szCs w:val="24"/>
          <w:rtl/>
        </w:rPr>
        <w:t xml:space="preserve"> בבית הדין </w:t>
      </w:r>
      <w:proofErr w:type="spellStart"/>
      <w:r w:rsidR="00D675C9" w:rsidRPr="00D675C9">
        <w:rPr>
          <w:rFonts w:cs="David" w:hint="cs"/>
          <w:sz w:val="24"/>
          <w:szCs w:val="24"/>
          <w:rtl/>
        </w:rPr>
        <w:t>השרעי</w:t>
      </w:r>
      <w:proofErr w:type="spellEnd"/>
      <w:r w:rsidR="00D675C9" w:rsidRPr="00D675C9">
        <w:rPr>
          <w:rFonts w:cs="David" w:hint="cs"/>
          <w:sz w:val="24"/>
          <w:szCs w:val="24"/>
          <w:rtl/>
        </w:rPr>
        <w:t xml:space="preserve"> בירושלים</w:t>
      </w:r>
      <w:r w:rsidRPr="00D675C9">
        <w:rPr>
          <w:rFonts w:cs="David" w:hint="cs"/>
          <w:sz w:val="24"/>
          <w:szCs w:val="24"/>
          <w:rtl/>
        </w:rPr>
        <w:t>; וגם מהנתונים של משרד הפנים לשנת 2014 עולה כי מבין 522 בקשות לרישום נישואי קטינים בכל הארץ, 333 מתוכם היו במזרח ירושלים. האם הרשויות מודעות לכך? מה נעשה כדי לטפל בתופעה?</w:t>
      </w:r>
    </w:p>
    <w:p w:rsidR="00FC0037" w:rsidRDefault="00FC0037" w:rsidP="001957BC">
      <w:pPr>
        <w:spacing w:after="0" w:line="360" w:lineRule="auto"/>
        <w:ind w:left="360"/>
        <w:jc w:val="both"/>
        <w:rPr>
          <w:rFonts w:cs="David"/>
          <w:color w:val="0070C0"/>
          <w:sz w:val="24"/>
          <w:szCs w:val="24"/>
          <w:rtl/>
        </w:rPr>
      </w:pPr>
    </w:p>
    <w:sectPr w:rsidR="00FC0037" w:rsidSect="00DD65A4">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6C49" w:rsidRDefault="00B06C49" w:rsidP="00CE5775">
      <w:pPr>
        <w:spacing w:after="0" w:line="240" w:lineRule="auto"/>
      </w:pPr>
      <w:r>
        <w:separator/>
      </w:r>
    </w:p>
  </w:endnote>
  <w:endnote w:type="continuationSeparator" w:id="0">
    <w:p w:rsidR="00B06C49" w:rsidRDefault="00B06C49" w:rsidP="00CE57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6C49" w:rsidRDefault="00B06C49" w:rsidP="00CE5775">
      <w:pPr>
        <w:spacing w:after="0" w:line="240" w:lineRule="auto"/>
      </w:pPr>
      <w:r>
        <w:separator/>
      </w:r>
    </w:p>
  </w:footnote>
  <w:footnote w:type="continuationSeparator" w:id="0">
    <w:p w:rsidR="00B06C49" w:rsidRDefault="00B06C49" w:rsidP="00CE5775">
      <w:pPr>
        <w:spacing w:after="0" w:line="240" w:lineRule="auto"/>
      </w:pPr>
      <w:r>
        <w:continuationSeparator/>
      </w:r>
    </w:p>
  </w:footnote>
  <w:footnote w:id="1">
    <w:p w:rsidR="00CA2C70" w:rsidRPr="00166158" w:rsidRDefault="00CA2C70" w:rsidP="00795450">
      <w:pPr>
        <w:pStyle w:val="a4"/>
        <w:jc w:val="both"/>
        <w:rPr>
          <w:rFonts w:cs="David"/>
          <w:rtl/>
        </w:rPr>
      </w:pPr>
      <w:r w:rsidRPr="00166158">
        <w:rPr>
          <w:rStyle w:val="a6"/>
          <w:rFonts w:cs="David"/>
        </w:rPr>
        <w:footnoteRef/>
      </w:r>
      <w:r w:rsidRPr="00166158">
        <w:rPr>
          <w:rFonts w:cs="David"/>
          <w:rtl/>
        </w:rPr>
        <w:t xml:space="preserve"> </w:t>
      </w:r>
      <w:r w:rsidRPr="00166158">
        <w:rPr>
          <w:rFonts w:cs="David" w:hint="cs"/>
          <w:rtl/>
        </w:rPr>
        <w:t>כיום, עומד הסכום על סך של 75,300 שקלים חדשים.</w:t>
      </w:r>
    </w:p>
  </w:footnote>
  <w:footnote w:id="2">
    <w:p w:rsidR="00D67AC1" w:rsidRPr="00166158" w:rsidRDefault="00D67AC1" w:rsidP="00795450">
      <w:pPr>
        <w:pStyle w:val="a4"/>
        <w:jc w:val="both"/>
        <w:rPr>
          <w:rFonts w:cs="David"/>
        </w:rPr>
      </w:pPr>
      <w:r w:rsidRPr="00166158">
        <w:rPr>
          <w:rStyle w:val="a6"/>
          <w:rFonts w:cs="David"/>
        </w:rPr>
        <w:footnoteRef/>
      </w:r>
      <w:r w:rsidRPr="00166158">
        <w:rPr>
          <w:rFonts w:cs="David"/>
          <w:rtl/>
        </w:rPr>
        <w:t xml:space="preserve"> </w:t>
      </w:r>
      <w:r w:rsidRPr="00166158">
        <w:rPr>
          <w:rFonts w:cs="David" w:hint="cs"/>
          <w:rtl/>
        </w:rPr>
        <w:t>זאת, בשל העובדה שהפרקליטות מטפלת בעבירות בתחום המשפחה שיש להן קשר לעבירות אלה (למשל, עבירת הביגמיה), בשל מורכבותן ורגישותן של עבירות לפי חוק גיל הנישואין, וכדי להקנות משנה חשיבות לטיפול בתופעה של נישואי קטינים.</w:t>
      </w:r>
    </w:p>
  </w:footnote>
  <w:footnote w:id="3">
    <w:p w:rsidR="00F03CCE" w:rsidRDefault="00F03CCE" w:rsidP="00F03CCE">
      <w:pPr>
        <w:pStyle w:val="a4"/>
        <w:rPr>
          <w:rtl/>
        </w:rPr>
      </w:pPr>
      <w:r>
        <w:rPr>
          <w:rStyle w:val="a6"/>
        </w:rPr>
        <w:footnoteRef/>
      </w:r>
      <w:r>
        <w:rPr>
          <w:rtl/>
        </w:rPr>
        <w:t xml:space="preserve"> </w:t>
      </w:r>
      <w:r w:rsidRPr="00AC4113">
        <w:rPr>
          <w:rFonts w:cs="David" w:hint="cs"/>
          <w:rtl/>
        </w:rPr>
        <w:t xml:space="preserve">באשר לנתונים של שנת 2015, שאמורים היו להימסר ב-1 במרס 2016 </w:t>
      </w:r>
      <w:r w:rsidRPr="00AC4113">
        <w:rPr>
          <w:rFonts w:cs="David"/>
          <w:rtl/>
        </w:rPr>
        <w:t>–</w:t>
      </w:r>
      <w:r w:rsidRPr="00AC4113">
        <w:rPr>
          <w:rFonts w:cs="David" w:hint="cs"/>
          <w:rtl/>
        </w:rPr>
        <w:t xml:space="preserve"> משרדי הממשלה השונים, למעט המשרד לשירותי דת, טרם מסרו לוועדה נתונים מעודכנים</w:t>
      </w:r>
    </w:p>
  </w:footnote>
  <w:footnote w:id="4">
    <w:p w:rsidR="00795450" w:rsidRPr="00795450" w:rsidRDefault="00795450" w:rsidP="00FA0B43">
      <w:pPr>
        <w:pStyle w:val="a4"/>
        <w:jc w:val="both"/>
        <w:rPr>
          <w:rFonts w:cs="David"/>
          <w:rtl/>
        </w:rPr>
      </w:pPr>
      <w:r w:rsidRPr="00795450">
        <w:rPr>
          <w:rStyle w:val="a6"/>
          <w:rFonts w:cs="David"/>
        </w:rPr>
        <w:footnoteRef/>
      </w:r>
      <w:r w:rsidRPr="00795450">
        <w:rPr>
          <w:rFonts w:cs="David"/>
          <w:rtl/>
        </w:rPr>
        <w:t xml:space="preserve"> </w:t>
      </w:r>
      <w:r w:rsidRPr="00795450">
        <w:rPr>
          <w:rFonts w:cs="David" w:hint="cs"/>
          <w:rtl/>
        </w:rPr>
        <w:t xml:space="preserve">נתון זה, כשלעצמו, אינו הגיוני, וזאת לנוכח הנתונים שהמשטרה עצמה מסרה, ולפיהם הוגשו בסך </w:t>
      </w:r>
      <w:proofErr w:type="spellStart"/>
      <w:r w:rsidRPr="00795450">
        <w:rPr>
          <w:rFonts w:cs="David" w:hint="cs"/>
          <w:rtl/>
        </w:rPr>
        <w:t>הכל</w:t>
      </w:r>
      <w:proofErr w:type="spellEnd"/>
      <w:r w:rsidRPr="00795450">
        <w:rPr>
          <w:rFonts w:cs="David" w:hint="cs"/>
          <w:rtl/>
        </w:rPr>
        <w:t xml:space="preserve"> 37 תלונות בשנת 2014. כיצד, אפוא, יתכן </w:t>
      </w:r>
      <w:r>
        <w:rPr>
          <w:rFonts w:cs="David" w:hint="cs"/>
          <w:rtl/>
        </w:rPr>
        <w:t>ש-</w:t>
      </w:r>
      <w:r w:rsidRPr="00795450">
        <w:rPr>
          <w:rFonts w:cs="David" w:hint="cs"/>
          <w:rtl/>
        </w:rPr>
        <w:t xml:space="preserve"> 54 </w:t>
      </w:r>
      <w:r>
        <w:rPr>
          <w:rFonts w:cs="David" w:hint="cs"/>
          <w:rtl/>
        </w:rPr>
        <w:t>מה</w:t>
      </w:r>
      <w:r w:rsidRPr="00795450">
        <w:rPr>
          <w:rFonts w:cs="David" w:hint="cs"/>
          <w:rtl/>
        </w:rPr>
        <w:t xml:space="preserve">תלונות </w:t>
      </w:r>
      <w:r>
        <w:rPr>
          <w:rFonts w:cs="David" w:hint="cs"/>
          <w:rtl/>
        </w:rPr>
        <w:t xml:space="preserve">הוגשו </w:t>
      </w:r>
      <w:r w:rsidRPr="00795450">
        <w:rPr>
          <w:rFonts w:cs="David" w:hint="cs"/>
          <w:rtl/>
        </w:rPr>
        <w:t xml:space="preserve">על ידי משרד </w:t>
      </w:r>
      <w:r>
        <w:rPr>
          <w:rFonts w:cs="David" w:hint="cs"/>
          <w:rtl/>
        </w:rPr>
        <w:t>הפנים</w:t>
      </w:r>
      <w:r w:rsidRPr="00795450">
        <w:rPr>
          <w:rFonts w:cs="David" w:hint="cs"/>
          <w:rtl/>
        </w:rPr>
        <w:t xml:space="preserve">, אם בסך </w:t>
      </w:r>
      <w:proofErr w:type="spellStart"/>
      <w:r w:rsidRPr="00795450">
        <w:rPr>
          <w:rFonts w:cs="David" w:hint="cs"/>
          <w:rtl/>
        </w:rPr>
        <w:t>הכל</w:t>
      </w:r>
      <w:proofErr w:type="spellEnd"/>
      <w:r w:rsidRPr="00795450">
        <w:rPr>
          <w:rFonts w:cs="David" w:hint="cs"/>
          <w:rtl/>
        </w:rPr>
        <w:t xml:space="preserve"> הוגשו 37 תלונות?</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52A35"/>
    <w:multiLevelType w:val="hybridMultilevel"/>
    <w:tmpl w:val="DB1E9A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0D4F79"/>
    <w:multiLevelType w:val="hybridMultilevel"/>
    <w:tmpl w:val="BC0207A4"/>
    <w:lvl w:ilvl="0" w:tplc="BF280840">
      <w:start w:val="29"/>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62595F"/>
    <w:multiLevelType w:val="hybridMultilevel"/>
    <w:tmpl w:val="58FA0ACA"/>
    <w:lvl w:ilvl="0" w:tplc="E62CA8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B27B1D"/>
    <w:multiLevelType w:val="hybridMultilevel"/>
    <w:tmpl w:val="B80E9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8B6014"/>
    <w:multiLevelType w:val="hybridMultilevel"/>
    <w:tmpl w:val="4CD4CC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DBE19A5"/>
    <w:multiLevelType w:val="hybridMultilevel"/>
    <w:tmpl w:val="1F28BF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7152885"/>
    <w:multiLevelType w:val="hybridMultilevel"/>
    <w:tmpl w:val="5D0E5D6A"/>
    <w:lvl w:ilvl="0" w:tplc="BF280840">
      <w:start w:val="29"/>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1B716F3"/>
    <w:multiLevelType w:val="hybridMultilevel"/>
    <w:tmpl w:val="96B075E2"/>
    <w:lvl w:ilvl="0" w:tplc="29B4615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BB321F9"/>
    <w:multiLevelType w:val="hybridMultilevel"/>
    <w:tmpl w:val="064A98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2"/>
  </w:num>
  <w:num w:numId="4">
    <w:abstractNumId w:val="0"/>
  </w:num>
  <w:num w:numId="5">
    <w:abstractNumId w:val="1"/>
  </w:num>
  <w:num w:numId="6">
    <w:abstractNumId w:val="6"/>
  </w:num>
  <w:num w:numId="7">
    <w:abstractNumId w:val="3"/>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75"/>
    <w:rsid w:val="0008006E"/>
    <w:rsid w:val="00085F83"/>
    <w:rsid w:val="00096C6D"/>
    <w:rsid w:val="000B0E5E"/>
    <w:rsid w:val="000E3AF8"/>
    <w:rsid w:val="00135D3A"/>
    <w:rsid w:val="00166158"/>
    <w:rsid w:val="00175737"/>
    <w:rsid w:val="001863F2"/>
    <w:rsid w:val="00186ECE"/>
    <w:rsid w:val="00187A76"/>
    <w:rsid w:val="00190B01"/>
    <w:rsid w:val="001957BC"/>
    <w:rsid w:val="001A38FC"/>
    <w:rsid w:val="001B379D"/>
    <w:rsid w:val="001C3944"/>
    <w:rsid w:val="001C49A2"/>
    <w:rsid w:val="00203ED0"/>
    <w:rsid w:val="002265CD"/>
    <w:rsid w:val="00226C43"/>
    <w:rsid w:val="00255A45"/>
    <w:rsid w:val="0026106A"/>
    <w:rsid w:val="00265BCF"/>
    <w:rsid w:val="00265F01"/>
    <w:rsid w:val="00286A10"/>
    <w:rsid w:val="002A56A9"/>
    <w:rsid w:val="002F2BE8"/>
    <w:rsid w:val="00305C67"/>
    <w:rsid w:val="00380EB4"/>
    <w:rsid w:val="00392435"/>
    <w:rsid w:val="003C11CA"/>
    <w:rsid w:val="003F40D1"/>
    <w:rsid w:val="003F47FE"/>
    <w:rsid w:val="003F4D88"/>
    <w:rsid w:val="00400FC0"/>
    <w:rsid w:val="00443D38"/>
    <w:rsid w:val="005079C3"/>
    <w:rsid w:val="00520241"/>
    <w:rsid w:val="00532ABE"/>
    <w:rsid w:val="00555733"/>
    <w:rsid w:val="005B598C"/>
    <w:rsid w:val="005C5738"/>
    <w:rsid w:val="005C7D1C"/>
    <w:rsid w:val="005F7A46"/>
    <w:rsid w:val="006050AB"/>
    <w:rsid w:val="00617173"/>
    <w:rsid w:val="00633F3B"/>
    <w:rsid w:val="006366C5"/>
    <w:rsid w:val="00663F7B"/>
    <w:rsid w:val="0067076E"/>
    <w:rsid w:val="006772C6"/>
    <w:rsid w:val="006833CF"/>
    <w:rsid w:val="006E091C"/>
    <w:rsid w:val="006E44B9"/>
    <w:rsid w:val="006E4F8A"/>
    <w:rsid w:val="006F3DFA"/>
    <w:rsid w:val="00725C17"/>
    <w:rsid w:val="007351F8"/>
    <w:rsid w:val="00735A05"/>
    <w:rsid w:val="00740D28"/>
    <w:rsid w:val="00795450"/>
    <w:rsid w:val="007B33DB"/>
    <w:rsid w:val="0081386B"/>
    <w:rsid w:val="00813BEC"/>
    <w:rsid w:val="00846752"/>
    <w:rsid w:val="008631B1"/>
    <w:rsid w:val="008744AE"/>
    <w:rsid w:val="008946DB"/>
    <w:rsid w:val="008A3700"/>
    <w:rsid w:val="008D1F24"/>
    <w:rsid w:val="008F3316"/>
    <w:rsid w:val="008F734E"/>
    <w:rsid w:val="00903A3B"/>
    <w:rsid w:val="00911BE6"/>
    <w:rsid w:val="00935FA3"/>
    <w:rsid w:val="009506C4"/>
    <w:rsid w:val="00956F44"/>
    <w:rsid w:val="009846ED"/>
    <w:rsid w:val="009B1340"/>
    <w:rsid w:val="009C04B9"/>
    <w:rsid w:val="009D2292"/>
    <w:rsid w:val="009D3109"/>
    <w:rsid w:val="009E4B38"/>
    <w:rsid w:val="00A0008C"/>
    <w:rsid w:val="00A043D6"/>
    <w:rsid w:val="00A12353"/>
    <w:rsid w:val="00A138EE"/>
    <w:rsid w:val="00A32CDF"/>
    <w:rsid w:val="00A7415B"/>
    <w:rsid w:val="00A838C5"/>
    <w:rsid w:val="00AB1DD1"/>
    <w:rsid w:val="00AC4113"/>
    <w:rsid w:val="00AC7293"/>
    <w:rsid w:val="00B06C49"/>
    <w:rsid w:val="00B13B85"/>
    <w:rsid w:val="00B506DA"/>
    <w:rsid w:val="00B85F2A"/>
    <w:rsid w:val="00B94EAA"/>
    <w:rsid w:val="00BA64F7"/>
    <w:rsid w:val="00BC271D"/>
    <w:rsid w:val="00BF1F54"/>
    <w:rsid w:val="00C1183F"/>
    <w:rsid w:val="00C172F1"/>
    <w:rsid w:val="00C5457D"/>
    <w:rsid w:val="00C6066C"/>
    <w:rsid w:val="00CA2C70"/>
    <w:rsid w:val="00CA3811"/>
    <w:rsid w:val="00CB34FB"/>
    <w:rsid w:val="00CC44A2"/>
    <w:rsid w:val="00CC63B8"/>
    <w:rsid w:val="00CC65BA"/>
    <w:rsid w:val="00CE0909"/>
    <w:rsid w:val="00CE5775"/>
    <w:rsid w:val="00D43EE0"/>
    <w:rsid w:val="00D675C9"/>
    <w:rsid w:val="00D67AC1"/>
    <w:rsid w:val="00DC7CA8"/>
    <w:rsid w:val="00DD65A4"/>
    <w:rsid w:val="00DF4F0D"/>
    <w:rsid w:val="00E2116D"/>
    <w:rsid w:val="00E22BBD"/>
    <w:rsid w:val="00E43C8C"/>
    <w:rsid w:val="00E44A7B"/>
    <w:rsid w:val="00E52909"/>
    <w:rsid w:val="00E72B07"/>
    <w:rsid w:val="00E844E6"/>
    <w:rsid w:val="00E8611C"/>
    <w:rsid w:val="00EB6D11"/>
    <w:rsid w:val="00EE7D56"/>
    <w:rsid w:val="00EF71A6"/>
    <w:rsid w:val="00F02955"/>
    <w:rsid w:val="00F03CCE"/>
    <w:rsid w:val="00F178DD"/>
    <w:rsid w:val="00F45368"/>
    <w:rsid w:val="00F52932"/>
    <w:rsid w:val="00FA0B43"/>
    <w:rsid w:val="00FC003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708AF2E-9A14-435E-B1F5-F130EDD9A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E5775"/>
    <w:pPr>
      <w:ind w:left="720"/>
      <w:contextualSpacing/>
    </w:pPr>
  </w:style>
  <w:style w:type="paragraph" w:styleId="a4">
    <w:name w:val="footnote text"/>
    <w:basedOn w:val="a"/>
    <w:link w:val="a5"/>
    <w:uiPriority w:val="99"/>
    <w:semiHidden/>
    <w:unhideWhenUsed/>
    <w:rsid w:val="00CE5775"/>
    <w:pPr>
      <w:spacing w:after="0" w:line="240" w:lineRule="auto"/>
    </w:pPr>
    <w:rPr>
      <w:sz w:val="20"/>
      <w:szCs w:val="20"/>
    </w:rPr>
  </w:style>
  <w:style w:type="character" w:customStyle="1" w:styleId="a5">
    <w:name w:val="טקסט הערת שוליים תו"/>
    <w:basedOn w:val="a0"/>
    <w:link w:val="a4"/>
    <w:uiPriority w:val="99"/>
    <w:semiHidden/>
    <w:rsid w:val="00CE5775"/>
    <w:rPr>
      <w:sz w:val="20"/>
      <w:szCs w:val="20"/>
    </w:rPr>
  </w:style>
  <w:style w:type="character" w:styleId="a6">
    <w:name w:val="footnote reference"/>
    <w:basedOn w:val="a0"/>
    <w:uiPriority w:val="99"/>
    <w:semiHidden/>
    <w:unhideWhenUsed/>
    <w:rsid w:val="00CE5775"/>
    <w:rPr>
      <w:vertAlign w:val="superscript"/>
    </w:rPr>
  </w:style>
  <w:style w:type="paragraph" w:customStyle="1" w:styleId="P00">
    <w:name w:val="P00"/>
    <w:rsid w:val="00D67AC1"/>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customStyle="1" w:styleId="P22">
    <w:name w:val="P22"/>
    <w:basedOn w:val="P00"/>
    <w:rsid w:val="00D67AC1"/>
    <w:pPr>
      <w:tabs>
        <w:tab w:val="clear" w:pos="624"/>
        <w:tab w:val="clear" w:pos="1021"/>
      </w:tabs>
      <w:ind w:right="1021"/>
    </w:pPr>
  </w:style>
  <w:style w:type="character" w:customStyle="1" w:styleId="default">
    <w:name w:val="default"/>
    <w:basedOn w:val="a0"/>
    <w:rsid w:val="00D67AC1"/>
    <w:rPr>
      <w:rFonts w:ascii="Times New Roman" w:hAnsi="Times New Roman" w:cs="Times New Roman"/>
      <w:sz w:val="26"/>
      <w:szCs w:val="26"/>
    </w:rPr>
  </w:style>
  <w:style w:type="character" w:customStyle="1" w:styleId="big-number">
    <w:name w:val="big-number"/>
    <w:basedOn w:val="default"/>
    <w:rsid w:val="00D67AC1"/>
    <w:rPr>
      <w:rFonts w:ascii="Times New Roman" w:hAnsi="Times New Roman" w:cs="Times New Roman"/>
      <w:sz w:val="32"/>
      <w:szCs w:val="32"/>
    </w:rPr>
  </w:style>
  <w:style w:type="paragraph" w:customStyle="1" w:styleId="page">
    <w:name w:val="page"/>
    <w:rsid w:val="00D67AC1"/>
    <w:pPr>
      <w:widowControl w:val="0"/>
      <w:autoSpaceDE w:val="0"/>
      <w:autoSpaceDN w:val="0"/>
      <w:bidi/>
      <w:spacing w:after="0" w:line="240" w:lineRule="auto"/>
    </w:pPr>
    <w:rPr>
      <w:rFonts w:ascii="Times New Roman" w:eastAsia="Times New Roman" w:hAnsi="Times New Roman" w:cs="Times New Roman"/>
      <w:noProof/>
      <w:position w:val="4"/>
      <w:sz w:val="20"/>
      <w:lang w:eastAsia="he-IL"/>
    </w:rPr>
  </w:style>
  <w:style w:type="character" w:styleId="Hyperlink">
    <w:name w:val="Hyperlink"/>
    <w:basedOn w:val="a0"/>
    <w:rsid w:val="00D67AC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2D878B8-8C85-45BC-A1C1-DE4C574586AB}"/>
</file>

<file path=customXml/itemProps2.xml><?xml version="1.0" encoding="utf-8"?>
<ds:datastoreItem xmlns:ds="http://schemas.openxmlformats.org/officeDocument/2006/customXml" ds:itemID="{C5755E23-AF39-410E-BE03-5781633DABED}"/>
</file>

<file path=customXml/itemProps3.xml><?xml version="1.0" encoding="utf-8"?>
<ds:datastoreItem xmlns:ds="http://schemas.openxmlformats.org/officeDocument/2006/customXml" ds:itemID="{487CBAC0-A18E-4318-97A3-4236B701F27D}"/>
</file>

<file path=docProps/app.xml><?xml version="1.0" encoding="utf-8"?>
<Properties xmlns="http://schemas.openxmlformats.org/officeDocument/2006/extended-properties" xmlns:vt="http://schemas.openxmlformats.org/officeDocument/2006/docPropsVTypes">
  <Template>Normal</Template>
  <TotalTime>1</TotalTime>
  <Pages>3</Pages>
  <Words>930</Words>
  <Characters>4600</Characters>
  <Application>Microsoft Office Word</Application>
  <DocSecurity>4</DocSecurity>
  <Lines>657</Lines>
  <Paragraphs>184</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5346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רות גורדין</dc:creator>
  <cp:lastModifiedBy>חופית עלפי</cp:lastModifiedBy>
  <cp:revision>2</cp:revision>
  <dcterms:created xsi:type="dcterms:W3CDTF">2016-04-18T07:01:00Z</dcterms:created>
  <dcterms:modified xsi:type="dcterms:W3CDTF">2016-04-18T07:01:00Z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579180</vt:r8>
  </property>
</Properties>
</file>