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470" w:rsidRDefault="001B0470" w:rsidP="001B0470">
      <w:pPr>
        <w:spacing w:after="0" w:line="240" w:lineRule="auto"/>
        <w:jc w:val="right"/>
        <w:rPr>
          <w:rFonts w:ascii="David" w:hAnsi="David" w:cs="David"/>
          <w:rtl/>
        </w:rPr>
      </w:pPr>
      <w:bookmarkStart w:id="0" w:name="_GoBack"/>
      <w:bookmarkEnd w:id="0"/>
      <w:r>
        <w:rPr>
          <w:rFonts w:ascii="David" w:hAnsi="David" w:cs="David" w:hint="cs"/>
          <w:rtl/>
        </w:rPr>
        <w:t>‏‏א</w:t>
      </w:r>
      <w:r>
        <w:rPr>
          <w:rFonts w:ascii="David" w:hAnsi="David" w:cs="David"/>
          <w:rtl/>
        </w:rPr>
        <w:t xml:space="preserve">' </w:t>
      </w:r>
      <w:r>
        <w:rPr>
          <w:rFonts w:ascii="David" w:hAnsi="David" w:cs="David" w:hint="cs"/>
          <w:rtl/>
        </w:rPr>
        <w:t>ב</w:t>
      </w:r>
      <w:r>
        <w:rPr>
          <w:rFonts w:ascii="David" w:hAnsi="David" w:cs="David"/>
          <w:rtl/>
        </w:rPr>
        <w:t>אייר תשע"ו</w:t>
      </w:r>
    </w:p>
    <w:p w:rsidR="001B0470" w:rsidRDefault="001B0470" w:rsidP="001B0470">
      <w:pPr>
        <w:spacing w:after="0" w:line="240" w:lineRule="auto"/>
        <w:jc w:val="right"/>
        <w:rPr>
          <w:rFonts w:cs="David"/>
          <w:u w:val="single"/>
          <w:rtl/>
        </w:rPr>
      </w:pPr>
      <w:r>
        <w:rPr>
          <w:rFonts w:ascii="David" w:hAnsi="David" w:cs="David" w:hint="cs"/>
          <w:rtl/>
        </w:rPr>
        <w:t>‏‏9</w:t>
      </w:r>
      <w:r>
        <w:rPr>
          <w:rFonts w:ascii="David" w:hAnsi="David" w:cs="David"/>
          <w:rtl/>
        </w:rPr>
        <w:t xml:space="preserve"> </w:t>
      </w:r>
      <w:r>
        <w:rPr>
          <w:rFonts w:ascii="David" w:hAnsi="David" w:cs="David" w:hint="cs"/>
          <w:rtl/>
        </w:rPr>
        <w:t>ב</w:t>
      </w:r>
      <w:r>
        <w:rPr>
          <w:rFonts w:ascii="David" w:hAnsi="David" w:cs="David"/>
          <w:rtl/>
        </w:rPr>
        <w:t>מאי 2016</w:t>
      </w:r>
    </w:p>
    <w:p w:rsidR="001B0470" w:rsidRPr="00906D00" w:rsidRDefault="001B0470" w:rsidP="001B0470">
      <w:pPr>
        <w:spacing w:after="0" w:line="240" w:lineRule="auto"/>
        <w:rPr>
          <w:rFonts w:cs="David"/>
          <w:rtl/>
        </w:rPr>
      </w:pPr>
      <w:r w:rsidRPr="00EA65F8">
        <w:rPr>
          <w:rFonts w:cs="David" w:hint="cs"/>
          <w:u w:val="single"/>
          <w:rtl/>
        </w:rPr>
        <w:t>אל</w:t>
      </w:r>
      <w:r>
        <w:rPr>
          <w:rFonts w:cs="David" w:hint="cs"/>
          <w:rtl/>
        </w:rPr>
        <w:t xml:space="preserve">: </w:t>
      </w:r>
      <w:r w:rsidRPr="00906D00">
        <w:rPr>
          <w:rFonts w:cs="David" w:hint="cs"/>
          <w:rtl/>
        </w:rPr>
        <w:t>חברי ועדת החוקה, חוק ומשפט</w:t>
      </w:r>
    </w:p>
    <w:p w:rsidR="001B0470" w:rsidRDefault="001B0470" w:rsidP="001B0470">
      <w:pPr>
        <w:pStyle w:val="a7"/>
        <w:rPr>
          <w:rtl/>
          <w:cs/>
        </w:rPr>
      </w:pPr>
      <w:r w:rsidRPr="00906D00">
        <w:rPr>
          <w:rFonts w:cs="David" w:hint="cs"/>
          <w:u w:val="single"/>
          <w:rtl/>
        </w:rPr>
        <w:t>מאת</w:t>
      </w:r>
      <w:r w:rsidRPr="00906D00">
        <w:rPr>
          <w:rFonts w:cs="David" w:hint="cs"/>
          <w:rtl/>
        </w:rPr>
        <w:t>: הייעוץ המשפטי לוועדה</w:t>
      </w:r>
    </w:p>
    <w:p w:rsidR="005E74FE" w:rsidRDefault="005E74FE" w:rsidP="00297105">
      <w:pPr>
        <w:jc w:val="center"/>
        <w:rPr>
          <w:rFonts w:cs="David"/>
          <w:b/>
          <w:bCs/>
          <w:sz w:val="24"/>
          <w:szCs w:val="24"/>
          <w:u w:val="single"/>
          <w:rtl/>
        </w:rPr>
      </w:pPr>
    </w:p>
    <w:p w:rsidR="0017561D" w:rsidRPr="0017561D" w:rsidRDefault="002C3CBF" w:rsidP="00297105">
      <w:pPr>
        <w:jc w:val="center"/>
        <w:rPr>
          <w:rFonts w:cs="David"/>
          <w:b/>
          <w:bCs/>
          <w:sz w:val="24"/>
          <w:szCs w:val="24"/>
          <w:u w:val="single"/>
          <w:rtl/>
        </w:rPr>
      </w:pPr>
      <w:r>
        <w:rPr>
          <w:rFonts w:cs="David" w:hint="cs"/>
          <w:b/>
          <w:bCs/>
          <w:sz w:val="24"/>
          <w:szCs w:val="24"/>
          <w:u w:val="single"/>
          <w:rtl/>
        </w:rPr>
        <w:t>רקע לדיון בוועדת חוקה חוק ומשפט ביום 16.5.</w:t>
      </w:r>
      <w:r w:rsidR="00297105">
        <w:rPr>
          <w:rFonts w:cs="David" w:hint="cs"/>
          <w:b/>
          <w:bCs/>
          <w:sz w:val="24"/>
          <w:szCs w:val="24"/>
          <w:u w:val="single"/>
          <w:rtl/>
        </w:rPr>
        <w:t>2016</w:t>
      </w:r>
      <w:r>
        <w:rPr>
          <w:rFonts w:cs="David" w:hint="cs"/>
          <w:b/>
          <w:bCs/>
          <w:sz w:val="24"/>
          <w:szCs w:val="24"/>
          <w:u w:val="single"/>
          <w:rtl/>
        </w:rPr>
        <w:t xml:space="preserve"> ב</w:t>
      </w:r>
      <w:r w:rsidR="0017561D" w:rsidRPr="0017561D">
        <w:rPr>
          <w:rFonts w:cs="David" w:hint="cs"/>
          <w:b/>
          <w:bCs/>
          <w:sz w:val="24"/>
          <w:szCs w:val="24"/>
          <w:u w:val="single"/>
          <w:rtl/>
        </w:rPr>
        <w:t>הצעת חוק</w:t>
      </w:r>
      <w:r w:rsidR="0017561D">
        <w:rPr>
          <w:rFonts w:cs="David" w:hint="cs"/>
          <w:b/>
          <w:bCs/>
          <w:sz w:val="24"/>
          <w:szCs w:val="24"/>
          <w:u w:val="single"/>
          <w:rtl/>
        </w:rPr>
        <w:t xml:space="preserve"> העונשין (תיקון מס' 126) (עבודת שירות </w:t>
      </w:r>
      <w:r w:rsidR="0017561D">
        <w:rPr>
          <w:rFonts w:cs="David"/>
          <w:b/>
          <w:bCs/>
          <w:sz w:val="24"/>
          <w:szCs w:val="24"/>
          <w:u w:val="single"/>
          <w:rtl/>
        </w:rPr>
        <w:t>–</w:t>
      </w:r>
      <w:r w:rsidR="0017561D">
        <w:rPr>
          <w:rFonts w:cs="David" w:hint="cs"/>
          <w:b/>
          <w:bCs/>
          <w:sz w:val="24"/>
          <w:szCs w:val="24"/>
          <w:u w:val="single"/>
          <w:rtl/>
        </w:rPr>
        <w:t xml:space="preserve"> בדיקות סמים), התשע"ו-2016</w:t>
      </w:r>
      <w:r w:rsidR="001B41DA">
        <w:rPr>
          <w:rFonts w:cs="David" w:hint="cs"/>
          <w:b/>
          <w:bCs/>
          <w:sz w:val="24"/>
          <w:szCs w:val="24"/>
          <w:u w:val="single"/>
          <w:rtl/>
        </w:rPr>
        <w:t xml:space="preserve"> </w:t>
      </w:r>
    </w:p>
    <w:p w:rsidR="001B0470" w:rsidRDefault="001B0470" w:rsidP="00EF4DD8">
      <w:pPr>
        <w:jc w:val="both"/>
        <w:rPr>
          <w:rFonts w:cs="David"/>
          <w:sz w:val="24"/>
          <w:szCs w:val="24"/>
          <w:rtl/>
        </w:rPr>
      </w:pPr>
    </w:p>
    <w:p w:rsidR="00297105" w:rsidRDefault="00297105" w:rsidP="00EF4DD8">
      <w:pPr>
        <w:jc w:val="both"/>
        <w:rPr>
          <w:rFonts w:cs="David"/>
          <w:sz w:val="24"/>
          <w:szCs w:val="24"/>
          <w:rtl/>
        </w:rPr>
      </w:pPr>
      <w:r>
        <w:rPr>
          <w:rFonts w:cs="David" w:hint="cs"/>
          <w:sz w:val="24"/>
          <w:szCs w:val="24"/>
          <w:rtl/>
        </w:rPr>
        <w:t xml:space="preserve">הצעת החוק </w:t>
      </w:r>
      <w:r w:rsidR="00EF4DD8">
        <w:rPr>
          <w:rFonts w:cs="David" w:hint="cs"/>
          <w:sz w:val="24"/>
          <w:szCs w:val="24"/>
          <w:rtl/>
        </w:rPr>
        <w:t>שבכותרת</w:t>
      </w:r>
      <w:r>
        <w:rPr>
          <w:rFonts w:cs="David" w:hint="cs"/>
          <w:sz w:val="24"/>
          <w:szCs w:val="24"/>
          <w:rtl/>
        </w:rPr>
        <w:t xml:space="preserve"> היא הצעת חוק ממשלתית, שעברה קריאה ראשונה ביום 29.3.2016 ומונחת כעת על שולחן הוועדה להכנה לקריאה שנייה ושלישית. </w:t>
      </w:r>
    </w:p>
    <w:p w:rsidR="00297105" w:rsidRDefault="00297105" w:rsidP="001B0C87">
      <w:pPr>
        <w:jc w:val="both"/>
        <w:rPr>
          <w:rFonts w:cs="David"/>
          <w:sz w:val="24"/>
          <w:szCs w:val="24"/>
          <w:rtl/>
        </w:rPr>
      </w:pPr>
      <w:r>
        <w:rPr>
          <w:rFonts w:cs="David" w:hint="cs"/>
          <w:sz w:val="24"/>
          <w:szCs w:val="24"/>
          <w:rtl/>
        </w:rPr>
        <w:t xml:space="preserve">התיקון המוצע עוסק בשני עניינים שונים. </w:t>
      </w:r>
      <w:r w:rsidRPr="005F7A61">
        <w:rPr>
          <w:rFonts w:cs="David" w:hint="cs"/>
          <w:b/>
          <w:bCs/>
          <w:sz w:val="24"/>
          <w:szCs w:val="24"/>
          <w:rtl/>
        </w:rPr>
        <w:t>האחד</w:t>
      </w:r>
      <w:r>
        <w:rPr>
          <w:rFonts w:cs="David" w:hint="cs"/>
          <w:sz w:val="24"/>
          <w:szCs w:val="24"/>
          <w:rtl/>
        </w:rPr>
        <w:t xml:space="preserve"> </w:t>
      </w:r>
      <w:r>
        <w:rPr>
          <w:rFonts w:cs="David"/>
          <w:sz w:val="24"/>
          <w:szCs w:val="24"/>
          <w:rtl/>
        </w:rPr>
        <w:t>–</w:t>
      </w:r>
      <w:r>
        <w:rPr>
          <w:rFonts w:cs="David" w:hint="cs"/>
          <w:sz w:val="24"/>
          <w:szCs w:val="24"/>
          <w:rtl/>
        </w:rPr>
        <w:t xml:space="preserve"> הענקת סמכות לממונה על עבודות שירות (קצין בשירות בתי הסוהר שממונה על ידי השר לביטחון פנים) להורות על לקיחת דגימת שתן מנאשם </w:t>
      </w:r>
      <w:r w:rsidR="001B0C87">
        <w:rPr>
          <w:rFonts w:cs="David" w:hint="cs"/>
          <w:sz w:val="24"/>
          <w:szCs w:val="24"/>
          <w:rtl/>
        </w:rPr>
        <w:t>וממי שנידון לעבודות שירות</w:t>
      </w:r>
      <w:r>
        <w:rPr>
          <w:rFonts w:cs="David" w:hint="cs"/>
          <w:sz w:val="24"/>
          <w:szCs w:val="24"/>
          <w:rtl/>
        </w:rPr>
        <w:t xml:space="preserve"> </w:t>
      </w:r>
      <w:r w:rsidR="004B036D">
        <w:rPr>
          <w:rFonts w:cs="David" w:hint="cs"/>
          <w:sz w:val="24"/>
          <w:szCs w:val="24"/>
          <w:rtl/>
        </w:rPr>
        <w:t>ל</w:t>
      </w:r>
      <w:r>
        <w:rPr>
          <w:rFonts w:cs="David" w:hint="cs"/>
          <w:sz w:val="24"/>
          <w:szCs w:val="24"/>
          <w:rtl/>
        </w:rPr>
        <w:t>בדיקת</w:t>
      </w:r>
      <w:r w:rsidR="004B036D">
        <w:rPr>
          <w:rFonts w:cs="David" w:hint="cs"/>
          <w:sz w:val="24"/>
          <w:szCs w:val="24"/>
          <w:rtl/>
        </w:rPr>
        <w:t xml:space="preserve"> שימוש</w:t>
      </w:r>
      <w:r>
        <w:rPr>
          <w:rFonts w:cs="David" w:hint="cs"/>
          <w:sz w:val="24"/>
          <w:szCs w:val="24"/>
          <w:rtl/>
        </w:rPr>
        <w:t xml:space="preserve"> סמים. </w:t>
      </w:r>
      <w:r w:rsidRPr="005F7A61">
        <w:rPr>
          <w:rFonts w:cs="David" w:hint="cs"/>
          <w:b/>
          <w:bCs/>
          <w:sz w:val="24"/>
          <w:szCs w:val="24"/>
          <w:rtl/>
        </w:rPr>
        <w:t>השני</w:t>
      </w:r>
      <w:r>
        <w:rPr>
          <w:rFonts w:cs="David" w:hint="cs"/>
          <w:sz w:val="24"/>
          <w:szCs w:val="24"/>
          <w:rtl/>
        </w:rPr>
        <w:t xml:space="preserve"> </w:t>
      </w:r>
      <w:r>
        <w:rPr>
          <w:rFonts w:cs="David"/>
          <w:sz w:val="24"/>
          <w:szCs w:val="24"/>
          <w:rtl/>
        </w:rPr>
        <w:t>–</w:t>
      </w:r>
      <w:r>
        <w:rPr>
          <w:rFonts w:cs="David" w:hint="cs"/>
          <w:sz w:val="24"/>
          <w:szCs w:val="24"/>
          <w:rtl/>
        </w:rPr>
        <w:t xml:space="preserve"> הרחבת סמכות בית המשפט להורות על הפסקה של עבודת שירות גם לשלב </w:t>
      </w:r>
      <w:r w:rsidR="00E67902">
        <w:rPr>
          <w:rFonts w:cs="David" w:hint="cs"/>
          <w:sz w:val="24"/>
          <w:szCs w:val="24"/>
          <w:rtl/>
        </w:rPr>
        <w:t>ש</w:t>
      </w:r>
      <w:r w:rsidR="004B036D">
        <w:rPr>
          <w:rFonts w:cs="David" w:hint="cs"/>
          <w:sz w:val="24"/>
          <w:szCs w:val="24"/>
          <w:rtl/>
        </w:rPr>
        <w:t xml:space="preserve">אחרי מתן גזר הדין </w:t>
      </w:r>
      <w:r w:rsidR="003D0E69">
        <w:rPr>
          <w:rFonts w:cs="David" w:hint="cs"/>
          <w:sz w:val="24"/>
          <w:szCs w:val="24"/>
          <w:rtl/>
        </w:rPr>
        <w:t xml:space="preserve">בעבירה הנוספת </w:t>
      </w:r>
      <w:r w:rsidR="004B036D">
        <w:rPr>
          <w:rFonts w:cs="David" w:hint="cs"/>
          <w:sz w:val="24"/>
          <w:szCs w:val="24"/>
          <w:rtl/>
        </w:rPr>
        <w:t>ו</w:t>
      </w:r>
      <w:r>
        <w:rPr>
          <w:rFonts w:cs="David" w:hint="cs"/>
          <w:sz w:val="24"/>
          <w:szCs w:val="24"/>
          <w:rtl/>
        </w:rPr>
        <w:t>לפני המועד שנקבע לתחילת ביצוע עבודת השירות.</w:t>
      </w:r>
    </w:p>
    <w:p w:rsidR="001B0470" w:rsidRDefault="001B0470" w:rsidP="00B51F7E">
      <w:pPr>
        <w:jc w:val="both"/>
        <w:rPr>
          <w:rFonts w:cs="David"/>
          <w:b/>
          <w:bCs/>
          <w:sz w:val="24"/>
          <w:szCs w:val="24"/>
          <w:u w:val="single"/>
          <w:rtl/>
        </w:rPr>
      </w:pPr>
    </w:p>
    <w:p w:rsidR="00E536AB" w:rsidRPr="005F7A61" w:rsidRDefault="00297105" w:rsidP="00B51F7E">
      <w:pPr>
        <w:jc w:val="both"/>
        <w:rPr>
          <w:rFonts w:cs="David"/>
          <w:b/>
          <w:bCs/>
          <w:sz w:val="24"/>
          <w:szCs w:val="24"/>
          <w:u w:val="single"/>
          <w:rtl/>
        </w:rPr>
      </w:pPr>
      <w:r w:rsidRPr="005F7A61">
        <w:rPr>
          <w:rFonts w:cs="David" w:hint="cs"/>
          <w:b/>
          <w:bCs/>
          <w:sz w:val="24"/>
          <w:szCs w:val="24"/>
          <w:u w:val="single"/>
          <w:rtl/>
        </w:rPr>
        <w:t xml:space="preserve">רקע </w:t>
      </w:r>
      <w:r w:rsidR="00E536AB" w:rsidRPr="005F7A61">
        <w:rPr>
          <w:rFonts w:cs="David" w:hint="cs"/>
          <w:b/>
          <w:bCs/>
          <w:sz w:val="24"/>
          <w:szCs w:val="24"/>
          <w:u w:val="single"/>
          <w:rtl/>
        </w:rPr>
        <w:t>כללי</w:t>
      </w:r>
    </w:p>
    <w:p w:rsidR="00253FDA" w:rsidRDefault="004B036D" w:rsidP="004B036D">
      <w:pPr>
        <w:jc w:val="both"/>
        <w:rPr>
          <w:rFonts w:cs="David"/>
          <w:sz w:val="24"/>
          <w:szCs w:val="24"/>
          <w:rtl/>
        </w:rPr>
      </w:pPr>
      <w:r>
        <w:rPr>
          <w:rFonts w:cs="David" w:hint="cs"/>
          <w:sz w:val="24"/>
          <w:szCs w:val="24"/>
          <w:rtl/>
        </w:rPr>
        <w:t>לפי</w:t>
      </w:r>
      <w:r w:rsidR="00036214">
        <w:rPr>
          <w:rFonts w:cs="David" w:hint="cs"/>
          <w:sz w:val="24"/>
          <w:szCs w:val="24"/>
          <w:rtl/>
        </w:rPr>
        <w:t xml:space="preserve"> </w:t>
      </w:r>
      <w:r w:rsidR="006A7F81" w:rsidRPr="00C42734">
        <w:rPr>
          <w:rFonts w:cs="David" w:hint="cs"/>
          <w:sz w:val="24"/>
          <w:szCs w:val="24"/>
          <w:rtl/>
        </w:rPr>
        <w:t xml:space="preserve">סימן ב1 בפרק ו' לחוק העונשין שעניינו "דרכי ענישה" </w:t>
      </w:r>
      <w:r>
        <w:rPr>
          <w:rFonts w:cs="David" w:hint="cs"/>
          <w:sz w:val="24"/>
          <w:szCs w:val="24"/>
          <w:rtl/>
        </w:rPr>
        <w:t>בית משפט</w:t>
      </w:r>
      <w:r w:rsidR="006A7F81" w:rsidRPr="00C42734">
        <w:rPr>
          <w:rFonts w:cs="David" w:hint="cs"/>
          <w:sz w:val="24"/>
          <w:szCs w:val="24"/>
          <w:rtl/>
        </w:rPr>
        <w:t xml:space="preserve"> שגזר על נאשם מאסר בפועל לתקופה שאינה עולה על </w:t>
      </w:r>
      <w:r w:rsidR="006A7F81">
        <w:rPr>
          <w:rFonts w:cs="David" w:hint="cs"/>
          <w:sz w:val="24"/>
          <w:szCs w:val="24"/>
          <w:rtl/>
        </w:rPr>
        <w:t>6</w:t>
      </w:r>
      <w:r w:rsidR="006A7F81" w:rsidRPr="00C42734">
        <w:rPr>
          <w:rFonts w:cs="David" w:hint="cs"/>
          <w:sz w:val="24"/>
          <w:szCs w:val="24"/>
          <w:rtl/>
        </w:rPr>
        <w:t xml:space="preserve"> חודשים </w:t>
      </w:r>
      <w:r>
        <w:rPr>
          <w:rFonts w:cs="David" w:hint="cs"/>
          <w:sz w:val="24"/>
          <w:szCs w:val="24"/>
          <w:rtl/>
        </w:rPr>
        <w:t>רשאי להחליט שעונש המאסר ירוצה בעבוד</w:t>
      </w:r>
      <w:r w:rsidR="006A7F81" w:rsidRPr="00C42734">
        <w:rPr>
          <w:rFonts w:cs="David" w:hint="cs"/>
          <w:sz w:val="24"/>
          <w:szCs w:val="24"/>
          <w:rtl/>
        </w:rPr>
        <w:t xml:space="preserve">ת שירות. </w:t>
      </w:r>
    </w:p>
    <w:p w:rsidR="00036214" w:rsidRDefault="006A7F81" w:rsidP="004B036D">
      <w:pPr>
        <w:jc w:val="both"/>
        <w:rPr>
          <w:rFonts w:cs="David"/>
          <w:sz w:val="24"/>
          <w:szCs w:val="24"/>
          <w:rtl/>
        </w:rPr>
      </w:pPr>
      <w:r w:rsidRPr="006A7F81">
        <w:rPr>
          <w:rFonts w:cs="David" w:hint="cs"/>
          <w:sz w:val="24"/>
          <w:szCs w:val="24"/>
          <w:rtl/>
        </w:rPr>
        <w:t xml:space="preserve">עבודת שירות אינה סוג נוסף של עונש, אלא </w:t>
      </w:r>
      <w:r w:rsidRPr="00DF38A5">
        <w:rPr>
          <w:rFonts w:cs="David" w:hint="cs"/>
          <w:sz w:val="24"/>
          <w:szCs w:val="24"/>
          <w:rtl/>
        </w:rPr>
        <w:t>צורה של נשיאת עונש המאסר</w:t>
      </w:r>
      <w:r w:rsidRPr="006A7F81">
        <w:rPr>
          <w:rFonts w:cs="David" w:hint="cs"/>
          <w:sz w:val="24"/>
          <w:szCs w:val="24"/>
          <w:rtl/>
        </w:rPr>
        <w:t xml:space="preserve">. </w:t>
      </w:r>
      <w:r w:rsidR="002F0818" w:rsidRPr="006A7F81">
        <w:rPr>
          <w:rFonts w:cs="David" w:hint="cs"/>
          <w:sz w:val="24"/>
          <w:szCs w:val="24"/>
          <w:rtl/>
        </w:rPr>
        <w:t xml:space="preserve">מאסר בעבודות שירות </w:t>
      </w:r>
      <w:r w:rsidR="004B036D">
        <w:rPr>
          <w:rFonts w:cs="David" w:hint="cs"/>
          <w:sz w:val="24"/>
          <w:szCs w:val="24"/>
          <w:rtl/>
        </w:rPr>
        <w:t>הוא</w:t>
      </w:r>
      <w:r w:rsidR="002F0818" w:rsidRPr="006A7F81">
        <w:rPr>
          <w:rFonts w:cs="David" w:hint="cs"/>
          <w:sz w:val="24"/>
          <w:szCs w:val="24"/>
          <w:rtl/>
        </w:rPr>
        <w:t xml:space="preserve"> חלופה עונשית שתכליתה לאזן בין הצורך להטיל על נאשם עונש מאסר בגין עבירה שעבר, לבין </w:t>
      </w:r>
      <w:r w:rsidR="002F0818">
        <w:rPr>
          <w:rFonts w:cs="David" w:hint="cs"/>
          <w:sz w:val="24"/>
          <w:szCs w:val="24"/>
          <w:rtl/>
        </w:rPr>
        <w:t>הרצון</w:t>
      </w:r>
      <w:r w:rsidR="002F0818" w:rsidRPr="006A7F81">
        <w:rPr>
          <w:rFonts w:cs="David" w:hint="cs"/>
          <w:sz w:val="24"/>
          <w:szCs w:val="24"/>
          <w:rtl/>
        </w:rPr>
        <w:t xml:space="preserve"> למנוע בנסיבות מסוימות, תוצאות קשות של מאסר בפועל, מקום שניתן להשיג את מטרת הענישה בדרך </w:t>
      </w:r>
      <w:r w:rsidR="002F0818">
        <w:rPr>
          <w:rFonts w:cs="David" w:hint="cs"/>
          <w:sz w:val="24"/>
          <w:szCs w:val="24"/>
          <w:rtl/>
        </w:rPr>
        <w:t>מתונה שפגיעתה בנאשם תהיה פחותה.</w:t>
      </w:r>
      <w:r w:rsidR="00253FDA">
        <w:rPr>
          <w:rFonts w:cs="David" w:hint="cs"/>
          <w:sz w:val="24"/>
          <w:szCs w:val="24"/>
          <w:rtl/>
        </w:rPr>
        <w:t xml:space="preserve"> </w:t>
      </w:r>
      <w:r w:rsidR="00DF38A5">
        <w:rPr>
          <w:rFonts w:cs="David" w:hint="cs"/>
          <w:sz w:val="24"/>
          <w:szCs w:val="24"/>
          <w:rtl/>
        </w:rPr>
        <w:t xml:space="preserve">נהוג לומר כי התכלית שביסוד ריצוי מאסר בעבודות שירות היא שיקומית בעיקרה. </w:t>
      </w:r>
      <w:r w:rsidRPr="00DF38A5">
        <w:rPr>
          <w:rFonts w:cs="David" w:hint="cs"/>
          <w:sz w:val="24"/>
          <w:szCs w:val="24"/>
          <w:rtl/>
        </w:rPr>
        <w:t>הטלת מאסר בעבודות שירות נתפסת כפריבילגיה המוענקת לנאשם</w:t>
      </w:r>
      <w:r w:rsidR="00DF38A5" w:rsidRPr="00DF38A5">
        <w:rPr>
          <w:rFonts w:cs="David" w:hint="cs"/>
          <w:sz w:val="24"/>
          <w:szCs w:val="24"/>
          <w:rtl/>
        </w:rPr>
        <w:t xml:space="preserve">, המאפשרת לו לשנות מדרכו הרעה. </w:t>
      </w:r>
      <w:r w:rsidR="00DF38A5">
        <w:rPr>
          <w:rFonts w:cs="David" w:hint="cs"/>
          <w:sz w:val="24"/>
          <w:szCs w:val="24"/>
          <w:rtl/>
        </w:rPr>
        <w:t xml:space="preserve">לצד זאת, </w:t>
      </w:r>
      <w:r w:rsidR="00036214">
        <w:rPr>
          <w:rFonts w:cs="David" w:hint="cs"/>
          <w:sz w:val="24"/>
          <w:szCs w:val="24"/>
          <w:rtl/>
        </w:rPr>
        <w:t xml:space="preserve">נאשם שמורשע בשנית בעבירה פלילית </w:t>
      </w:r>
      <w:r w:rsidR="004B036D">
        <w:rPr>
          <w:rFonts w:cs="David" w:hint="cs"/>
          <w:sz w:val="24"/>
          <w:szCs w:val="24"/>
          <w:rtl/>
        </w:rPr>
        <w:t xml:space="preserve">ונידון בשלה לעונש מאסר </w:t>
      </w:r>
      <w:r w:rsidR="00036214">
        <w:rPr>
          <w:rFonts w:cs="David" w:hint="cs"/>
          <w:sz w:val="24"/>
          <w:szCs w:val="24"/>
          <w:rtl/>
        </w:rPr>
        <w:t>מפר בכך את האמון שניתן בו מצד מערכת אכיפת החוק</w:t>
      </w:r>
      <w:r w:rsidR="004B036D">
        <w:rPr>
          <w:rFonts w:cs="David" w:hint="cs"/>
          <w:sz w:val="24"/>
          <w:szCs w:val="24"/>
          <w:rtl/>
        </w:rPr>
        <w:t>,</w:t>
      </w:r>
      <w:r w:rsidR="00036214">
        <w:rPr>
          <w:rFonts w:cs="David" w:hint="cs"/>
          <w:sz w:val="24"/>
          <w:szCs w:val="24"/>
          <w:rtl/>
        </w:rPr>
        <w:t xml:space="preserve"> </w:t>
      </w:r>
      <w:r w:rsidR="004B036D">
        <w:rPr>
          <w:rFonts w:cs="David" w:hint="cs"/>
          <w:sz w:val="24"/>
          <w:szCs w:val="24"/>
          <w:rtl/>
        </w:rPr>
        <w:t xml:space="preserve">ועל כן </w:t>
      </w:r>
      <w:r w:rsidR="00036214">
        <w:rPr>
          <w:rFonts w:cs="David" w:hint="cs"/>
          <w:sz w:val="24"/>
          <w:szCs w:val="24"/>
          <w:rtl/>
        </w:rPr>
        <w:t>צפוי להתייחסות עונשית מחמירה של ביטול עבודת השירות ונשיאת שני עונשי המאסר במצטבר.</w:t>
      </w:r>
    </w:p>
    <w:p w:rsidR="00B51F7E" w:rsidRDefault="00B51F7E" w:rsidP="007D7556">
      <w:pPr>
        <w:jc w:val="both"/>
        <w:rPr>
          <w:rFonts w:cs="David"/>
          <w:sz w:val="24"/>
          <w:szCs w:val="24"/>
          <w:rtl/>
        </w:rPr>
      </w:pPr>
      <w:r w:rsidRPr="00B51F7E">
        <w:rPr>
          <w:rFonts w:cs="David" w:hint="cs"/>
          <w:sz w:val="24"/>
          <w:szCs w:val="24"/>
          <w:rtl/>
        </w:rPr>
        <w:t xml:space="preserve">הענישה בעבודות שירות מיושמת באמצעות </w:t>
      </w:r>
      <w:r w:rsidR="007D7556">
        <w:rPr>
          <w:rFonts w:cs="David" w:hint="cs"/>
          <w:sz w:val="24"/>
          <w:szCs w:val="24"/>
          <w:rtl/>
        </w:rPr>
        <w:t>השמת</w:t>
      </w:r>
      <w:r w:rsidRPr="00B51F7E">
        <w:rPr>
          <w:rFonts w:cs="David" w:hint="cs"/>
          <w:sz w:val="24"/>
          <w:szCs w:val="24"/>
          <w:rtl/>
        </w:rPr>
        <w:t xml:space="preserve"> עובדי שירות במוסדות ללא מטרות רווח, בהם מוסדות פרטיים ומוסדות מדינה. מדובר בדרך כלל </w:t>
      </w:r>
      <w:r w:rsidR="00036214">
        <w:rPr>
          <w:rFonts w:cs="David" w:hint="cs"/>
          <w:sz w:val="24"/>
          <w:szCs w:val="24"/>
          <w:rtl/>
        </w:rPr>
        <w:t>ב</w:t>
      </w:r>
      <w:r w:rsidRPr="00B51F7E">
        <w:rPr>
          <w:rFonts w:cs="David" w:hint="cs"/>
          <w:sz w:val="24"/>
          <w:szCs w:val="24"/>
          <w:rtl/>
        </w:rPr>
        <w:t>מסגרות פתוחות ונגישות לכל אדם כגון</w:t>
      </w:r>
      <w:r w:rsidR="00036214">
        <w:rPr>
          <w:rFonts w:cs="David" w:hint="cs"/>
          <w:sz w:val="24"/>
          <w:szCs w:val="24"/>
          <w:rtl/>
        </w:rPr>
        <w:t>:</w:t>
      </w:r>
      <w:r w:rsidRPr="00B51F7E">
        <w:rPr>
          <w:rFonts w:cs="David" w:hint="cs"/>
          <w:sz w:val="24"/>
          <w:szCs w:val="24"/>
          <w:rtl/>
        </w:rPr>
        <w:t xml:space="preserve"> בתי חולים, בתי זקנים, בתי תמחוי, בתי ספר, עיריות ומועצות, מרכזי קליטה, מתנ"סים, תחנות משטרה, שירות בתי הסוהר ועוד. </w:t>
      </w:r>
    </w:p>
    <w:p w:rsidR="00B50F77" w:rsidRPr="00B51F7E" w:rsidRDefault="00B50F77" w:rsidP="00B50F77">
      <w:pPr>
        <w:jc w:val="both"/>
        <w:rPr>
          <w:rFonts w:cs="David"/>
          <w:sz w:val="24"/>
          <w:szCs w:val="24"/>
          <w:rtl/>
        </w:rPr>
      </w:pPr>
      <w:r>
        <w:rPr>
          <w:rFonts w:cs="David" w:hint="cs"/>
          <w:sz w:val="24"/>
          <w:szCs w:val="24"/>
          <w:rtl/>
        </w:rPr>
        <w:t xml:space="preserve">לפי החוק, עובדי שירות אינם מקבלים שכר (אין חובה אף לספק להם ארוחה או החזר הוצאות נסיעה למקום עבודת השירות), ולדברי הממונה על עבודות השירות הדבר מעלה קשיים לא מבוטלים עבור עובדי שירות שמצבם הכלכלי אינו משופר. </w:t>
      </w:r>
    </w:p>
    <w:p w:rsidR="00787BCC" w:rsidRDefault="00C55946" w:rsidP="001C0772">
      <w:pPr>
        <w:jc w:val="both"/>
        <w:rPr>
          <w:rFonts w:cs="David"/>
          <w:sz w:val="24"/>
          <w:szCs w:val="24"/>
          <w:rtl/>
        </w:rPr>
      </w:pPr>
      <w:r>
        <w:rPr>
          <w:rFonts w:cs="David" w:hint="cs"/>
          <w:sz w:val="24"/>
          <w:szCs w:val="24"/>
          <w:rtl/>
        </w:rPr>
        <w:t xml:space="preserve">משיחה עם </w:t>
      </w:r>
      <w:r w:rsidR="00036214">
        <w:rPr>
          <w:rFonts w:cs="David" w:hint="cs"/>
          <w:sz w:val="24"/>
          <w:szCs w:val="24"/>
          <w:rtl/>
        </w:rPr>
        <w:t xml:space="preserve">הממונה על עבודות שירות עולה, כי </w:t>
      </w:r>
      <w:r>
        <w:rPr>
          <w:rFonts w:cs="David" w:hint="cs"/>
          <w:sz w:val="24"/>
          <w:szCs w:val="24"/>
          <w:rtl/>
        </w:rPr>
        <w:t xml:space="preserve">בכל רגע נתון </w:t>
      </w:r>
      <w:r w:rsidR="001C0772">
        <w:rPr>
          <w:rFonts w:cs="David" w:hint="cs"/>
          <w:sz w:val="24"/>
          <w:szCs w:val="24"/>
          <w:rtl/>
        </w:rPr>
        <w:t>יש בין 2,000 ל-2,500 עובדי שירות תחת פיקוחם, שעובדים בכ-400 מקומות עבודה</w:t>
      </w:r>
      <w:r w:rsidR="00B51F7E" w:rsidRPr="00B51F7E">
        <w:rPr>
          <w:rFonts w:cs="David" w:hint="cs"/>
          <w:sz w:val="24"/>
          <w:szCs w:val="24"/>
          <w:rtl/>
        </w:rPr>
        <w:t xml:space="preserve">. </w:t>
      </w:r>
    </w:p>
    <w:p w:rsidR="00662129" w:rsidRPr="00B51F7E" w:rsidRDefault="00662129" w:rsidP="00656E7B">
      <w:pPr>
        <w:jc w:val="both"/>
        <w:rPr>
          <w:rFonts w:cs="David"/>
          <w:sz w:val="24"/>
          <w:szCs w:val="24"/>
        </w:rPr>
      </w:pPr>
    </w:p>
    <w:p w:rsidR="002D5442" w:rsidRPr="005F7A61" w:rsidRDefault="0059180B" w:rsidP="00B51F7E">
      <w:pPr>
        <w:jc w:val="both"/>
        <w:rPr>
          <w:rFonts w:cs="David"/>
          <w:b/>
          <w:bCs/>
          <w:sz w:val="24"/>
          <w:szCs w:val="24"/>
          <w:u w:val="single"/>
          <w:rtl/>
        </w:rPr>
      </w:pPr>
      <w:r w:rsidRPr="005F7A61">
        <w:rPr>
          <w:rFonts w:cs="David" w:hint="cs"/>
          <w:b/>
          <w:bCs/>
          <w:sz w:val="24"/>
          <w:szCs w:val="24"/>
          <w:u w:val="single"/>
          <w:rtl/>
        </w:rPr>
        <w:t xml:space="preserve">דגימת שתן לבדיקת </w:t>
      </w:r>
      <w:r w:rsidR="00E536AB" w:rsidRPr="005F7A61">
        <w:rPr>
          <w:rFonts w:cs="David" w:hint="cs"/>
          <w:b/>
          <w:bCs/>
          <w:sz w:val="24"/>
          <w:szCs w:val="24"/>
          <w:u w:val="single"/>
          <w:rtl/>
        </w:rPr>
        <w:t>שימוש בסמים</w:t>
      </w:r>
    </w:p>
    <w:p w:rsidR="00774408" w:rsidRDefault="00D34DA6" w:rsidP="0059180B">
      <w:pPr>
        <w:jc w:val="both"/>
        <w:rPr>
          <w:rFonts w:cs="David"/>
          <w:sz w:val="24"/>
          <w:szCs w:val="24"/>
          <w:rtl/>
        </w:rPr>
      </w:pPr>
      <w:r>
        <w:rPr>
          <w:rFonts w:cs="David" w:hint="cs"/>
          <w:sz w:val="24"/>
          <w:szCs w:val="24"/>
          <w:rtl/>
        </w:rPr>
        <w:t>בחלק זה של התיקון מוצע להעניק לממונה על עבודות שירות סמכות להורות לנאשם או לעובד שירות לתת דגימת שתן, כדי לבדוק אם יש בגופו סם מסוכן.</w:t>
      </w:r>
      <w:r>
        <w:rPr>
          <w:rStyle w:val="a6"/>
          <w:rFonts w:cs="David"/>
          <w:sz w:val="24"/>
          <w:szCs w:val="24"/>
          <w:rtl/>
        </w:rPr>
        <w:footnoteReference w:id="1"/>
      </w:r>
      <w:r>
        <w:rPr>
          <w:rFonts w:cs="David" w:hint="cs"/>
          <w:sz w:val="24"/>
          <w:szCs w:val="24"/>
          <w:rtl/>
        </w:rPr>
        <w:t xml:space="preserve"> </w:t>
      </w:r>
    </w:p>
    <w:p w:rsidR="004B036D" w:rsidRDefault="00D34DA6" w:rsidP="004B036D">
      <w:pPr>
        <w:jc w:val="both"/>
        <w:rPr>
          <w:rFonts w:cs="David"/>
          <w:sz w:val="24"/>
          <w:szCs w:val="24"/>
          <w:rtl/>
        </w:rPr>
      </w:pPr>
      <w:r>
        <w:rPr>
          <w:rFonts w:cs="David" w:hint="cs"/>
          <w:sz w:val="24"/>
          <w:szCs w:val="24"/>
          <w:rtl/>
        </w:rPr>
        <w:t xml:space="preserve">בדברי ההסבר מבואר כי ההצדקה להענקת סמכות זו נעוצה בכך ששימוש בסמים עלול להשפיע לרעה על יכולתו של אדם לבצע עבודות שירות. כמו כן, במהלך עבודת השירות </w:t>
      </w:r>
      <w:r w:rsidR="004B036D">
        <w:rPr>
          <w:rFonts w:cs="David" w:hint="cs"/>
          <w:sz w:val="24"/>
          <w:szCs w:val="24"/>
          <w:rtl/>
        </w:rPr>
        <w:t>העובד</w:t>
      </w:r>
      <w:r>
        <w:rPr>
          <w:rFonts w:cs="David" w:hint="cs"/>
          <w:sz w:val="24"/>
          <w:szCs w:val="24"/>
          <w:rtl/>
        </w:rPr>
        <w:t xml:space="preserve"> עשוי לבוא </w:t>
      </w:r>
      <w:r>
        <w:rPr>
          <w:rFonts w:cs="David" w:hint="cs"/>
          <w:sz w:val="24"/>
          <w:szCs w:val="24"/>
          <w:rtl/>
        </w:rPr>
        <w:lastRenderedPageBreak/>
        <w:t xml:space="preserve">במגע עם אוכלוסיות חלשות כגון חולים, זקנים וחסרי ישע שברצוננו להגן עליהם מפני מגע עם </w:t>
      </w:r>
      <w:r w:rsidR="004B036D">
        <w:rPr>
          <w:rFonts w:cs="David" w:hint="cs"/>
          <w:sz w:val="24"/>
          <w:szCs w:val="24"/>
          <w:rtl/>
        </w:rPr>
        <w:t>מי</w:t>
      </w:r>
      <w:r>
        <w:rPr>
          <w:rFonts w:cs="David" w:hint="cs"/>
          <w:sz w:val="24"/>
          <w:szCs w:val="24"/>
          <w:rtl/>
        </w:rPr>
        <w:t xml:space="preserve"> שמשתמשים בסמים. ולבסוף, רוצים למנוע השמת נאשם שמשתמש בסמים במקומות עבודה שיש בהם גישה קלה</w:t>
      </w:r>
      <w:r w:rsidR="00BE7AB5">
        <w:rPr>
          <w:rFonts w:cs="David" w:hint="cs"/>
          <w:sz w:val="24"/>
          <w:szCs w:val="24"/>
          <w:rtl/>
        </w:rPr>
        <w:t xml:space="preserve"> יחסית</w:t>
      </w:r>
      <w:r>
        <w:rPr>
          <w:rFonts w:cs="David" w:hint="cs"/>
          <w:sz w:val="24"/>
          <w:szCs w:val="24"/>
          <w:rtl/>
        </w:rPr>
        <w:t xml:space="preserve"> לסמים</w:t>
      </w:r>
      <w:r w:rsidR="004B036D">
        <w:rPr>
          <w:rFonts w:cs="David" w:hint="cs"/>
          <w:sz w:val="24"/>
          <w:szCs w:val="24"/>
          <w:rtl/>
        </w:rPr>
        <w:t>,</w:t>
      </w:r>
      <w:r>
        <w:rPr>
          <w:rFonts w:cs="David" w:hint="cs"/>
          <w:sz w:val="24"/>
          <w:szCs w:val="24"/>
          <w:rtl/>
        </w:rPr>
        <w:t xml:space="preserve"> כגון בתי חולים.</w:t>
      </w:r>
      <w:r w:rsidR="004B036D">
        <w:rPr>
          <w:rFonts w:cs="David" w:hint="cs"/>
          <w:sz w:val="24"/>
          <w:szCs w:val="24"/>
          <w:rtl/>
        </w:rPr>
        <w:t xml:space="preserve"> </w:t>
      </w:r>
    </w:p>
    <w:p w:rsidR="00774408" w:rsidRDefault="004B036D" w:rsidP="004B036D">
      <w:pPr>
        <w:jc w:val="both"/>
        <w:rPr>
          <w:rFonts w:cs="David"/>
          <w:sz w:val="24"/>
          <w:szCs w:val="24"/>
          <w:rtl/>
        </w:rPr>
      </w:pPr>
      <w:r>
        <w:rPr>
          <w:rFonts w:cs="David" w:hint="cs"/>
          <w:sz w:val="24"/>
          <w:szCs w:val="24"/>
          <w:rtl/>
        </w:rPr>
        <w:t>בנוסף לאמור</w:t>
      </w:r>
      <w:r w:rsidR="00774408">
        <w:rPr>
          <w:rFonts w:cs="David" w:hint="cs"/>
          <w:sz w:val="24"/>
          <w:szCs w:val="24"/>
          <w:rtl/>
        </w:rPr>
        <w:t xml:space="preserve">, הממונה אינו יכול לכפות על הגופים המעסיקים עובדי שירות להעסיק עובד שירות כזה או אחר והצלחת ההסדר של עבודות השירות תלוי במידה רבה ביחסי האמון ההדדי עימם. המעסיקים מעמידים לרוב תנאים לקבלת עובד השירות וביניהם דרישה של היעדר שימוש בסמים. </w:t>
      </w:r>
    </w:p>
    <w:p w:rsidR="00656E7B" w:rsidRDefault="00656E7B" w:rsidP="00D34DA6">
      <w:pPr>
        <w:jc w:val="both"/>
        <w:rPr>
          <w:rFonts w:cs="David"/>
          <w:sz w:val="24"/>
          <w:szCs w:val="24"/>
          <w:rtl/>
        </w:rPr>
      </w:pPr>
      <w:r>
        <w:rPr>
          <w:rFonts w:cs="David" w:hint="cs"/>
          <w:sz w:val="24"/>
          <w:szCs w:val="24"/>
          <w:rtl/>
        </w:rPr>
        <w:t>בתיקון מוצע להעניק את הסמכות להורות על בדיקת שתן בשתי נקודות זמן:</w:t>
      </w:r>
    </w:p>
    <w:p w:rsidR="00774408" w:rsidRDefault="00656E7B" w:rsidP="000D7B21">
      <w:pPr>
        <w:pStyle w:val="a3"/>
        <w:numPr>
          <w:ilvl w:val="0"/>
          <w:numId w:val="3"/>
        </w:numPr>
        <w:jc w:val="both"/>
        <w:rPr>
          <w:rFonts w:cs="David"/>
          <w:sz w:val="24"/>
          <w:szCs w:val="24"/>
        </w:rPr>
      </w:pPr>
      <w:r>
        <w:rPr>
          <w:rFonts w:cs="David" w:hint="cs"/>
          <w:sz w:val="24"/>
          <w:szCs w:val="24"/>
          <w:rtl/>
        </w:rPr>
        <w:t>לפני מתן גזר הדין, במסגרת חוות דעת של הממונה עבור בית המשפט</w:t>
      </w:r>
      <w:r w:rsidR="004B036D">
        <w:rPr>
          <w:rFonts w:cs="David" w:hint="cs"/>
          <w:sz w:val="24"/>
          <w:szCs w:val="24"/>
          <w:rtl/>
        </w:rPr>
        <w:t>, כדי לקבוע באילו עבודות שירות מתאים לשבץ את הנאשם</w:t>
      </w:r>
      <w:r>
        <w:rPr>
          <w:rFonts w:cs="David" w:hint="cs"/>
          <w:sz w:val="24"/>
          <w:szCs w:val="24"/>
          <w:rtl/>
        </w:rPr>
        <w:t xml:space="preserve">. </w:t>
      </w:r>
    </w:p>
    <w:p w:rsidR="00774408" w:rsidRPr="00774408" w:rsidRDefault="00774408" w:rsidP="00774408">
      <w:pPr>
        <w:pStyle w:val="a3"/>
        <w:numPr>
          <w:ilvl w:val="0"/>
          <w:numId w:val="3"/>
        </w:numPr>
        <w:jc w:val="both"/>
        <w:rPr>
          <w:rFonts w:cs="David"/>
          <w:sz w:val="24"/>
          <w:szCs w:val="24"/>
        </w:rPr>
      </w:pPr>
      <w:r>
        <w:rPr>
          <w:rFonts w:cs="David" w:hint="cs"/>
          <w:sz w:val="24"/>
          <w:szCs w:val="24"/>
          <w:rtl/>
        </w:rPr>
        <w:t>בזמן ביצוע עבודת שירות, כדי לקבוע אם ראוי שעובד שירות ימשיך לרצות את עונשו בדרך של עבודות שירות, ואם ראוי כי ימשיך את עבודת השירות במקום העבודה שנקבע לו.</w:t>
      </w:r>
    </w:p>
    <w:p w:rsidR="00774408" w:rsidRPr="00774408" w:rsidRDefault="00B13150" w:rsidP="00774408">
      <w:pPr>
        <w:jc w:val="both"/>
        <w:rPr>
          <w:rFonts w:cs="David"/>
          <w:sz w:val="24"/>
          <w:szCs w:val="24"/>
          <w:u w:val="single"/>
          <w:rtl/>
        </w:rPr>
      </w:pPr>
      <w:r>
        <w:rPr>
          <w:rFonts w:cs="David" w:hint="cs"/>
          <w:sz w:val="24"/>
          <w:szCs w:val="24"/>
          <w:u w:val="single"/>
          <w:rtl/>
        </w:rPr>
        <w:t xml:space="preserve">1. </w:t>
      </w:r>
      <w:r w:rsidR="00774408" w:rsidRPr="00774408">
        <w:rPr>
          <w:rFonts w:cs="David" w:hint="cs"/>
          <w:sz w:val="24"/>
          <w:szCs w:val="24"/>
          <w:u w:val="single"/>
          <w:rtl/>
        </w:rPr>
        <w:t>עריכת הבדיקה בשלב חוות דעת הממונה</w:t>
      </w:r>
    </w:p>
    <w:p w:rsidR="00656E7B" w:rsidRPr="00774408" w:rsidRDefault="00656E7B" w:rsidP="00774408">
      <w:pPr>
        <w:jc w:val="both"/>
        <w:rPr>
          <w:rFonts w:cs="David"/>
          <w:sz w:val="24"/>
          <w:szCs w:val="24"/>
        </w:rPr>
      </w:pPr>
      <w:r w:rsidRPr="00774408">
        <w:rPr>
          <w:rFonts w:cs="David" w:hint="cs"/>
          <w:sz w:val="24"/>
          <w:szCs w:val="24"/>
          <w:rtl/>
        </w:rPr>
        <w:t xml:space="preserve">חוות הדעת </w:t>
      </w:r>
      <w:r w:rsidR="000D7B21" w:rsidRPr="00774408">
        <w:rPr>
          <w:rFonts w:cs="David" w:hint="cs"/>
          <w:sz w:val="24"/>
          <w:szCs w:val="24"/>
          <w:rtl/>
        </w:rPr>
        <w:t xml:space="preserve">של הממונה מועברת לבית המשפט לפני מתן גזר הדין והיא </w:t>
      </w:r>
      <w:r w:rsidRPr="00774408">
        <w:rPr>
          <w:rFonts w:cs="David" w:hint="cs"/>
          <w:sz w:val="24"/>
          <w:szCs w:val="24"/>
          <w:rtl/>
        </w:rPr>
        <w:t xml:space="preserve">כוללת שני חלקים: </w:t>
      </w:r>
    </w:p>
    <w:p w:rsidR="00656E7B" w:rsidRDefault="00656E7B" w:rsidP="005F7A61">
      <w:pPr>
        <w:pStyle w:val="a3"/>
        <w:numPr>
          <w:ilvl w:val="0"/>
          <w:numId w:val="5"/>
        </w:numPr>
        <w:jc w:val="both"/>
        <w:rPr>
          <w:rFonts w:cs="David"/>
          <w:sz w:val="24"/>
          <w:szCs w:val="24"/>
        </w:rPr>
      </w:pPr>
      <w:r>
        <w:rPr>
          <w:rFonts w:cs="David" w:hint="cs"/>
          <w:sz w:val="24"/>
          <w:szCs w:val="24"/>
          <w:rtl/>
        </w:rPr>
        <w:t xml:space="preserve">בחלק האחד, מפרט הממונה האם הנאשם </w:t>
      </w:r>
      <w:r w:rsidRPr="00D52C35">
        <w:rPr>
          <w:rFonts w:cs="David" w:hint="cs"/>
          <w:b/>
          <w:bCs/>
          <w:sz w:val="24"/>
          <w:szCs w:val="24"/>
          <w:rtl/>
        </w:rPr>
        <w:t>מתאים</w:t>
      </w:r>
      <w:r>
        <w:rPr>
          <w:rFonts w:cs="David" w:hint="cs"/>
          <w:sz w:val="24"/>
          <w:szCs w:val="24"/>
          <w:rtl/>
        </w:rPr>
        <w:t xml:space="preserve"> לביצוע עבודות שירות ואם לאו. </w:t>
      </w:r>
      <w:r w:rsidR="005F7A61">
        <w:rPr>
          <w:rFonts w:cs="David" w:hint="cs"/>
          <w:sz w:val="24"/>
          <w:szCs w:val="24"/>
          <w:rtl/>
        </w:rPr>
        <w:t>השאלה נבחנת</w:t>
      </w:r>
      <w:r>
        <w:rPr>
          <w:rFonts w:cs="David" w:hint="cs"/>
          <w:sz w:val="24"/>
          <w:szCs w:val="24"/>
          <w:rtl/>
        </w:rPr>
        <w:t xml:space="preserve"> על יסוד קריטריון בודד והוא: האם קיים יסוד סביר לחשש לפגיעה בגופו או בחייו של אדם, לרבות בנאשם עצמו, אם יישא הנאשם את עונש המאסר בעבודות שירות</w:t>
      </w:r>
      <w:r w:rsidR="005F7A61">
        <w:rPr>
          <w:rFonts w:cs="David" w:hint="cs"/>
          <w:sz w:val="24"/>
          <w:szCs w:val="24"/>
          <w:rtl/>
        </w:rPr>
        <w:t>.</w:t>
      </w:r>
      <w:r w:rsidR="00226A8D">
        <w:rPr>
          <w:rStyle w:val="a6"/>
          <w:rFonts w:cs="David"/>
          <w:sz w:val="24"/>
          <w:szCs w:val="24"/>
          <w:rtl/>
        </w:rPr>
        <w:footnoteReference w:id="2"/>
      </w:r>
    </w:p>
    <w:p w:rsidR="00656E7B" w:rsidRPr="000D7B21" w:rsidRDefault="00656E7B" w:rsidP="005F7A61">
      <w:pPr>
        <w:pStyle w:val="a3"/>
        <w:numPr>
          <w:ilvl w:val="0"/>
          <w:numId w:val="5"/>
        </w:numPr>
        <w:jc w:val="both"/>
        <w:rPr>
          <w:rFonts w:cs="David"/>
          <w:sz w:val="24"/>
          <w:szCs w:val="24"/>
        </w:rPr>
      </w:pPr>
      <w:r>
        <w:rPr>
          <w:rFonts w:cs="David" w:hint="cs"/>
          <w:sz w:val="24"/>
          <w:szCs w:val="24"/>
          <w:rtl/>
        </w:rPr>
        <w:t xml:space="preserve">בחלק השני, הממונה מפרט את אפשרות </w:t>
      </w:r>
      <w:r w:rsidRPr="00D52C35">
        <w:rPr>
          <w:rFonts w:cs="David" w:hint="cs"/>
          <w:b/>
          <w:bCs/>
          <w:sz w:val="24"/>
          <w:szCs w:val="24"/>
          <w:rtl/>
        </w:rPr>
        <w:t>השמתו</w:t>
      </w:r>
      <w:r>
        <w:rPr>
          <w:rFonts w:cs="David" w:hint="cs"/>
          <w:sz w:val="24"/>
          <w:szCs w:val="24"/>
          <w:rtl/>
        </w:rPr>
        <w:t xml:space="preserve"> או אי-השמתו של הנאשם בעבודת שירות שמתאימה לו.</w:t>
      </w:r>
      <w:r w:rsidR="000D7B21">
        <w:rPr>
          <w:rFonts w:cs="David" w:hint="cs"/>
          <w:sz w:val="24"/>
          <w:szCs w:val="24"/>
          <w:rtl/>
        </w:rPr>
        <w:t xml:space="preserve"> במסגרת הערכה זו, רשאי הממונה להתבסס על אלה בלבד: (1) העבירה בה הורשע הנאשם; (2) הרשעות קודמות; (3) חוות דעת מטעם גורם טיפולי כגון תסקיר מבחן או הערכת מסוכנות של עברייני מין; (4) צווים העוסקים בעברייני מין; (5) הערכות שניתנו בעבר לגבי עבודות שירות קודמות של הנאשם; (6) מצבו הבריאותי ומוגבלויותיו של הנאשם.</w:t>
      </w:r>
      <w:r w:rsidR="00226A8D">
        <w:rPr>
          <w:rStyle w:val="a6"/>
          <w:rFonts w:cs="David"/>
          <w:sz w:val="24"/>
          <w:szCs w:val="24"/>
          <w:rtl/>
        </w:rPr>
        <w:footnoteReference w:id="3"/>
      </w:r>
      <w:r w:rsidR="000D7B21" w:rsidRPr="000D7B21">
        <w:rPr>
          <w:rFonts w:cs="David" w:hint="cs"/>
          <w:sz w:val="24"/>
          <w:szCs w:val="24"/>
          <w:rtl/>
        </w:rPr>
        <w:t xml:space="preserve"> </w:t>
      </w:r>
      <w:r w:rsidR="00774408" w:rsidRPr="00B13150">
        <w:rPr>
          <w:rFonts w:cs="David" w:hint="cs"/>
          <w:b/>
          <w:bCs/>
          <w:sz w:val="24"/>
          <w:szCs w:val="24"/>
          <w:rtl/>
        </w:rPr>
        <w:t>כעת</w:t>
      </w:r>
      <w:r w:rsidR="000D7B21" w:rsidRPr="00B13150">
        <w:rPr>
          <w:rFonts w:cs="David" w:hint="cs"/>
          <w:b/>
          <w:bCs/>
          <w:sz w:val="24"/>
          <w:szCs w:val="24"/>
          <w:rtl/>
        </w:rPr>
        <w:t xml:space="preserve"> מוצע להוסיף כי הממונה יהיה רשאי להתחשב בשלב זה גם בתוצאות בדיקה של דגימת שתן</w:t>
      </w:r>
      <w:r w:rsidR="000D7B21" w:rsidRPr="000D7B21">
        <w:rPr>
          <w:rFonts w:cs="David" w:hint="cs"/>
          <w:sz w:val="24"/>
          <w:szCs w:val="24"/>
          <w:rtl/>
        </w:rPr>
        <w:t>.</w:t>
      </w:r>
    </w:p>
    <w:p w:rsidR="000D7B21" w:rsidRDefault="000D7B21" w:rsidP="00774408">
      <w:pPr>
        <w:jc w:val="both"/>
        <w:rPr>
          <w:rFonts w:cs="David"/>
          <w:sz w:val="24"/>
          <w:szCs w:val="24"/>
          <w:rtl/>
        </w:rPr>
      </w:pPr>
      <w:r>
        <w:rPr>
          <w:rFonts w:cs="David" w:hint="cs"/>
          <w:sz w:val="24"/>
          <w:szCs w:val="24"/>
          <w:rtl/>
        </w:rPr>
        <w:t>בהצעת החוק מובהר ב</w:t>
      </w:r>
      <w:r w:rsidR="00774408">
        <w:rPr>
          <w:rFonts w:cs="David" w:hint="cs"/>
          <w:sz w:val="24"/>
          <w:szCs w:val="24"/>
          <w:rtl/>
        </w:rPr>
        <w:t>מ</w:t>
      </w:r>
      <w:r>
        <w:rPr>
          <w:rFonts w:cs="David" w:hint="cs"/>
          <w:sz w:val="24"/>
          <w:szCs w:val="24"/>
          <w:rtl/>
        </w:rPr>
        <w:t xml:space="preserve">פורש כי הממונה אינו רשאי להתחשב בתוצאות בדיקת השתן </w:t>
      </w:r>
      <w:r w:rsidR="00774408">
        <w:rPr>
          <w:rFonts w:cs="David" w:hint="cs"/>
          <w:sz w:val="24"/>
          <w:szCs w:val="24"/>
          <w:rtl/>
        </w:rPr>
        <w:t>בחלק</w:t>
      </w:r>
      <w:r>
        <w:rPr>
          <w:rFonts w:cs="David" w:hint="cs"/>
          <w:sz w:val="24"/>
          <w:szCs w:val="24"/>
          <w:rtl/>
        </w:rPr>
        <w:t xml:space="preserve"> הראשון של חוות הדעת </w:t>
      </w:r>
      <w:r>
        <w:rPr>
          <w:rFonts w:cs="David"/>
          <w:sz w:val="24"/>
          <w:szCs w:val="24"/>
          <w:rtl/>
        </w:rPr>
        <w:t>–</w:t>
      </w:r>
      <w:r>
        <w:rPr>
          <w:rFonts w:cs="David" w:hint="cs"/>
          <w:sz w:val="24"/>
          <w:szCs w:val="24"/>
          <w:rtl/>
        </w:rPr>
        <w:t xml:space="preserve"> </w:t>
      </w:r>
      <w:r w:rsidRPr="00774408">
        <w:rPr>
          <w:rFonts w:cs="David" w:hint="cs"/>
          <w:b/>
          <w:bCs/>
          <w:sz w:val="24"/>
          <w:szCs w:val="24"/>
          <w:rtl/>
        </w:rPr>
        <w:t xml:space="preserve">כך שתוצאה חיובית של בדיקת שתן אינה יכולה לשמש, כשלעצמה, כעילה לקבוע שנאשם אינו מתאים </w:t>
      </w:r>
      <w:r w:rsidR="00774408">
        <w:rPr>
          <w:rFonts w:cs="David" w:hint="cs"/>
          <w:b/>
          <w:bCs/>
          <w:sz w:val="24"/>
          <w:szCs w:val="24"/>
          <w:rtl/>
        </w:rPr>
        <w:t xml:space="preserve">כלל </w:t>
      </w:r>
      <w:r w:rsidRPr="00774408">
        <w:rPr>
          <w:rFonts w:cs="David" w:hint="cs"/>
          <w:b/>
          <w:bCs/>
          <w:sz w:val="24"/>
          <w:szCs w:val="24"/>
          <w:rtl/>
        </w:rPr>
        <w:t>לביצוע עבודות שירות</w:t>
      </w:r>
      <w:r>
        <w:rPr>
          <w:rFonts w:cs="David" w:hint="cs"/>
          <w:sz w:val="24"/>
          <w:szCs w:val="24"/>
          <w:rtl/>
        </w:rPr>
        <w:t xml:space="preserve">. </w:t>
      </w:r>
    </w:p>
    <w:p w:rsidR="00774408" w:rsidRDefault="00774408" w:rsidP="00F65A33">
      <w:pPr>
        <w:jc w:val="both"/>
        <w:rPr>
          <w:rFonts w:cs="David"/>
          <w:sz w:val="24"/>
          <w:szCs w:val="24"/>
          <w:rtl/>
        </w:rPr>
      </w:pPr>
      <w:r>
        <w:rPr>
          <w:rFonts w:cs="David" w:hint="cs"/>
          <w:sz w:val="24"/>
          <w:szCs w:val="24"/>
          <w:rtl/>
        </w:rPr>
        <w:t>לקיחת דגימת השתן בשלב זה תתאפשר רק נוכח קיומה של אינדיקציה כלשהי שמעלה חשד כי הנאשם השתמש בסמים:</w:t>
      </w:r>
    </w:p>
    <w:p w:rsidR="00774408" w:rsidRDefault="00774408" w:rsidP="005F7A61">
      <w:pPr>
        <w:pStyle w:val="a3"/>
        <w:numPr>
          <w:ilvl w:val="0"/>
          <w:numId w:val="7"/>
        </w:numPr>
        <w:jc w:val="both"/>
        <w:rPr>
          <w:rFonts w:cs="David"/>
          <w:sz w:val="24"/>
          <w:szCs w:val="24"/>
        </w:rPr>
      </w:pPr>
      <w:r>
        <w:rPr>
          <w:rFonts w:cs="David" w:hint="cs"/>
          <w:sz w:val="24"/>
          <w:szCs w:val="24"/>
          <w:rtl/>
        </w:rPr>
        <w:t>העבירה שבה הורשע היא עבירה לפי פקודת הסמים המסוכנים.</w:t>
      </w:r>
    </w:p>
    <w:p w:rsidR="00774408" w:rsidRDefault="00774408" w:rsidP="005F7A61">
      <w:pPr>
        <w:pStyle w:val="a3"/>
        <w:numPr>
          <w:ilvl w:val="0"/>
          <w:numId w:val="7"/>
        </w:numPr>
        <w:jc w:val="both"/>
        <w:rPr>
          <w:rFonts w:cs="David"/>
          <w:sz w:val="24"/>
          <w:szCs w:val="24"/>
        </w:rPr>
      </w:pPr>
      <w:r>
        <w:rPr>
          <w:rFonts w:cs="David" w:hint="cs"/>
          <w:sz w:val="24"/>
          <w:szCs w:val="24"/>
          <w:rtl/>
        </w:rPr>
        <w:t>לנאשם הרשעות קודמות בעבירות סמים שבוצעו במהלך שלוש השנים האחרונות</w:t>
      </w:r>
      <w:r w:rsidR="00F65A33">
        <w:rPr>
          <w:rFonts w:cs="David" w:hint="cs"/>
          <w:sz w:val="24"/>
          <w:szCs w:val="24"/>
          <w:rtl/>
        </w:rPr>
        <w:t>.</w:t>
      </w:r>
    </w:p>
    <w:p w:rsidR="00774408" w:rsidRDefault="00774408" w:rsidP="005F7A61">
      <w:pPr>
        <w:pStyle w:val="a3"/>
        <w:numPr>
          <w:ilvl w:val="0"/>
          <w:numId w:val="7"/>
        </w:numPr>
        <w:jc w:val="both"/>
        <w:rPr>
          <w:rFonts w:cs="David"/>
          <w:sz w:val="24"/>
          <w:szCs w:val="24"/>
        </w:rPr>
      </w:pPr>
      <w:r>
        <w:rPr>
          <w:rFonts w:cs="David" w:hint="cs"/>
          <w:sz w:val="24"/>
          <w:szCs w:val="24"/>
          <w:rtl/>
        </w:rPr>
        <w:t>ממידע שיש בידי הממונה לפי חוות דעת מסוימות שבידיו עולה כי הנאשם עבר עבירה של שימוש בסמים בשלוש השנים האחרונות.</w:t>
      </w:r>
    </w:p>
    <w:p w:rsidR="00774408" w:rsidRPr="00226A8D" w:rsidRDefault="00774408" w:rsidP="00D52C35">
      <w:pPr>
        <w:pStyle w:val="a3"/>
        <w:numPr>
          <w:ilvl w:val="0"/>
          <w:numId w:val="7"/>
        </w:numPr>
        <w:jc w:val="both"/>
        <w:rPr>
          <w:rFonts w:cs="David"/>
          <w:sz w:val="24"/>
          <w:szCs w:val="24"/>
        </w:rPr>
      </w:pPr>
      <w:r>
        <w:rPr>
          <w:rFonts w:cs="David" w:hint="cs"/>
          <w:sz w:val="24"/>
          <w:szCs w:val="24"/>
          <w:rtl/>
        </w:rPr>
        <w:t xml:space="preserve">ממידע שמסר הנאשם לממונה עולה כי הוא עבר עבירה של שימוש בסמים בשלוש השנים האחרונות. </w:t>
      </w:r>
      <w:r w:rsidR="0055200D">
        <w:rPr>
          <w:rFonts w:cs="David" w:hint="cs"/>
          <w:sz w:val="24"/>
          <w:szCs w:val="24"/>
          <w:rtl/>
        </w:rPr>
        <w:t xml:space="preserve">יצוין כי לפי תקנות העונשין (נשיאת מאסר בעבודת שירות), התשע"ב-2011 הנאשם נדרש לציין בטופס שהוא מגיש בעת שנבחנת מועמדותו כעובד שירות אם </w:t>
      </w:r>
      <w:r w:rsidR="00D52C35">
        <w:rPr>
          <w:rFonts w:cs="David" w:hint="cs"/>
          <w:sz w:val="24"/>
          <w:szCs w:val="24"/>
          <w:rtl/>
        </w:rPr>
        <w:t>השתמש</w:t>
      </w:r>
      <w:r w:rsidR="0055200D">
        <w:rPr>
          <w:rFonts w:cs="David" w:hint="cs"/>
          <w:sz w:val="24"/>
          <w:szCs w:val="24"/>
          <w:rtl/>
        </w:rPr>
        <w:t xml:space="preserve"> </w:t>
      </w:r>
      <w:r w:rsidR="00D52C35">
        <w:rPr>
          <w:rFonts w:cs="David" w:hint="cs"/>
          <w:sz w:val="24"/>
          <w:szCs w:val="24"/>
          <w:rtl/>
        </w:rPr>
        <w:t>ב</w:t>
      </w:r>
      <w:r w:rsidR="0055200D">
        <w:rPr>
          <w:rFonts w:cs="David" w:hint="cs"/>
          <w:sz w:val="24"/>
          <w:szCs w:val="24"/>
          <w:rtl/>
        </w:rPr>
        <w:t>סמים בחמש השנים האחרונות</w:t>
      </w:r>
      <w:r w:rsidR="00D52C35">
        <w:rPr>
          <w:rFonts w:cs="David" w:hint="cs"/>
          <w:sz w:val="24"/>
          <w:szCs w:val="24"/>
          <w:rtl/>
        </w:rPr>
        <w:t>.</w:t>
      </w:r>
      <w:r w:rsidR="0055200D">
        <w:rPr>
          <w:rStyle w:val="a6"/>
          <w:rFonts w:cs="David"/>
          <w:sz w:val="24"/>
          <w:szCs w:val="24"/>
          <w:rtl/>
        </w:rPr>
        <w:footnoteReference w:id="4"/>
      </w:r>
      <w:r w:rsidR="0055200D">
        <w:rPr>
          <w:rFonts w:cs="David" w:hint="cs"/>
          <w:sz w:val="24"/>
          <w:szCs w:val="24"/>
          <w:rtl/>
        </w:rPr>
        <w:t xml:space="preserve"> </w:t>
      </w:r>
    </w:p>
    <w:p w:rsidR="000D7B21" w:rsidRPr="00774408" w:rsidRDefault="00B13150" w:rsidP="000D7B21">
      <w:pPr>
        <w:jc w:val="both"/>
        <w:rPr>
          <w:rFonts w:cs="David"/>
          <w:sz w:val="24"/>
          <w:szCs w:val="24"/>
          <w:u w:val="single"/>
          <w:rtl/>
        </w:rPr>
      </w:pPr>
      <w:r>
        <w:rPr>
          <w:rFonts w:cs="David" w:hint="cs"/>
          <w:sz w:val="24"/>
          <w:szCs w:val="24"/>
          <w:u w:val="single"/>
          <w:rtl/>
        </w:rPr>
        <w:t xml:space="preserve">2. </w:t>
      </w:r>
      <w:r w:rsidR="00774408" w:rsidRPr="00774408">
        <w:rPr>
          <w:rFonts w:cs="David" w:hint="cs"/>
          <w:sz w:val="24"/>
          <w:szCs w:val="24"/>
          <w:u w:val="single"/>
          <w:rtl/>
        </w:rPr>
        <w:t>עריכת הבדיקה בזמן ביצוע עבודת השירות</w:t>
      </w:r>
    </w:p>
    <w:p w:rsidR="00B13150" w:rsidRDefault="00B13150" w:rsidP="00D52C35">
      <w:pPr>
        <w:jc w:val="both"/>
        <w:rPr>
          <w:rFonts w:cs="David"/>
          <w:sz w:val="24"/>
          <w:szCs w:val="24"/>
          <w:rtl/>
        </w:rPr>
      </w:pPr>
      <w:r>
        <w:rPr>
          <w:rFonts w:cs="David" w:hint="cs"/>
          <w:sz w:val="24"/>
          <w:szCs w:val="24"/>
          <w:rtl/>
        </w:rPr>
        <w:t xml:space="preserve">מוצע לקבוע כי אם לממונה יש יסוד סביר לחשוד </w:t>
      </w:r>
      <w:r w:rsidR="00D52C35">
        <w:rPr>
          <w:rFonts w:cs="David" w:hint="cs"/>
          <w:sz w:val="24"/>
          <w:szCs w:val="24"/>
          <w:rtl/>
        </w:rPr>
        <w:t>ש</w:t>
      </w:r>
      <w:r>
        <w:rPr>
          <w:rFonts w:cs="David" w:hint="cs"/>
          <w:sz w:val="24"/>
          <w:szCs w:val="24"/>
          <w:rtl/>
        </w:rPr>
        <w:t>עובד שירות עבר עבירה של שימוש בסמים הוא רשאי להורות על לקיחה של דגימת שתן מעובד השירות לשם בדיקה אם מצוי בגופו סם.</w:t>
      </w:r>
    </w:p>
    <w:p w:rsidR="00B13150" w:rsidRDefault="000252EE" w:rsidP="00D52C35">
      <w:pPr>
        <w:jc w:val="both"/>
        <w:rPr>
          <w:rFonts w:cs="David"/>
          <w:sz w:val="24"/>
          <w:szCs w:val="24"/>
          <w:rtl/>
        </w:rPr>
      </w:pPr>
      <w:r>
        <w:rPr>
          <w:rFonts w:cs="David" w:hint="cs"/>
          <w:sz w:val="24"/>
          <w:szCs w:val="24"/>
          <w:rtl/>
        </w:rPr>
        <w:lastRenderedPageBreak/>
        <w:t>מ</w:t>
      </w:r>
      <w:r w:rsidR="00B13150">
        <w:rPr>
          <w:rFonts w:cs="David" w:hint="cs"/>
          <w:sz w:val="24"/>
          <w:szCs w:val="24"/>
          <w:rtl/>
        </w:rPr>
        <w:t xml:space="preserve">דברי ההסבר של הממשלה להצעת החוק </w:t>
      </w:r>
      <w:r>
        <w:rPr>
          <w:rFonts w:cs="David" w:hint="cs"/>
          <w:sz w:val="24"/>
          <w:szCs w:val="24"/>
          <w:rtl/>
        </w:rPr>
        <w:t>עולה</w:t>
      </w:r>
      <w:r w:rsidR="00B13150">
        <w:rPr>
          <w:rFonts w:cs="David" w:hint="cs"/>
          <w:sz w:val="24"/>
          <w:szCs w:val="24"/>
          <w:rtl/>
        </w:rPr>
        <w:t xml:space="preserve"> כי </w:t>
      </w:r>
      <w:r>
        <w:rPr>
          <w:rFonts w:cs="David" w:hint="cs"/>
          <w:sz w:val="24"/>
          <w:szCs w:val="24"/>
          <w:rtl/>
        </w:rPr>
        <w:t>סירוב של עובד השירות לבדיקת סמים</w:t>
      </w:r>
      <w:r w:rsidR="005F7A61">
        <w:rPr>
          <w:rFonts w:cs="David" w:hint="cs"/>
          <w:sz w:val="24"/>
          <w:szCs w:val="24"/>
          <w:rtl/>
        </w:rPr>
        <w:t xml:space="preserve"> ו</w:t>
      </w:r>
      <w:r>
        <w:rPr>
          <w:rFonts w:cs="David" w:hint="cs"/>
          <w:sz w:val="24"/>
          <w:szCs w:val="24"/>
          <w:rtl/>
        </w:rPr>
        <w:t>תוצאה חיובית של בדיקה כזו יכולים</w:t>
      </w:r>
      <w:r w:rsidR="00B13150">
        <w:rPr>
          <w:rFonts w:cs="David" w:hint="cs"/>
          <w:sz w:val="24"/>
          <w:szCs w:val="24"/>
          <w:rtl/>
        </w:rPr>
        <w:t xml:space="preserve"> </w:t>
      </w:r>
      <w:r w:rsidR="00D52C35">
        <w:rPr>
          <w:rFonts w:cs="David" w:hint="cs"/>
          <w:sz w:val="24"/>
          <w:szCs w:val="24"/>
          <w:rtl/>
        </w:rPr>
        <w:t>להוביל לנקיטה במספר סנקציות כלפי עובד שירות</w:t>
      </w:r>
      <w:r w:rsidR="00B13150">
        <w:rPr>
          <w:rFonts w:cs="David" w:hint="cs"/>
          <w:sz w:val="24"/>
          <w:szCs w:val="24"/>
          <w:rtl/>
        </w:rPr>
        <w:t>:</w:t>
      </w:r>
    </w:p>
    <w:p w:rsidR="00B13150" w:rsidRDefault="00C06361" w:rsidP="00C06361">
      <w:pPr>
        <w:pStyle w:val="a3"/>
        <w:numPr>
          <w:ilvl w:val="0"/>
          <w:numId w:val="6"/>
        </w:numPr>
        <w:jc w:val="both"/>
        <w:rPr>
          <w:rFonts w:cs="David"/>
          <w:sz w:val="24"/>
          <w:szCs w:val="24"/>
        </w:rPr>
      </w:pPr>
      <w:r>
        <w:rPr>
          <w:rFonts w:cs="David" w:hint="cs"/>
          <w:sz w:val="24"/>
          <w:szCs w:val="24"/>
          <w:rtl/>
        </w:rPr>
        <w:t>ניתן להעביר אותו למקום עבודה אחר מטעמים סבירים</w:t>
      </w:r>
      <w:r w:rsidR="00B13150">
        <w:rPr>
          <w:rFonts w:cs="David" w:hint="cs"/>
          <w:sz w:val="24"/>
          <w:szCs w:val="24"/>
          <w:rtl/>
        </w:rPr>
        <w:t>.</w:t>
      </w:r>
      <w:r w:rsidR="006C19B9">
        <w:rPr>
          <w:rStyle w:val="a6"/>
          <w:rFonts w:cs="David"/>
          <w:sz w:val="24"/>
          <w:szCs w:val="24"/>
          <w:rtl/>
        </w:rPr>
        <w:footnoteReference w:id="5"/>
      </w:r>
    </w:p>
    <w:p w:rsidR="003E610F" w:rsidRDefault="00C06361" w:rsidP="00C06361">
      <w:pPr>
        <w:pStyle w:val="a3"/>
        <w:numPr>
          <w:ilvl w:val="0"/>
          <w:numId w:val="6"/>
        </w:numPr>
        <w:jc w:val="both"/>
        <w:rPr>
          <w:rFonts w:cs="David"/>
          <w:sz w:val="24"/>
          <w:szCs w:val="24"/>
        </w:rPr>
      </w:pPr>
      <w:r>
        <w:rPr>
          <w:rFonts w:cs="David" w:hint="cs"/>
          <w:sz w:val="24"/>
          <w:szCs w:val="24"/>
          <w:rtl/>
        </w:rPr>
        <w:t xml:space="preserve">ניתן לקבוע כי </w:t>
      </w:r>
      <w:r w:rsidR="00B13150">
        <w:rPr>
          <w:rFonts w:cs="David" w:hint="cs"/>
          <w:sz w:val="24"/>
          <w:szCs w:val="24"/>
          <w:rtl/>
        </w:rPr>
        <w:t xml:space="preserve">עבודת שירות לא תחל או תופסק אם עובד שירות אינו מבצע כראוי את המשימות שהוטלו עליו או שהתנהגותו בעבודה אינה מניחה את </w:t>
      </w:r>
      <w:r w:rsidR="00B13150" w:rsidRPr="00F63A91">
        <w:rPr>
          <w:rFonts w:cs="David" w:hint="cs"/>
          <w:sz w:val="24"/>
          <w:szCs w:val="24"/>
          <w:rtl/>
        </w:rPr>
        <w:t>הדעת.</w:t>
      </w:r>
      <w:r w:rsidR="00B13150" w:rsidRPr="00F63A91">
        <w:rPr>
          <w:rStyle w:val="a6"/>
          <w:rFonts w:cs="David"/>
          <w:sz w:val="24"/>
          <w:szCs w:val="24"/>
          <w:rtl/>
        </w:rPr>
        <w:footnoteReference w:id="6"/>
      </w:r>
      <w:r w:rsidR="00B13150" w:rsidRPr="00F63A91">
        <w:rPr>
          <w:rFonts w:cs="David" w:hint="cs"/>
          <w:sz w:val="24"/>
          <w:szCs w:val="24"/>
          <w:rtl/>
        </w:rPr>
        <w:t xml:space="preserve"> בשיחה עם משרד המשפטים לקראת הדיון הובהר, כי תוצאה חיובית של בדיקת שתן לא תשמש, כשלעצמה, כעילה להפסיק עבודת שירות; אלא מדובר בחיזוק ראייתי </w:t>
      </w:r>
      <w:r w:rsidR="0095616E" w:rsidRPr="00F63A91">
        <w:rPr>
          <w:rFonts w:cs="David" w:hint="cs"/>
          <w:sz w:val="24"/>
          <w:szCs w:val="24"/>
          <w:rtl/>
        </w:rPr>
        <w:t>כדי להוסיף ולבסס באופן מובהק יותר תשתית עובדתית לכך ש</w:t>
      </w:r>
      <w:r w:rsidR="00B13150" w:rsidRPr="00F63A91">
        <w:rPr>
          <w:rFonts w:cs="David" w:hint="cs"/>
          <w:sz w:val="24"/>
          <w:szCs w:val="24"/>
          <w:rtl/>
        </w:rPr>
        <w:t xml:space="preserve">עובד </w:t>
      </w:r>
      <w:r w:rsidR="0095616E" w:rsidRPr="00F63A91">
        <w:rPr>
          <w:rFonts w:cs="David" w:hint="cs"/>
          <w:sz w:val="24"/>
          <w:szCs w:val="24"/>
          <w:rtl/>
        </w:rPr>
        <w:t xml:space="preserve">השירות </w:t>
      </w:r>
      <w:r w:rsidR="00B13150" w:rsidRPr="00F63A91">
        <w:rPr>
          <w:rFonts w:cs="David" w:hint="cs"/>
          <w:sz w:val="24"/>
          <w:szCs w:val="24"/>
          <w:rtl/>
        </w:rPr>
        <w:t>אינו ממלא כראוי את עבודתו.</w:t>
      </w:r>
      <w:r w:rsidR="00B13150">
        <w:rPr>
          <w:rFonts w:cs="David" w:hint="cs"/>
          <w:sz w:val="24"/>
          <w:szCs w:val="24"/>
          <w:rtl/>
        </w:rPr>
        <w:t xml:space="preserve"> </w:t>
      </w:r>
    </w:p>
    <w:p w:rsidR="006A3339" w:rsidRPr="00B13150" w:rsidRDefault="00D52C35" w:rsidP="00D52C35">
      <w:pPr>
        <w:pStyle w:val="a3"/>
        <w:numPr>
          <w:ilvl w:val="0"/>
          <w:numId w:val="6"/>
        </w:numPr>
        <w:jc w:val="both"/>
        <w:rPr>
          <w:rFonts w:cs="David"/>
          <w:sz w:val="24"/>
          <w:szCs w:val="24"/>
          <w:rtl/>
        </w:rPr>
      </w:pPr>
      <w:r>
        <w:rPr>
          <w:rFonts w:cs="David" w:hint="cs"/>
          <w:sz w:val="24"/>
          <w:szCs w:val="24"/>
          <w:rtl/>
        </w:rPr>
        <w:t xml:space="preserve">לגבי עובד שירות שסירב להיבדק </w:t>
      </w:r>
      <w:r>
        <w:rPr>
          <w:rFonts w:cs="David"/>
          <w:sz w:val="24"/>
          <w:szCs w:val="24"/>
          <w:rtl/>
        </w:rPr>
        <w:t>–</w:t>
      </w:r>
      <w:r>
        <w:rPr>
          <w:rFonts w:cs="David" w:hint="cs"/>
          <w:sz w:val="24"/>
          <w:szCs w:val="24"/>
          <w:rtl/>
        </w:rPr>
        <w:t xml:space="preserve"> </w:t>
      </w:r>
      <w:r w:rsidR="00C06361">
        <w:rPr>
          <w:rFonts w:cs="David" w:hint="cs"/>
          <w:sz w:val="24"/>
          <w:szCs w:val="24"/>
          <w:rtl/>
        </w:rPr>
        <w:t xml:space="preserve">ניתן לקבוע שעבודת השירות </w:t>
      </w:r>
      <w:r>
        <w:rPr>
          <w:rFonts w:cs="David" w:hint="cs"/>
          <w:sz w:val="24"/>
          <w:szCs w:val="24"/>
          <w:rtl/>
        </w:rPr>
        <w:t xml:space="preserve">שלו </w:t>
      </w:r>
      <w:r w:rsidR="00C06361">
        <w:rPr>
          <w:rFonts w:cs="David" w:hint="cs"/>
          <w:sz w:val="24"/>
          <w:szCs w:val="24"/>
          <w:rtl/>
        </w:rPr>
        <w:t xml:space="preserve">לא תחל או תופסק </w:t>
      </w:r>
      <w:r>
        <w:rPr>
          <w:rFonts w:cs="David" w:hint="cs"/>
          <w:sz w:val="24"/>
          <w:szCs w:val="24"/>
          <w:rtl/>
        </w:rPr>
        <w:t>מאחר</w:t>
      </w:r>
      <w:r w:rsidR="00C06361">
        <w:rPr>
          <w:rFonts w:cs="David" w:hint="cs"/>
          <w:sz w:val="24"/>
          <w:szCs w:val="24"/>
          <w:rtl/>
        </w:rPr>
        <w:t xml:space="preserve"> </w:t>
      </w:r>
      <w:r>
        <w:rPr>
          <w:rFonts w:cs="David" w:hint="cs"/>
          <w:sz w:val="24"/>
          <w:szCs w:val="24"/>
          <w:rtl/>
        </w:rPr>
        <w:t>ש</w:t>
      </w:r>
      <w:r w:rsidR="00C06361">
        <w:rPr>
          <w:rFonts w:cs="David" w:hint="cs"/>
          <w:sz w:val="24"/>
          <w:szCs w:val="24"/>
          <w:rtl/>
        </w:rPr>
        <w:t>לא ציית להוראות הממונה</w:t>
      </w:r>
      <w:r>
        <w:rPr>
          <w:rFonts w:cs="David" w:hint="cs"/>
          <w:sz w:val="24"/>
          <w:szCs w:val="24"/>
          <w:rtl/>
        </w:rPr>
        <w:t>.</w:t>
      </w:r>
      <w:r w:rsidR="004766FB">
        <w:rPr>
          <w:rStyle w:val="a6"/>
          <w:rFonts w:cs="David"/>
          <w:sz w:val="24"/>
          <w:szCs w:val="24"/>
          <w:rtl/>
        </w:rPr>
        <w:footnoteReference w:id="7"/>
      </w:r>
    </w:p>
    <w:p w:rsidR="00D62DB3" w:rsidRPr="00D62DB3" w:rsidRDefault="00D62DB3">
      <w:pPr>
        <w:jc w:val="both"/>
        <w:rPr>
          <w:rFonts w:cs="David"/>
          <w:sz w:val="24"/>
          <w:szCs w:val="24"/>
          <w:u w:val="single"/>
          <w:rtl/>
        </w:rPr>
      </w:pPr>
      <w:r w:rsidRPr="00D62DB3">
        <w:rPr>
          <w:rFonts w:cs="David" w:hint="cs"/>
          <w:sz w:val="24"/>
          <w:szCs w:val="24"/>
          <w:u w:val="single"/>
          <w:rtl/>
        </w:rPr>
        <w:t>נושאים לדיון</w:t>
      </w:r>
      <w:r w:rsidR="009151D6">
        <w:rPr>
          <w:rFonts w:cs="David" w:hint="cs"/>
          <w:sz w:val="24"/>
          <w:szCs w:val="24"/>
          <w:u w:val="single"/>
          <w:rtl/>
        </w:rPr>
        <w:t xml:space="preserve"> </w:t>
      </w:r>
      <w:r w:rsidR="009151D6">
        <w:rPr>
          <w:rFonts w:cs="David"/>
          <w:sz w:val="24"/>
          <w:szCs w:val="24"/>
          <w:u w:val="single"/>
          <w:rtl/>
        </w:rPr>
        <w:t>–</w:t>
      </w:r>
      <w:r w:rsidR="009151D6">
        <w:rPr>
          <w:rFonts w:cs="David" w:hint="cs"/>
          <w:sz w:val="24"/>
          <w:szCs w:val="24"/>
          <w:u w:val="single"/>
          <w:rtl/>
        </w:rPr>
        <w:t xml:space="preserve"> בדיקת סמים</w:t>
      </w:r>
    </w:p>
    <w:p w:rsidR="00247BCD" w:rsidRDefault="00247BCD" w:rsidP="009F3AC7">
      <w:pPr>
        <w:pStyle w:val="a3"/>
        <w:numPr>
          <w:ilvl w:val="0"/>
          <w:numId w:val="2"/>
        </w:numPr>
        <w:jc w:val="both"/>
        <w:rPr>
          <w:rFonts w:cs="David"/>
          <w:sz w:val="24"/>
          <w:szCs w:val="24"/>
        </w:rPr>
      </w:pPr>
      <w:r w:rsidRPr="00D62DB3">
        <w:rPr>
          <w:rFonts w:cs="David" w:hint="cs"/>
          <w:sz w:val="24"/>
          <w:szCs w:val="24"/>
          <w:rtl/>
        </w:rPr>
        <w:t xml:space="preserve">מוצע לקבל הסבר </w:t>
      </w:r>
      <w:r w:rsidRPr="002B685C">
        <w:rPr>
          <w:rFonts w:cs="David" w:hint="cs"/>
          <w:b/>
          <w:bCs/>
          <w:sz w:val="24"/>
          <w:szCs w:val="24"/>
          <w:rtl/>
        </w:rPr>
        <w:t>אילו סוגי עבודות שירות יתאימו ל</w:t>
      </w:r>
      <w:r w:rsidR="00D62DB3" w:rsidRPr="002B685C">
        <w:rPr>
          <w:rFonts w:cs="David" w:hint="cs"/>
          <w:b/>
          <w:bCs/>
          <w:sz w:val="24"/>
          <w:szCs w:val="24"/>
          <w:rtl/>
        </w:rPr>
        <w:t>אותם אנשים שבדיקת השתן שלהם תצא חיובית</w:t>
      </w:r>
      <w:r w:rsidR="00D52C35">
        <w:rPr>
          <w:rFonts w:cs="David" w:hint="cs"/>
          <w:b/>
          <w:bCs/>
          <w:sz w:val="24"/>
          <w:szCs w:val="24"/>
          <w:rtl/>
        </w:rPr>
        <w:t xml:space="preserve"> </w:t>
      </w:r>
      <w:r w:rsidR="00D52C35" w:rsidRPr="00D52C35">
        <w:rPr>
          <w:rFonts w:cs="David" w:hint="cs"/>
          <w:sz w:val="24"/>
          <w:szCs w:val="24"/>
          <w:rtl/>
        </w:rPr>
        <w:t xml:space="preserve">כדי לוודא שאכן קיימות </w:t>
      </w:r>
      <w:r w:rsidR="00341AED">
        <w:rPr>
          <w:rFonts w:cs="David" w:hint="cs"/>
          <w:sz w:val="24"/>
          <w:szCs w:val="24"/>
          <w:rtl/>
        </w:rPr>
        <w:t xml:space="preserve">די </w:t>
      </w:r>
      <w:r w:rsidR="00D52C35" w:rsidRPr="00D52C35">
        <w:rPr>
          <w:rFonts w:cs="David" w:hint="cs"/>
          <w:sz w:val="24"/>
          <w:szCs w:val="24"/>
          <w:rtl/>
        </w:rPr>
        <w:t>עבודות שלדעת הממונה מתאימות לכך</w:t>
      </w:r>
      <w:r w:rsidR="00D62DB3" w:rsidRPr="00D52C35">
        <w:rPr>
          <w:rFonts w:cs="David" w:hint="cs"/>
          <w:sz w:val="24"/>
          <w:szCs w:val="24"/>
          <w:rtl/>
        </w:rPr>
        <w:t>.</w:t>
      </w:r>
      <w:r w:rsidR="00D62DB3">
        <w:rPr>
          <w:rFonts w:cs="David" w:hint="cs"/>
          <w:sz w:val="24"/>
          <w:szCs w:val="24"/>
          <w:rtl/>
        </w:rPr>
        <w:t xml:space="preserve"> זאת, בשים לב לכך שבתיקון מובהר כי תוצאה חיובית של בדיקת שתן אינה יכולה לשמש </w:t>
      </w:r>
      <w:r w:rsidR="009151D6">
        <w:rPr>
          <w:rFonts w:cs="David" w:hint="cs"/>
          <w:sz w:val="24"/>
          <w:szCs w:val="24"/>
          <w:rtl/>
        </w:rPr>
        <w:t xml:space="preserve">את הממונה </w:t>
      </w:r>
      <w:r w:rsidR="00557FCE">
        <w:rPr>
          <w:rFonts w:cs="David" w:hint="cs"/>
          <w:sz w:val="24"/>
          <w:szCs w:val="24"/>
          <w:rtl/>
        </w:rPr>
        <w:t>כדי לקבוע שאין אפשרות כלל להשמת אדם בתור עובד שירות.</w:t>
      </w:r>
      <w:r w:rsidR="009F3AC7">
        <w:rPr>
          <w:rFonts w:cs="David" w:hint="cs"/>
          <w:sz w:val="24"/>
          <w:szCs w:val="24"/>
          <w:rtl/>
        </w:rPr>
        <w:t xml:space="preserve"> </w:t>
      </w:r>
    </w:p>
    <w:p w:rsidR="002B685C" w:rsidRDefault="002B685C" w:rsidP="005628D4">
      <w:pPr>
        <w:pStyle w:val="a3"/>
        <w:numPr>
          <w:ilvl w:val="0"/>
          <w:numId w:val="2"/>
        </w:numPr>
        <w:jc w:val="both"/>
        <w:rPr>
          <w:rFonts w:cs="David"/>
          <w:sz w:val="24"/>
          <w:szCs w:val="24"/>
        </w:rPr>
      </w:pPr>
      <w:r w:rsidRPr="002B685C">
        <w:rPr>
          <w:rFonts w:cs="David" w:hint="cs"/>
          <w:sz w:val="24"/>
          <w:szCs w:val="24"/>
          <w:rtl/>
        </w:rPr>
        <w:t xml:space="preserve">מוצע לדון בשאלה </w:t>
      </w:r>
      <w:r w:rsidRPr="002B685C">
        <w:rPr>
          <w:rFonts w:cs="David" w:hint="cs"/>
          <w:b/>
          <w:bCs/>
          <w:sz w:val="24"/>
          <w:szCs w:val="24"/>
          <w:rtl/>
        </w:rPr>
        <w:t>מה ניתן יהיה לעשות במידע שיתגלה בבדיקת השתן</w:t>
      </w:r>
      <w:r w:rsidRPr="002B685C">
        <w:rPr>
          <w:rFonts w:cs="David" w:hint="cs"/>
          <w:sz w:val="24"/>
          <w:szCs w:val="24"/>
          <w:rtl/>
        </w:rPr>
        <w:t xml:space="preserve">. </w:t>
      </w:r>
      <w:r>
        <w:rPr>
          <w:rFonts w:cs="David" w:hint="cs"/>
          <w:sz w:val="24"/>
          <w:szCs w:val="24"/>
          <w:rtl/>
        </w:rPr>
        <w:t xml:space="preserve">למשל </w:t>
      </w:r>
      <w:r>
        <w:rPr>
          <w:rFonts w:cs="David"/>
          <w:sz w:val="24"/>
          <w:szCs w:val="24"/>
          <w:rtl/>
        </w:rPr>
        <w:t>–</w:t>
      </w:r>
      <w:r>
        <w:rPr>
          <w:rFonts w:cs="David" w:hint="cs"/>
          <w:sz w:val="24"/>
          <w:szCs w:val="24"/>
          <w:rtl/>
        </w:rPr>
        <w:t xml:space="preserve"> האם מידע כזה יכול לשמש לשם פתיחה בחקירה נוספת נגד הנאשם? האם המידע יכול לשמש כראיה נגד הנאשם בהליך </w:t>
      </w:r>
      <w:r w:rsidRPr="005628D4">
        <w:rPr>
          <w:rFonts w:cs="David" w:hint="cs"/>
          <w:sz w:val="24"/>
          <w:szCs w:val="24"/>
          <w:rtl/>
        </w:rPr>
        <w:t xml:space="preserve">אחר נגדו? </w:t>
      </w:r>
      <w:r w:rsidR="00F63A91" w:rsidRPr="005628D4">
        <w:rPr>
          <w:rFonts w:cs="David" w:hint="cs"/>
          <w:sz w:val="24"/>
          <w:szCs w:val="24"/>
          <w:rtl/>
        </w:rPr>
        <w:t xml:space="preserve">מוצע לקבל הבהרות האם ייתכן </w:t>
      </w:r>
      <w:r w:rsidR="00F63A91" w:rsidRPr="005628D4">
        <w:rPr>
          <w:rFonts w:cs="David"/>
          <w:sz w:val="24"/>
          <w:szCs w:val="24"/>
          <w:rtl/>
        </w:rPr>
        <w:t>ש</w:t>
      </w:r>
      <w:r w:rsidRPr="005628D4">
        <w:rPr>
          <w:rFonts w:cs="David"/>
          <w:sz w:val="24"/>
          <w:szCs w:val="24"/>
          <w:rtl/>
        </w:rPr>
        <w:t>יוגש כתב אישום בגין שימוש בסמים רק בשל תוצאה חיובית של בדיקת שתן</w:t>
      </w:r>
      <w:r w:rsidRPr="005628D4">
        <w:rPr>
          <w:rFonts w:cs="David" w:hint="cs"/>
          <w:sz w:val="24"/>
          <w:szCs w:val="24"/>
          <w:rtl/>
        </w:rPr>
        <w:t>.</w:t>
      </w:r>
      <w:r>
        <w:rPr>
          <w:rFonts w:cs="David" w:hint="cs"/>
          <w:sz w:val="24"/>
          <w:szCs w:val="24"/>
          <w:rtl/>
        </w:rPr>
        <w:t xml:space="preserve"> </w:t>
      </w:r>
    </w:p>
    <w:p w:rsidR="002B685C" w:rsidRPr="002B685C" w:rsidRDefault="002B685C" w:rsidP="009F3AC7">
      <w:pPr>
        <w:pStyle w:val="a3"/>
        <w:numPr>
          <w:ilvl w:val="0"/>
          <w:numId w:val="2"/>
        </w:numPr>
        <w:jc w:val="both"/>
        <w:rPr>
          <w:rFonts w:cs="David"/>
          <w:sz w:val="24"/>
          <w:szCs w:val="24"/>
        </w:rPr>
      </w:pPr>
      <w:r>
        <w:rPr>
          <w:rFonts w:cs="David" w:hint="cs"/>
          <w:sz w:val="24"/>
          <w:szCs w:val="24"/>
          <w:rtl/>
        </w:rPr>
        <w:t xml:space="preserve">מוצע לקבל הרחבה מגורמי המקצוע </w:t>
      </w:r>
      <w:r w:rsidRPr="002B685C">
        <w:rPr>
          <w:rFonts w:cs="David" w:hint="cs"/>
          <w:sz w:val="24"/>
          <w:szCs w:val="24"/>
          <w:rtl/>
        </w:rPr>
        <w:t xml:space="preserve">באשר </w:t>
      </w:r>
      <w:r w:rsidRPr="002B685C">
        <w:rPr>
          <w:rFonts w:cs="David" w:hint="cs"/>
          <w:b/>
          <w:bCs/>
          <w:sz w:val="24"/>
          <w:szCs w:val="24"/>
          <w:rtl/>
        </w:rPr>
        <w:t>לטיבן של בדיקות השתן</w:t>
      </w:r>
      <w:r w:rsidRPr="002B685C">
        <w:rPr>
          <w:rFonts w:cs="David" w:hint="cs"/>
          <w:sz w:val="24"/>
          <w:szCs w:val="24"/>
          <w:rtl/>
        </w:rPr>
        <w:t xml:space="preserve">. למשל: </w:t>
      </w:r>
      <w:r w:rsidRPr="002B685C">
        <w:rPr>
          <w:rFonts w:cs="David"/>
          <w:sz w:val="24"/>
          <w:szCs w:val="24"/>
          <w:rtl/>
        </w:rPr>
        <w:t xml:space="preserve">האם יש כמה סוגים או שיטות בדיקה כך שצריך להגדיר מראש מה השיטה שנוקטים בה? מה בדיוק </w:t>
      </w:r>
      <w:r w:rsidRPr="002B685C">
        <w:rPr>
          <w:rFonts w:cs="David" w:hint="cs"/>
          <w:sz w:val="24"/>
          <w:szCs w:val="24"/>
          <w:rtl/>
        </w:rPr>
        <w:t>מראה תוצאת הבדיקה</w:t>
      </w:r>
      <w:r w:rsidRPr="002B685C">
        <w:rPr>
          <w:rFonts w:cs="David"/>
          <w:sz w:val="24"/>
          <w:szCs w:val="24"/>
          <w:rtl/>
        </w:rPr>
        <w:t>? האם ניתן לדעת אם מדובר בסמים קלים או קשים, מתי נצרכו לאחרונה וכיוצ"ב? מה רמת הוודאות של הבדיקה? האם ייתכן שהבדיקה מראה נוכחות של חומרים שנצרכים באמצעות תרופות מותרות?</w:t>
      </w:r>
    </w:p>
    <w:p w:rsidR="000E5080" w:rsidRDefault="00A151D6" w:rsidP="00F73D14">
      <w:pPr>
        <w:pStyle w:val="a3"/>
        <w:numPr>
          <w:ilvl w:val="0"/>
          <w:numId w:val="2"/>
        </w:numPr>
        <w:jc w:val="both"/>
        <w:rPr>
          <w:rFonts w:cs="David"/>
          <w:sz w:val="24"/>
          <w:szCs w:val="24"/>
        </w:rPr>
      </w:pPr>
      <w:r>
        <w:rPr>
          <w:rFonts w:cs="David" w:hint="cs"/>
          <w:sz w:val="24"/>
          <w:szCs w:val="24"/>
          <w:rtl/>
        </w:rPr>
        <w:t xml:space="preserve">מוצע להוסיף סעיף שמבהיר </w:t>
      </w:r>
      <w:r w:rsidRPr="002B685C">
        <w:rPr>
          <w:rFonts w:cs="David" w:hint="cs"/>
          <w:b/>
          <w:bCs/>
          <w:sz w:val="24"/>
          <w:szCs w:val="24"/>
          <w:rtl/>
        </w:rPr>
        <w:t>מה המשמעות של סירוב להיבדק</w:t>
      </w:r>
      <w:r w:rsidR="00475966">
        <w:rPr>
          <w:rFonts w:cs="David" w:hint="cs"/>
          <w:sz w:val="24"/>
          <w:szCs w:val="24"/>
          <w:rtl/>
        </w:rPr>
        <w:t>, זאת כדי למנוע אי בהירות ושאלות בעניין זה</w:t>
      </w:r>
      <w:r>
        <w:rPr>
          <w:rFonts w:cs="David" w:hint="cs"/>
          <w:sz w:val="24"/>
          <w:szCs w:val="24"/>
          <w:rtl/>
        </w:rPr>
        <w:t>.</w:t>
      </w:r>
      <w:r w:rsidR="00475966">
        <w:rPr>
          <w:rStyle w:val="a6"/>
          <w:rFonts w:cs="David"/>
          <w:sz w:val="24"/>
          <w:szCs w:val="24"/>
          <w:rtl/>
        </w:rPr>
        <w:footnoteReference w:id="8"/>
      </w:r>
      <w:r>
        <w:rPr>
          <w:rFonts w:cs="David" w:hint="cs"/>
          <w:sz w:val="24"/>
          <w:szCs w:val="24"/>
          <w:rtl/>
        </w:rPr>
        <w:t xml:space="preserve"> מוצע כי נאשם שסירב לבדיקה יראו בו כמי שנבדק, ונמצא כי הש</w:t>
      </w:r>
      <w:r w:rsidR="00475966">
        <w:rPr>
          <w:rFonts w:cs="David" w:hint="cs"/>
          <w:sz w:val="24"/>
          <w:szCs w:val="24"/>
          <w:rtl/>
        </w:rPr>
        <w:t>תמש בסמים.</w:t>
      </w:r>
      <w:r w:rsidR="00CB6165" w:rsidRPr="00CB6165">
        <w:rPr>
          <w:rFonts w:cs="David" w:hint="cs"/>
          <w:sz w:val="24"/>
          <w:szCs w:val="24"/>
          <w:rtl/>
        </w:rPr>
        <w:t xml:space="preserve"> </w:t>
      </w:r>
      <w:r w:rsidR="00CD712A">
        <w:rPr>
          <w:rFonts w:cs="David" w:hint="cs"/>
          <w:sz w:val="24"/>
          <w:szCs w:val="24"/>
          <w:rtl/>
        </w:rPr>
        <w:t xml:space="preserve">בהקשר זה חשוב לוודא שתוצאה חיובית </w:t>
      </w:r>
      <w:r w:rsidR="00F73D14">
        <w:rPr>
          <w:rFonts w:cs="David" w:hint="cs"/>
          <w:sz w:val="24"/>
          <w:szCs w:val="24"/>
          <w:rtl/>
        </w:rPr>
        <w:t>בבדיקה</w:t>
      </w:r>
      <w:r w:rsidR="00CD712A">
        <w:rPr>
          <w:rFonts w:cs="David" w:hint="cs"/>
          <w:sz w:val="24"/>
          <w:szCs w:val="24"/>
          <w:rtl/>
        </w:rPr>
        <w:t xml:space="preserve"> לא תמנע את עצם השמתו של נאשם בעבודת שירות אלא רק תצמצם את אפשרויות השמתו למקומות עבודה מתאימים.</w:t>
      </w:r>
      <w:r w:rsidR="009B30F9">
        <w:rPr>
          <w:rFonts w:cs="David" w:hint="cs"/>
          <w:sz w:val="24"/>
          <w:szCs w:val="24"/>
          <w:rtl/>
        </w:rPr>
        <w:t xml:space="preserve"> </w:t>
      </w:r>
    </w:p>
    <w:p w:rsidR="00A151D6" w:rsidRPr="00D52C35" w:rsidRDefault="00CB6165" w:rsidP="003205E5">
      <w:pPr>
        <w:pStyle w:val="a3"/>
        <w:numPr>
          <w:ilvl w:val="0"/>
          <w:numId w:val="2"/>
        </w:numPr>
        <w:jc w:val="both"/>
        <w:rPr>
          <w:rFonts w:cs="David"/>
          <w:sz w:val="24"/>
          <w:szCs w:val="24"/>
        </w:rPr>
      </w:pPr>
      <w:r>
        <w:rPr>
          <w:rFonts w:cs="David" w:hint="cs"/>
          <w:sz w:val="24"/>
          <w:szCs w:val="24"/>
          <w:rtl/>
        </w:rPr>
        <w:t xml:space="preserve">מוצע </w:t>
      </w:r>
      <w:r w:rsidRPr="00D15A24">
        <w:rPr>
          <w:rFonts w:cs="David" w:hint="cs"/>
          <w:sz w:val="24"/>
          <w:szCs w:val="24"/>
          <w:rtl/>
        </w:rPr>
        <w:t>ל</w:t>
      </w:r>
      <w:r w:rsidR="00197AC2" w:rsidRPr="00D15A24">
        <w:rPr>
          <w:rFonts w:cs="David" w:hint="cs"/>
          <w:sz w:val="24"/>
          <w:szCs w:val="24"/>
          <w:rtl/>
        </w:rPr>
        <w:t>שקול</w:t>
      </w:r>
      <w:r w:rsidR="00197AC2">
        <w:rPr>
          <w:rFonts w:cs="David" w:hint="cs"/>
          <w:b/>
          <w:bCs/>
          <w:sz w:val="24"/>
          <w:szCs w:val="24"/>
          <w:rtl/>
        </w:rPr>
        <w:t xml:space="preserve"> ל</w:t>
      </w:r>
      <w:r w:rsidRPr="000E5080">
        <w:rPr>
          <w:rFonts w:cs="David" w:hint="cs"/>
          <w:b/>
          <w:bCs/>
          <w:sz w:val="24"/>
          <w:szCs w:val="24"/>
          <w:rtl/>
        </w:rPr>
        <w:t>הטיל על הממונה</w:t>
      </w:r>
      <w:r w:rsidR="000E5080" w:rsidRPr="000E5080">
        <w:rPr>
          <w:rFonts w:cs="David" w:hint="cs"/>
          <w:b/>
          <w:bCs/>
          <w:sz w:val="24"/>
          <w:szCs w:val="24"/>
          <w:rtl/>
        </w:rPr>
        <w:t xml:space="preserve"> חובות כלפי הנאשם</w:t>
      </w:r>
      <w:r w:rsidR="000E5080">
        <w:rPr>
          <w:rFonts w:cs="David" w:hint="cs"/>
          <w:sz w:val="24"/>
          <w:szCs w:val="24"/>
          <w:rtl/>
        </w:rPr>
        <w:t>:</w:t>
      </w:r>
      <w:r>
        <w:rPr>
          <w:rFonts w:cs="David" w:hint="cs"/>
          <w:sz w:val="24"/>
          <w:szCs w:val="24"/>
          <w:rtl/>
        </w:rPr>
        <w:t xml:space="preserve"> להודיע לנאשם מה מטרת הבדיקה, לבקש את הסכמתו ולהסביר לו מה המשמעות של סירוב לתת דגימה.</w:t>
      </w:r>
      <w:r w:rsidR="00D52C35">
        <w:rPr>
          <w:rFonts w:cs="David" w:hint="cs"/>
          <w:sz w:val="24"/>
          <w:szCs w:val="24"/>
          <w:rtl/>
        </w:rPr>
        <w:t xml:space="preserve"> </w:t>
      </w:r>
    </w:p>
    <w:p w:rsidR="00A151D6" w:rsidRDefault="00A151D6" w:rsidP="00D15A24">
      <w:pPr>
        <w:pStyle w:val="a3"/>
        <w:numPr>
          <w:ilvl w:val="0"/>
          <w:numId w:val="2"/>
        </w:numPr>
        <w:jc w:val="both"/>
        <w:rPr>
          <w:rFonts w:cs="David"/>
          <w:sz w:val="24"/>
          <w:szCs w:val="24"/>
        </w:rPr>
      </w:pPr>
      <w:r>
        <w:rPr>
          <w:rFonts w:cs="David" w:hint="cs"/>
          <w:sz w:val="24"/>
          <w:szCs w:val="24"/>
          <w:rtl/>
        </w:rPr>
        <w:t xml:space="preserve">מוצע להוסיף </w:t>
      </w:r>
      <w:r w:rsidRPr="002F64DC">
        <w:rPr>
          <w:rFonts w:cs="David" w:hint="cs"/>
          <w:b/>
          <w:bCs/>
          <w:sz w:val="24"/>
          <w:szCs w:val="24"/>
          <w:rtl/>
        </w:rPr>
        <w:t>הוראה העוסקת באופן נטילת הדגימה</w:t>
      </w:r>
      <w:r>
        <w:rPr>
          <w:rFonts w:cs="David" w:hint="cs"/>
          <w:sz w:val="24"/>
          <w:szCs w:val="24"/>
          <w:rtl/>
        </w:rPr>
        <w:t xml:space="preserve"> </w:t>
      </w:r>
      <w:r w:rsidR="00D15A24">
        <w:rPr>
          <w:rFonts w:cs="David" w:hint="cs"/>
          <w:sz w:val="24"/>
          <w:szCs w:val="24"/>
          <w:rtl/>
        </w:rPr>
        <w:t>שתקבע</w:t>
      </w:r>
      <w:r>
        <w:rPr>
          <w:rFonts w:cs="David" w:hint="cs"/>
          <w:sz w:val="24"/>
          <w:szCs w:val="24"/>
          <w:rtl/>
        </w:rPr>
        <w:t xml:space="preserve"> כי נטילה של דגימה תיעשה באופן ובמקום שיבטיחו שמירה מירבית על כבוד האדם, על פרטיותו ו</w:t>
      </w:r>
      <w:r w:rsidR="00245807">
        <w:rPr>
          <w:rFonts w:cs="David" w:hint="cs"/>
          <w:sz w:val="24"/>
          <w:szCs w:val="24"/>
          <w:rtl/>
        </w:rPr>
        <w:t>על בריאותו, ובמידה המועטה האפשרי</w:t>
      </w:r>
      <w:r>
        <w:rPr>
          <w:rFonts w:cs="David" w:hint="cs"/>
          <w:sz w:val="24"/>
          <w:szCs w:val="24"/>
          <w:rtl/>
        </w:rPr>
        <w:t xml:space="preserve">ת של פגיעה, אי-נוחות וכאב. </w:t>
      </w:r>
    </w:p>
    <w:p w:rsidR="009F3AC7" w:rsidRDefault="009F3AC7" w:rsidP="009F3AC7">
      <w:pPr>
        <w:pStyle w:val="a3"/>
        <w:numPr>
          <w:ilvl w:val="0"/>
          <w:numId w:val="2"/>
        </w:numPr>
        <w:jc w:val="both"/>
        <w:rPr>
          <w:rFonts w:cs="David"/>
          <w:sz w:val="24"/>
          <w:szCs w:val="24"/>
        </w:rPr>
      </w:pPr>
      <w:r>
        <w:rPr>
          <w:rFonts w:cs="David" w:hint="cs"/>
          <w:sz w:val="24"/>
          <w:szCs w:val="24"/>
          <w:rtl/>
        </w:rPr>
        <w:t xml:space="preserve">מוצע לדון בשאלת </w:t>
      </w:r>
      <w:r w:rsidRPr="009F3AC7">
        <w:rPr>
          <w:rFonts w:cs="David" w:hint="cs"/>
          <w:b/>
          <w:bCs/>
          <w:sz w:val="24"/>
          <w:szCs w:val="24"/>
          <w:rtl/>
        </w:rPr>
        <w:t>מיקום ביצוע הבדיקה</w:t>
      </w:r>
      <w:r>
        <w:rPr>
          <w:rFonts w:cs="David" w:hint="cs"/>
          <w:sz w:val="24"/>
          <w:szCs w:val="24"/>
          <w:rtl/>
        </w:rPr>
        <w:t>. משיחה עם הממונה על עבודות שירות עולה, כי כיום נהוג להזמין את המועמדים לעבודת שירות לערוך את הבדיקה במשרדי שירות בתי הסוהר בלבד (לעתים במסגרת ראיון ההשמה ולע</w:t>
      </w:r>
      <w:r w:rsidR="00D15A24">
        <w:rPr>
          <w:rFonts w:cs="David" w:hint="cs"/>
          <w:sz w:val="24"/>
          <w:szCs w:val="24"/>
          <w:rtl/>
        </w:rPr>
        <w:t>י</w:t>
      </w:r>
      <w:r>
        <w:rPr>
          <w:rFonts w:cs="David" w:hint="cs"/>
          <w:sz w:val="24"/>
          <w:szCs w:val="24"/>
          <w:rtl/>
        </w:rPr>
        <w:t>תים במועד אחר), אך הדבר אינו מעוגן בחקיקה. יכולה לעלות שאלה האם רשאי הממונה לפנות לנאשם או לעובד שירות בכל מקום שהוא ולבקש שיערוך את הבדיקה באופן מיידי? דבר כזה עלול לפגוע קשות בפרטיות הנאשם ועל כן מוצע לעגן זאת בחוק. ניתן לקבוע למשל כי הבדיקה תיערך רק ב</w:t>
      </w:r>
      <w:r w:rsidR="00543079">
        <w:rPr>
          <w:rFonts w:cs="David" w:hint="cs"/>
          <w:sz w:val="24"/>
          <w:szCs w:val="24"/>
          <w:rtl/>
        </w:rPr>
        <w:t xml:space="preserve">משרדי </w:t>
      </w:r>
      <w:r>
        <w:rPr>
          <w:rFonts w:cs="David" w:hint="cs"/>
          <w:sz w:val="24"/>
          <w:szCs w:val="24"/>
          <w:rtl/>
        </w:rPr>
        <w:t>שירות בתי הסוהר או במקום שבו מתבצעת עבודת השירות.</w:t>
      </w:r>
    </w:p>
    <w:p w:rsidR="005B7CC1" w:rsidRDefault="003656A8" w:rsidP="005B7CC1">
      <w:pPr>
        <w:pStyle w:val="a3"/>
        <w:numPr>
          <w:ilvl w:val="0"/>
          <w:numId w:val="2"/>
        </w:numPr>
        <w:jc w:val="both"/>
        <w:rPr>
          <w:rFonts w:cs="David"/>
          <w:sz w:val="24"/>
          <w:szCs w:val="24"/>
        </w:rPr>
      </w:pPr>
      <w:r>
        <w:rPr>
          <w:rFonts w:cs="David" w:hint="cs"/>
          <w:sz w:val="24"/>
          <w:szCs w:val="24"/>
          <w:rtl/>
        </w:rPr>
        <w:t xml:space="preserve">כן מוצע לשקול להוסיף הוראה שתקבע </w:t>
      </w:r>
      <w:r w:rsidRPr="002F64DC">
        <w:rPr>
          <w:rFonts w:cs="David" w:hint="cs"/>
          <w:b/>
          <w:bCs/>
          <w:sz w:val="24"/>
          <w:szCs w:val="24"/>
          <w:rtl/>
        </w:rPr>
        <w:t>מי הגורמים שיערכו את הבדיקה</w:t>
      </w:r>
      <w:r w:rsidR="002F64DC">
        <w:rPr>
          <w:rFonts w:cs="David" w:hint="cs"/>
          <w:sz w:val="24"/>
          <w:szCs w:val="24"/>
          <w:rtl/>
        </w:rPr>
        <w:t>.</w:t>
      </w:r>
      <w:r>
        <w:rPr>
          <w:rFonts w:cs="David" w:hint="cs"/>
          <w:sz w:val="24"/>
          <w:szCs w:val="24"/>
          <w:rtl/>
        </w:rPr>
        <w:t xml:space="preserve"> ניתן לקבוע למשל כי הבדיקה תיערך רק בידי הממונה או אחד מעובדיו שיסמיך לכך. </w:t>
      </w:r>
    </w:p>
    <w:p w:rsidR="009F3AC7" w:rsidRDefault="009F3AC7" w:rsidP="009F3AC7">
      <w:pPr>
        <w:pStyle w:val="a3"/>
        <w:numPr>
          <w:ilvl w:val="0"/>
          <w:numId w:val="2"/>
        </w:numPr>
        <w:jc w:val="both"/>
        <w:rPr>
          <w:rFonts w:cs="David"/>
          <w:sz w:val="24"/>
          <w:szCs w:val="24"/>
        </w:rPr>
      </w:pPr>
      <w:r>
        <w:rPr>
          <w:rFonts w:cs="David" w:hint="cs"/>
          <w:sz w:val="24"/>
          <w:szCs w:val="24"/>
          <w:rtl/>
        </w:rPr>
        <w:lastRenderedPageBreak/>
        <w:t xml:space="preserve">מוצע לבחון האם להוסיף הוראה שמבהירה </w:t>
      </w:r>
      <w:r w:rsidRPr="009F3AC7">
        <w:rPr>
          <w:rFonts w:cs="David" w:hint="cs"/>
          <w:b/>
          <w:bCs/>
          <w:sz w:val="24"/>
          <w:szCs w:val="24"/>
          <w:rtl/>
        </w:rPr>
        <w:t>שהבדיקה תיערך בידי בן מינו של הנאשם</w:t>
      </w:r>
      <w:r>
        <w:rPr>
          <w:rFonts w:cs="David" w:hint="cs"/>
          <w:sz w:val="24"/>
          <w:szCs w:val="24"/>
          <w:rtl/>
        </w:rPr>
        <w:t xml:space="preserve">. משיחה עם הממונה על עבודות השירות עולה כי הבדיקה מתבצעת לעיתים כאשר יש קשר עין עם הנאשם כשהוא נותן את הבדיקה ומכאן חשיבות הדברים. לצד זאת הממונה הבהירה כי גם היום הבדיקה נעשית רק בידי בן מינו של הנאשם, והדברים כה ברורים שלעמדתה אין צורך לקבוע זאת במפורש בחוק. </w:t>
      </w:r>
    </w:p>
    <w:p w:rsidR="008A640D" w:rsidRPr="008A640D" w:rsidRDefault="008A640D" w:rsidP="007B5BDE">
      <w:pPr>
        <w:pStyle w:val="a3"/>
        <w:numPr>
          <w:ilvl w:val="0"/>
          <w:numId w:val="2"/>
        </w:numPr>
        <w:jc w:val="both"/>
        <w:rPr>
          <w:rFonts w:cs="David"/>
          <w:sz w:val="24"/>
          <w:szCs w:val="24"/>
        </w:rPr>
      </w:pPr>
      <w:r>
        <w:rPr>
          <w:rFonts w:cs="David" w:hint="cs"/>
          <w:sz w:val="24"/>
          <w:szCs w:val="24"/>
          <w:rtl/>
        </w:rPr>
        <w:t xml:space="preserve">תיקון נוסח בסעיף 51ב1 המוצע </w:t>
      </w:r>
      <w:r>
        <w:rPr>
          <w:rFonts w:cs="David"/>
          <w:sz w:val="24"/>
          <w:szCs w:val="24"/>
          <w:rtl/>
        </w:rPr>
        <w:t>–</w:t>
      </w:r>
      <w:r>
        <w:rPr>
          <w:rFonts w:cs="David" w:hint="cs"/>
          <w:sz w:val="24"/>
          <w:szCs w:val="24"/>
          <w:rtl/>
        </w:rPr>
        <w:t xml:space="preserve"> הסעיף עוסק בסמכות הממונה </w:t>
      </w:r>
      <w:r w:rsidR="007B5BDE">
        <w:rPr>
          <w:rFonts w:cs="David" w:hint="cs"/>
          <w:sz w:val="24"/>
          <w:szCs w:val="24"/>
          <w:rtl/>
        </w:rPr>
        <w:t xml:space="preserve">(לפי סעיף 51ב(ב1)(2)(ז) המוצע) </w:t>
      </w:r>
      <w:r>
        <w:rPr>
          <w:rFonts w:cs="David" w:hint="cs"/>
          <w:sz w:val="24"/>
          <w:szCs w:val="24"/>
          <w:rtl/>
        </w:rPr>
        <w:t xml:space="preserve">להורות על לקיחת דגימת שתן מנאשם לצורך גיבוש </w:t>
      </w:r>
      <w:r w:rsidR="007B5BDE">
        <w:rPr>
          <w:rFonts w:cs="David" w:hint="cs"/>
          <w:sz w:val="24"/>
          <w:szCs w:val="24"/>
          <w:rtl/>
        </w:rPr>
        <w:t>עמדת הממונה לפי סעיף 51ב(ב1)(2) בדבר אפשרות שיבוצו של הנאשם</w:t>
      </w:r>
      <w:r>
        <w:rPr>
          <w:rFonts w:cs="David" w:hint="cs"/>
          <w:sz w:val="24"/>
          <w:szCs w:val="24"/>
          <w:rtl/>
        </w:rPr>
        <w:t xml:space="preserve"> בעבודת שירות</w:t>
      </w:r>
      <w:r w:rsidR="007B5BDE">
        <w:rPr>
          <w:rFonts w:cs="David" w:hint="cs"/>
          <w:sz w:val="24"/>
          <w:szCs w:val="24"/>
          <w:rtl/>
        </w:rPr>
        <w:t xml:space="preserve"> מסוימת (להבדיל מעמדת הממונה בדבר עצם התאמתו של הנאשם לעבודת שירות בכלל, שמעוגנת בסעיף 51ב(ב1)(1))</w:t>
      </w:r>
      <w:r>
        <w:rPr>
          <w:rFonts w:cs="David" w:hint="cs"/>
          <w:sz w:val="24"/>
          <w:szCs w:val="24"/>
          <w:rtl/>
        </w:rPr>
        <w:t xml:space="preserve">. </w:t>
      </w:r>
      <w:r w:rsidR="007B5BDE">
        <w:rPr>
          <w:rFonts w:cs="David" w:hint="cs"/>
          <w:sz w:val="24"/>
          <w:szCs w:val="24"/>
          <w:rtl/>
        </w:rPr>
        <w:t xml:space="preserve">מוצע כי </w:t>
      </w:r>
      <w:r>
        <w:rPr>
          <w:rFonts w:cs="David" w:hint="cs"/>
          <w:sz w:val="24"/>
          <w:szCs w:val="24"/>
          <w:rtl/>
        </w:rPr>
        <w:t xml:space="preserve">במקום </w:t>
      </w:r>
      <w:r w:rsidR="007A0D6E">
        <w:rPr>
          <w:rFonts w:cs="David" w:hint="cs"/>
          <w:sz w:val="24"/>
          <w:szCs w:val="24"/>
          <w:rtl/>
        </w:rPr>
        <w:t>הפסקה</w:t>
      </w:r>
      <w:r>
        <w:rPr>
          <w:rFonts w:cs="David" w:hint="cs"/>
          <w:sz w:val="24"/>
          <w:szCs w:val="24"/>
          <w:rtl/>
        </w:rPr>
        <w:t xml:space="preserve">: "לצורך גיבוש </w:t>
      </w:r>
      <w:r w:rsidRPr="007A0D6E">
        <w:rPr>
          <w:rFonts w:cs="David" w:hint="cs"/>
          <w:b/>
          <w:bCs/>
          <w:sz w:val="24"/>
          <w:szCs w:val="24"/>
          <w:rtl/>
        </w:rPr>
        <w:t>חוות דעת</w:t>
      </w:r>
      <w:r>
        <w:rPr>
          <w:rFonts w:cs="David" w:hint="cs"/>
          <w:sz w:val="24"/>
          <w:szCs w:val="24"/>
          <w:rtl/>
        </w:rPr>
        <w:t xml:space="preserve"> הממונה לפי סעיף 51ב(ב)(1), </w:t>
      </w:r>
      <w:r w:rsidRPr="006935CE">
        <w:rPr>
          <w:rFonts w:cs="David" w:hint="cs"/>
          <w:b/>
          <w:bCs/>
          <w:sz w:val="24"/>
          <w:szCs w:val="24"/>
          <w:rtl/>
        </w:rPr>
        <w:t>בעניין הפרטים המנויים בסעיף 51ב(ב1)(2)</w:t>
      </w:r>
      <w:r>
        <w:rPr>
          <w:rFonts w:cs="David" w:hint="cs"/>
          <w:sz w:val="24"/>
          <w:szCs w:val="24"/>
          <w:rtl/>
        </w:rPr>
        <w:t>..."</w:t>
      </w:r>
      <w:r w:rsidR="007B5BDE">
        <w:rPr>
          <w:rFonts w:cs="David" w:hint="cs"/>
          <w:sz w:val="24"/>
          <w:szCs w:val="24"/>
          <w:rtl/>
        </w:rPr>
        <w:t>,</w:t>
      </w:r>
      <w:r>
        <w:rPr>
          <w:rFonts w:cs="David" w:hint="cs"/>
          <w:sz w:val="24"/>
          <w:szCs w:val="24"/>
          <w:rtl/>
        </w:rPr>
        <w:t xml:space="preserve"> </w:t>
      </w:r>
      <w:r w:rsidR="007B5BDE">
        <w:rPr>
          <w:rFonts w:cs="David" w:hint="cs"/>
          <w:sz w:val="24"/>
          <w:szCs w:val="24"/>
          <w:rtl/>
        </w:rPr>
        <w:t>יהיה</w:t>
      </w:r>
      <w:r>
        <w:rPr>
          <w:rFonts w:cs="David" w:hint="cs"/>
          <w:sz w:val="24"/>
          <w:szCs w:val="24"/>
          <w:rtl/>
        </w:rPr>
        <w:t>: "</w:t>
      </w:r>
      <w:r w:rsidR="007A0D6E" w:rsidRPr="007A0D6E">
        <w:rPr>
          <w:rFonts w:cs="David" w:hint="cs"/>
          <w:sz w:val="24"/>
          <w:szCs w:val="24"/>
          <w:rtl/>
        </w:rPr>
        <w:t xml:space="preserve"> </w:t>
      </w:r>
      <w:r w:rsidR="007A0D6E">
        <w:rPr>
          <w:rFonts w:cs="David" w:hint="cs"/>
          <w:sz w:val="24"/>
          <w:szCs w:val="24"/>
          <w:rtl/>
        </w:rPr>
        <w:t xml:space="preserve">לצורך גיבוש </w:t>
      </w:r>
      <w:r w:rsidR="007A0D6E" w:rsidRPr="007A0D6E">
        <w:rPr>
          <w:rFonts w:cs="David" w:hint="cs"/>
          <w:b/>
          <w:bCs/>
          <w:sz w:val="24"/>
          <w:szCs w:val="24"/>
          <w:rtl/>
        </w:rPr>
        <w:t>עמדת</w:t>
      </w:r>
      <w:r w:rsidR="007A0D6E">
        <w:rPr>
          <w:rFonts w:cs="David" w:hint="cs"/>
          <w:sz w:val="24"/>
          <w:szCs w:val="24"/>
          <w:rtl/>
        </w:rPr>
        <w:t xml:space="preserve"> הממונה </w:t>
      </w:r>
      <w:r w:rsidR="007A0D6E" w:rsidRPr="007B5BDE">
        <w:rPr>
          <w:rFonts w:cs="David" w:hint="cs"/>
          <w:b/>
          <w:bCs/>
          <w:sz w:val="24"/>
          <w:szCs w:val="24"/>
          <w:rtl/>
        </w:rPr>
        <w:t>לפי סעיף 51ב(ב1)(2)</w:t>
      </w:r>
      <w:r>
        <w:rPr>
          <w:rFonts w:cs="David" w:hint="cs"/>
          <w:sz w:val="24"/>
          <w:szCs w:val="24"/>
          <w:rtl/>
        </w:rPr>
        <w:t>". מדובר בתיקון נוסח בלבד</w:t>
      </w:r>
      <w:r w:rsidR="007B5BDE">
        <w:rPr>
          <w:rFonts w:cs="David" w:hint="cs"/>
          <w:sz w:val="24"/>
          <w:szCs w:val="24"/>
          <w:rtl/>
        </w:rPr>
        <w:t xml:space="preserve"> שנועד להבהיר את כוונת הסעיף </w:t>
      </w:r>
      <w:r w:rsidR="007B5BDE">
        <w:rPr>
          <w:rFonts w:cs="David"/>
          <w:sz w:val="24"/>
          <w:szCs w:val="24"/>
          <w:rtl/>
        </w:rPr>
        <w:t>–</w:t>
      </w:r>
      <w:r w:rsidR="007B5BDE">
        <w:rPr>
          <w:rFonts w:cs="David" w:hint="cs"/>
          <w:sz w:val="24"/>
          <w:szCs w:val="24"/>
          <w:rtl/>
        </w:rPr>
        <w:t xml:space="preserve"> שהממונה יוכל להשתמש בתוצאות בדיקת השתן רק לצורך בחינת שאלת שיבוץ הנאשם במקום עבודה כזה או אחר, ולא בשאלת עצם התאמתו לעבודות שירות</w:t>
      </w:r>
      <w:r>
        <w:rPr>
          <w:rFonts w:cs="David" w:hint="cs"/>
          <w:sz w:val="24"/>
          <w:szCs w:val="24"/>
          <w:rtl/>
        </w:rPr>
        <w:t xml:space="preserve">. </w:t>
      </w:r>
    </w:p>
    <w:p w:rsidR="005B7CC1" w:rsidRPr="005B7CC1" w:rsidRDefault="005B7CC1" w:rsidP="002F64DC">
      <w:pPr>
        <w:pStyle w:val="a3"/>
        <w:numPr>
          <w:ilvl w:val="0"/>
          <w:numId w:val="2"/>
        </w:numPr>
        <w:jc w:val="both"/>
        <w:rPr>
          <w:rFonts w:cs="David"/>
          <w:sz w:val="24"/>
          <w:szCs w:val="24"/>
        </w:rPr>
      </w:pPr>
      <w:r>
        <w:rPr>
          <w:rFonts w:cs="David" w:hint="cs"/>
          <w:sz w:val="24"/>
          <w:szCs w:val="24"/>
          <w:rtl/>
        </w:rPr>
        <w:t xml:space="preserve">תיקון בסעיף 51ח2 המוצע </w:t>
      </w:r>
      <w:r>
        <w:rPr>
          <w:rFonts w:cs="David"/>
          <w:sz w:val="24"/>
          <w:szCs w:val="24"/>
          <w:rtl/>
        </w:rPr>
        <w:t>–</w:t>
      </w:r>
      <w:r>
        <w:rPr>
          <w:rFonts w:cs="David" w:hint="cs"/>
          <w:sz w:val="24"/>
          <w:szCs w:val="24"/>
          <w:rtl/>
        </w:rPr>
        <w:t xml:space="preserve"> הסעיף קובע את סמכות הממונה לקחת דגימת שתן מעובד שירות. בנוסח הקיים כיום מדובר על עובד שירות "</w:t>
      </w:r>
      <w:r w:rsidRPr="000252EE">
        <w:rPr>
          <w:rFonts w:cs="David" w:hint="cs"/>
          <w:b/>
          <w:bCs/>
          <w:sz w:val="24"/>
          <w:szCs w:val="24"/>
          <w:rtl/>
        </w:rPr>
        <w:t>במהלך תקופת עבודת השירות</w:t>
      </w:r>
      <w:r>
        <w:rPr>
          <w:rFonts w:cs="David" w:hint="cs"/>
          <w:sz w:val="24"/>
          <w:szCs w:val="24"/>
          <w:rtl/>
        </w:rPr>
        <w:t xml:space="preserve">". מוצע להוריד את החלק המצוטט, וזאת כדי להבהיר כי אין הכוונה לשנות בעניין זה מההגדרה של עובד שירות בסעיף 51א לחוק העונשין </w:t>
      </w:r>
      <w:r w:rsidR="002F64DC">
        <w:rPr>
          <w:rFonts w:cs="David" w:hint="cs"/>
          <w:sz w:val="24"/>
          <w:szCs w:val="24"/>
          <w:rtl/>
        </w:rPr>
        <w:t>שהוא:</w:t>
      </w:r>
      <w:r>
        <w:rPr>
          <w:rFonts w:cs="David" w:hint="cs"/>
          <w:sz w:val="24"/>
          <w:szCs w:val="24"/>
          <w:rtl/>
        </w:rPr>
        <w:t xml:space="preserve"> "מי שנידון לעונש מאסר בעבודת שירות </w:t>
      </w:r>
      <w:r w:rsidRPr="000252EE">
        <w:rPr>
          <w:rFonts w:cs="David" w:hint="cs"/>
          <w:b/>
          <w:bCs/>
          <w:sz w:val="24"/>
          <w:szCs w:val="24"/>
          <w:rtl/>
        </w:rPr>
        <w:t>מהמועד שנקבע לתחילת ביצוע עבודת השירות</w:t>
      </w:r>
      <w:r>
        <w:rPr>
          <w:rFonts w:cs="David" w:hint="cs"/>
          <w:sz w:val="24"/>
          <w:szCs w:val="24"/>
          <w:rtl/>
        </w:rPr>
        <w:t xml:space="preserve">". השארת התיבה </w:t>
      </w:r>
      <w:r w:rsidR="002F64DC">
        <w:rPr>
          <w:rFonts w:cs="David" w:hint="cs"/>
          <w:sz w:val="24"/>
          <w:szCs w:val="24"/>
          <w:rtl/>
        </w:rPr>
        <w:t>"במהלך תקופת עבודת השירות"</w:t>
      </w:r>
      <w:r>
        <w:rPr>
          <w:rFonts w:cs="David" w:hint="cs"/>
          <w:sz w:val="24"/>
          <w:szCs w:val="24"/>
          <w:rtl/>
        </w:rPr>
        <w:t xml:space="preserve"> עלולה להוביל למחלוקות בעתיד.</w:t>
      </w:r>
      <w:r>
        <w:rPr>
          <w:rStyle w:val="a6"/>
          <w:rFonts w:cs="David"/>
          <w:sz w:val="24"/>
          <w:szCs w:val="24"/>
          <w:rtl/>
        </w:rPr>
        <w:footnoteReference w:id="9"/>
      </w:r>
    </w:p>
    <w:p w:rsidR="00D62DB3" w:rsidRDefault="00D62DB3" w:rsidP="00DF38A5">
      <w:pPr>
        <w:jc w:val="both"/>
        <w:rPr>
          <w:rFonts w:cs="David"/>
          <w:sz w:val="24"/>
          <w:szCs w:val="24"/>
          <w:rtl/>
        </w:rPr>
      </w:pPr>
    </w:p>
    <w:p w:rsidR="00DF38A5" w:rsidRPr="009151D6" w:rsidRDefault="004A59CB" w:rsidP="00DF38A5">
      <w:pPr>
        <w:jc w:val="both"/>
        <w:rPr>
          <w:rFonts w:cs="David"/>
          <w:b/>
          <w:bCs/>
          <w:sz w:val="24"/>
          <w:szCs w:val="24"/>
          <w:u w:val="single"/>
          <w:rtl/>
        </w:rPr>
      </w:pPr>
      <w:r>
        <w:rPr>
          <w:rFonts w:cs="David" w:hint="cs"/>
          <w:b/>
          <w:bCs/>
          <w:sz w:val="24"/>
          <w:szCs w:val="24"/>
          <w:u w:val="single"/>
          <w:rtl/>
        </w:rPr>
        <w:t>הגדרת "עובד שירות" לעניין הפסקה שיפוטית של עבודת שירות</w:t>
      </w:r>
    </w:p>
    <w:p w:rsidR="00821D28" w:rsidRDefault="009D2458" w:rsidP="00821D28">
      <w:pPr>
        <w:jc w:val="both"/>
        <w:rPr>
          <w:rFonts w:cs="David"/>
          <w:sz w:val="24"/>
          <w:szCs w:val="24"/>
          <w:rtl/>
        </w:rPr>
      </w:pPr>
      <w:r>
        <w:rPr>
          <w:rFonts w:cs="David" w:hint="cs"/>
          <w:sz w:val="24"/>
          <w:szCs w:val="24"/>
          <w:rtl/>
        </w:rPr>
        <w:t xml:space="preserve">סעיף 51י שכותרתו "הפסקה שיפוטית של עבודת שירות" מעגן את סמכות בית המשפט להפסיק עבודת שירות במספר מקרים (הסעיף נוקט לעיתים בלשון "נאשם", "נידון" או "עובד שירות", לצורך הנוחות </w:t>
      </w:r>
      <w:r w:rsidR="008A640D">
        <w:rPr>
          <w:rFonts w:cs="David" w:hint="cs"/>
          <w:sz w:val="24"/>
          <w:szCs w:val="24"/>
          <w:rtl/>
        </w:rPr>
        <w:t xml:space="preserve">ייקראו </w:t>
      </w:r>
      <w:r>
        <w:rPr>
          <w:rFonts w:cs="David" w:hint="cs"/>
          <w:sz w:val="24"/>
          <w:szCs w:val="24"/>
          <w:rtl/>
        </w:rPr>
        <w:t xml:space="preserve">כולם כאן </w:t>
      </w:r>
      <w:r w:rsidR="003205E5">
        <w:rPr>
          <w:rFonts w:cs="David" w:hint="cs"/>
          <w:sz w:val="24"/>
          <w:szCs w:val="24"/>
          <w:rtl/>
        </w:rPr>
        <w:t>"נאשם")</w:t>
      </w:r>
      <w:r w:rsidR="00821D28">
        <w:rPr>
          <w:rFonts w:cs="David" w:hint="cs"/>
          <w:sz w:val="24"/>
          <w:szCs w:val="24"/>
          <w:rtl/>
        </w:rPr>
        <w:t>:</w:t>
      </w:r>
    </w:p>
    <w:p w:rsidR="00821D28" w:rsidRDefault="003205E5" w:rsidP="00821D28">
      <w:pPr>
        <w:pStyle w:val="a3"/>
        <w:numPr>
          <w:ilvl w:val="0"/>
          <w:numId w:val="12"/>
        </w:numPr>
        <w:jc w:val="both"/>
        <w:rPr>
          <w:rFonts w:cs="David"/>
          <w:sz w:val="24"/>
          <w:szCs w:val="24"/>
        </w:rPr>
      </w:pPr>
      <w:r w:rsidRPr="00821D28">
        <w:rPr>
          <w:rFonts w:cs="David" w:hint="cs"/>
          <w:sz w:val="24"/>
          <w:szCs w:val="24"/>
          <w:rtl/>
        </w:rPr>
        <w:t xml:space="preserve">הסעיף כולל הפסקה "אוטומטית" של עבודות השירות בלי צורך בהחלטה שיפוטית או מינהלית </w:t>
      </w:r>
      <w:r w:rsidR="00821D28">
        <w:rPr>
          <w:rFonts w:cs="David" w:hint="cs"/>
          <w:sz w:val="24"/>
          <w:szCs w:val="24"/>
          <w:rtl/>
        </w:rPr>
        <w:t xml:space="preserve">אם </w:t>
      </w:r>
      <w:r w:rsidRPr="00821D28">
        <w:rPr>
          <w:rFonts w:cs="David" w:hint="cs"/>
          <w:sz w:val="24"/>
          <w:szCs w:val="24"/>
          <w:rtl/>
        </w:rPr>
        <w:t xml:space="preserve">הנאשם הורשע בעבירה נוספת </w:t>
      </w:r>
      <w:r w:rsidRPr="00821D28">
        <w:rPr>
          <w:rFonts w:cs="David" w:hint="cs"/>
          <w:b/>
          <w:bCs/>
          <w:sz w:val="24"/>
          <w:szCs w:val="24"/>
          <w:rtl/>
        </w:rPr>
        <w:t>ונגזר עליו עונש</w:t>
      </w:r>
      <w:r w:rsidRPr="00821D28">
        <w:rPr>
          <w:rFonts w:cs="David" w:hint="cs"/>
          <w:sz w:val="24"/>
          <w:szCs w:val="24"/>
          <w:rtl/>
        </w:rPr>
        <w:t xml:space="preserve"> </w:t>
      </w:r>
      <w:r w:rsidRPr="00821D28">
        <w:rPr>
          <w:rFonts w:cs="David" w:hint="cs"/>
          <w:b/>
          <w:bCs/>
          <w:sz w:val="24"/>
          <w:szCs w:val="24"/>
          <w:rtl/>
        </w:rPr>
        <w:t>מאסר בפועל</w:t>
      </w:r>
      <w:r w:rsidRPr="00821D28">
        <w:rPr>
          <w:rFonts w:cs="David" w:hint="cs"/>
          <w:sz w:val="24"/>
          <w:szCs w:val="24"/>
          <w:rtl/>
        </w:rPr>
        <w:t xml:space="preserve"> (סעיף 51י(א)(1)); </w:t>
      </w:r>
    </w:p>
    <w:p w:rsidR="00821D28" w:rsidRDefault="003205E5" w:rsidP="00821D28">
      <w:pPr>
        <w:pStyle w:val="a3"/>
        <w:numPr>
          <w:ilvl w:val="0"/>
          <w:numId w:val="12"/>
        </w:numPr>
        <w:jc w:val="both"/>
        <w:rPr>
          <w:rFonts w:cs="David"/>
          <w:sz w:val="24"/>
          <w:szCs w:val="24"/>
        </w:rPr>
      </w:pPr>
      <w:r w:rsidRPr="00821D28">
        <w:rPr>
          <w:rFonts w:cs="David" w:hint="cs"/>
          <w:sz w:val="24"/>
          <w:szCs w:val="24"/>
          <w:rtl/>
        </w:rPr>
        <w:t xml:space="preserve">אם הנאשם הורשע בעבירה נוספת </w:t>
      </w:r>
      <w:r w:rsidRPr="00821D28">
        <w:rPr>
          <w:rFonts w:cs="David" w:hint="cs"/>
          <w:b/>
          <w:bCs/>
          <w:sz w:val="24"/>
          <w:szCs w:val="24"/>
          <w:rtl/>
        </w:rPr>
        <w:t>ונגזר עליו עונש</w:t>
      </w:r>
      <w:r w:rsidRPr="00821D28">
        <w:rPr>
          <w:rFonts w:cs="David" w:hint="cs"/>
          <w:sz w:val="24"/>
          <w:szCs w:val="24"/>
          <w:rtl/>
        </w:rPr>
        <w:t xml:space="preserve"> </w:t>
      </w:r>
      <w:r w:rsidRPr="00821D28">
        <w:rPr>
          <w:rFonts w:cs="David" w:hint="cs"/>
          <w:b/>
          <w:bCs/>
          <w:sz w:val="24"/>
          <w:szCs w:val="24"/>
          <w:rtl/>
        </w:rPr>
        <w:t>שאינו מאסר בכלא</w:t>
      </w:r>
      <w:r w:rsidRPr="00821D28">
        <w:rPr>
          <w:rFonts w:cs="David" w:hint="cs"/>
          <w:sz w:val="24"/>
          <w:szCs w:val="24"/>
          <w:rtl/>
        </w:rPr>
        <w:t xml:space="preserve"> </w:t>
      </w:r>
      <w:r w:rsidRPr="00821D28">
        <w:rPr>
          <w:rFonts w:cs="David"/>
          <w:sz w:val="24"/>
          <w:szCs w:val="24"/>
          <w:rtl/>
        </w:rPr>
        <w:t>–</w:t>
      </w:r>
      <w:r w:rsidRPr="00821D28">
        <w:rPr>
          <w:rFonts w:cs="David" w:hint="cs"/>
          <w:sz w:val="24"/>
          <w:szCs w:val="24"/>
          <w:rtl/>
        </w:rPr>
        <w:t xml:space="preserve"> יש לבית המשפט שיקול דעת האם להפסיק את עבודת השירות ואם לא (סעיף 51י(א)(2)); </w:t>
      </w:r>
    </w:p>
    <w:p w:rsidR="00821D28" w:rsidRDefault="003205E5" w:rsidP="00C049F4">
      <w:pPr>
        <w:pStyle w:val="a3"/>
        <w:numPr>
          <w:ilvl w:val="0"/>
          <w:numId w:val="12"/>
        </w:numPr>
        <w:jc w:val="both"/>
        <w:rPr>
          <w:rFonts w:cs="David"/>
          <w:sz w:val="24"/>
          <w:szCs w:val="24"/>
        </w:rPr>
      </w:pPr>
      <w:r w:rsidRPr="00821D28">
        <w:rPr>
          <w:rFonts w:cs="David" w:hint="cs"/>
          <w:sz w:val="24"/>
          <w:szCs w:val="24"/>
          <w:rtl/>
        </w:rPr>
        <w:t>בית המשפט</w:t>
      </w:r>
      <w:r w:rsidR="00821D28">
        <w:rPr>
          <w:rFonts w:cs="David" w:hint="cs"/>
          <w:sz w:val="24"/>
          <w:szCs w:val="24"/>
          <w:rtl/>
        </w:rPr>
        <w:t xml:space="preserve"> רשאי</w:t>
      </w:r>
      <w:r w:rsidRPr="00821D28">
        <w:rPr>
          <w:rFonts w:cs="David" w:hint="cs"/>
          <w:sz w:val="24"/>
          <w:szCs w:val="24"/>
          <w:rtl/>
        </w:rPr>
        <w:t xml:space="preserve"> להפסיק את עבודות השירות נוכח חוות דעת של גורמי מקצוע שלפיהן </w:t>
      </w:r>
      <w:r w:rsidRPr="00821D28">
        <w:rPr>
          <w:rFonts w:cs="David" w:hint="cs"/>
          <w:b/>
          <w:bCs/>
          <w:sz w:val="24"/>
          <w:szCs w:val="24"/>
          <w:rtl/>
        </w:rPr>
        <w:t>הנאשם אינו כשיר רפואית</w:t>
      </w:r>
      <w:r w:rsidRPr="00821D28">
        <w:rPr>
          <w:rFonts w:cs="David" w:hint="cs"/>
          <w:sz w:val="24"/>
          <w:szCs w:val="24"/>
          <w:rtl/>
        </w:rPr>
        <w:t xml:space="preserve"> או אם יש יסוד סביר לחשש לפגיעה בגופו או בחייו של אדם, לרבות בנאשם אם יישא את עונש המאסר בעבודות שירות (סעיף </w:t>
      </w:r>
      <w:r w:rsidR="00C049F4">
        <w:rPr>
          <w:rFonts w:cs="David" w:hint="cs"/>
          <w:sz w:val="24"/>
          <w:szCs w:val="24"/>
          <w:rtl/>
        </w:rPr>
        <w:t>51</w:t>
      </w:r>
      <w:r w:rsidRPr="00821D28">
        <w:rPr>
          <w:rFonts w:cs="David" w:hint="cs"/>
          <w:sz w:val="24"/>
          <w:szCs w:val="24"/>
          <w:rtl/>
        </w:rPr>
        <w:t>י(א1);</w:t>
      </w:r>
    </w:p>
    <w:p w:rsidR="009D2458" w:rsidRPr="00821D28" w:rsidRDefault="00821D28" w:rsidP="000879D9">
      <w:pPr>
        <w:pStyle w:val="a3"/>
        <w:numPr>
          <w:ilvl w:val="0"/>
          <w:numId w:val="12"/>
        </w:numPr>
        <w:jc w:val="both"/>
        <w:rPr>
          <w:rFonts w:cs="David"/>
          <w:sz w:val="24"/>
          <w:szCs w:val="24"/>
          <w:rtl/>
        </w:rPr>
      </w:pPr>
      <w:r w:rsidRPr="00821D28">
        <w:rPr>
          <w:rFonts w:cs="David" w:hint="cs"/>
          <w:sz w:val="24"/>
          <w:szCs w:val="24"/>
          <w:rtl/>
        </w:rPr>
        <w:t xml:space="preserve"> כמו כן, לבית המשפט שיקול דעת להפסיק עבודות שירות </w:t>
      </w:r>
      <w:r w:rsidRPr="00821D28">
        <w:rPr>
          <w:rFonts w:cs="David" w:hint="cs"/>
          <w:b/>
          <w:bCs/>
          <w:sz w:val="24"/>
          <w:szCs w:val="24"/>
          <w:rtl/>
        </w:rPr>
        <w:t>אם הוגש נגד הנאשם כתב אישום</w:t>
      </w:r>
      <w:r w:rsidRPr="00821D28">
        <w:rPr>
          <w:rFonts w:cs="David" w:hint="cs"/>
          <w:sz w:val="24"/>
          <w:szCs w:val="24"/>
          <w:rtl/>
        </w:rPr>
        <w:t xml:space="preserve"> בעבירה אחרת לפי התנאים שבסעיף</w:t>
      </w:r>
      <w:r w:rsidR="000879D9">
        <w:rPr>
          <w:rStyle w:val="a6"/>
          <w:rFonts w:cs="David"/>
          <w:sz w:val="24"/>
          <w:szCs w:val="24"/>
          <w:rtl/>
        </w:rPr>
        <w:footnoteReference w:id="10"/>
      </w:r>
      <w:r w:rsidR="000879D9">
        <w:rPr>
          <w:rFonts w:cs="David" w:hint="cs"/>
          <w:sz w:val="24"/>
          <w:szCs w:val="24"/>
          <w:rtl/>
        </w:rPr>
        <w:t xml:space="preserve"> (</w:t>
      </w:r>
      <w:r>
        <w:rPr>
          <w:rFonts w:cs="David" w:hint="cs"/>
          <w:sz w:val="24"/>
          <w:szCs w:val="24"/>
          <w:rtl/>
        </w:rPr>
        <w:t>סעיף 51י(א2))</w:t>
      </w:r>
      <w:r w:rsidRPr="00821D28">
        <w:rPr>
          <w:rFonts w:cs="David" w:hint="cs"/>
          <w:sz w:val="24"/>
          <w:szCs w:val="24"/>
          <w:rtl/>
        </w:rPr>
        <w:t xml:space="preserve">. </w:t>
      </w:r>
    </w:p>
    <w:p w:rsidR="00BF49EA" w:rsidRDefault="00BF49EA" w:rsidP="00DF38A5">
      <w:pPr>
        <w:jc w:val="both"/>
        <w:rPr>
          <w:rFonts w:cs="David"/>
          <w:sz w:val="24"/>
          <w:szCs w:val="24"/>
          <w:rtl/>
        </w:rPr>
      </w:pPr>
      <w:r>
        <w:rPr>
          <w:rFonts w:cs="David" w:hint="cs"/>
          <w:sz w:val="24"/>
          <w:szCs w:val="24"/>
          <w:rtl/>
        </w:rPr>
        <w:t>בהצעת החוק מוצע לקבוע שני תיקונים בסעיף זה:</w:t>
      </w:r>
    </w:p>
    <w:p w:rsidR="00BF49EA" w:rsidRPr="00BF49EA" w:rsidRDefault="004A59CB" w:rsidP="00DF38A5">
      <w:pPr>
        <w:jc w:val="both"/>
        <w:rPr>
          <w:rFonts w:cs="David"/>
          <w:sz w:val="24"/>
          <w:szCs w:val="24"/>
          <w:u w:val="single"/>
          <w:rtl/>
        </w:rPr>
      </w:pPr>
      <w:r>
        <w:rPr>
          <w:rFonts w:cs="David" w:hint="cs"/>
          <w:sz w:val="24"/>
          <w:szCs w:val="24"/>
          <w:u w:val="single"/>
          <w:rtl/>
        </w:rPr>
        <w:t xml:space="preserve">1. </w:t>
      </w:r>
      <w:r w:rsidR="00BF49EA" w:rsidRPr="00BF49EA">
        <w:rPr>
          <w:rFonts w:cs="David" w:hint="cs"/>
          <w:sz w:val="24"/>
          <w:szCs w:val="24"/>
          <w:u w:val="single"/>
          <w:rtl/>
        </w:rPr>
        <w:t>תיקון סעיף 51י(א)</w:t>
      </w:r>
    </w:p>
    <w:p w:rsidR="001856A1" w:rsidRDefault="00BF49EA" w:rsidP="00BF49EA">
      <w:pPr>
        <w:jc w:val="both"/>
        <w:rPr>
          <w:rFonts w:cs="David"/>
          <w:sz w:val="24"/>
          <w:szCs w:val="24"/>
          <w:rtl/>
        </w:rPr>
      </w:pPr>
      <w:r>
        <w:rPr>
          <w:rFonts w:cs="David" w:hint="cs"/>
          <w:sz w:val="24"/>
          <w:szCs w:val="24"/>
          <w:rtl/>
        </w:rPr>
        <w:t xml:space="preserve">ברישה הסעיף נקבע כי: "הרשיע בית משפט עובד שירות </w:t>
      </w:r>
      <w:r w:rsidRPr="00BF49EA">
        <w:rPr>
          <w:rFonts w:cs="David" w:hint="cs"/>
          <w:b/>
          <w:bCs/>
          <w:sz w:val="24"/>
          <w:szCs w:val="24"/>
          <w:rtl/>
        </w:rPr>
        <w:t>בתקופת עבודתו</w:t>
      </w:r>
      <w:r>
        <w:rPr>
          <w:rFonts w:cs="David" w:hint="cs"/>
          <w:sz w:val="24"/>
          <w:szCs w:val="24"/>
          <w:rtl/>
        </w:rPr>
        <w:t xml:space="preserve"> בשל עבירה אחרת, יחולו הוראות אלה:...". </w:t>
      </w:r>
    </w:p>
    <w:p w:rsidR="008A640D" w:rsidRDefault="00BF49EA" w:rsidP="007033EB">
      <w:pPr>
        <w:jc w:val="both"/>
        <w:rPr>
          <w:rFonts w:cs="David"/>
          <w:sz w:val="24"/>
          <w:szCs w:val="24"/>
          <w:rtl/>
        </w:rPr>
      </w:pPr>
      <w:r>
        <w:rPr>
          <w:rFonts w:cs="David" w:hint="cs"/>
          <w:sz w:val="24"/>
          <w:szCs w:val="24"/>
          <w:rtl/>
        </w:rPr>
        <w:t>בתיקו</w:t>
      </w:r>
      <w:r w:rsidR="007033EB">
        <w:rPr>
          <w:rFonts w:cs="David" w:hint="cs"/>
          <w:sz w:val="24"/>
          <w:szCs w:val="24"/>
          <w:rtl/>
        </w:rPr>
        <w:t>ן מוצע להשמיט את המילים המודגשות ("בתקופת עבודתו")</w:t>
      </w:r>
      <w:r>
        <w:rPr>
          <w:rFonts w:cs="David" w:hint="cs"/>
          <w:sz w:val="24"/>
          <w:szCs w:val="24"/>
          <w:rtl/>
        </w:rPr>
        <w:t>. זאת, מאחר שהן יוצרות סתירה פנימית עם</w:t>
      </w:r>
      <w:r w:rsidR="007B56B3">
        <w:rPr>
          <w:rFonts w:cs="David" w:hint="cs"/>
          <w:sz w:val="24"/>
          <w:szCs w:val="24"/>
          <w:rtl/>
        </w:rPr>
        <w:t xml:space="preserve"> סעיף ההגדרות 51א שקובע כי עובד</w:t>
      </w:r>
      <w:r>
        <w:rPr>
          <w:rFonts w:cs="David" w:hint="cs"/>
          <w:sz w:val="24"/>
          <w:szCs w:val="24"/>
          <w:rtl/>
        </w:rPr>
        <w:t xml:space="preserve"> שירות הוא: "מי שנידון לעונש מאסר בעבודת שירות </w:t>
      </w:r>
      <w:r w:rsidRPr="00BF49EA">
        <w:rPr>
          <w:rFonts w:cs="David" w:hint="cs"/>
          <w:b/>
          <w:bCs/>
          <w:sz w:val="24"/>
          <w:szCs w:val="24"/>
          <w:rtl/>
        </w:rPr>
        <w:t>מהמועד שנקבע לתחילת ביצוע עבודת השירות</w:t>
      </w:r>
      <w:r>
        <w:rPr>
          <w:rFonts w:cs="David" w:hint="cs"/>
          <w:sz w:val="24"/>
          <w:szCs w:val="24"/>
          <w:rtl/>
        </w:rPr>
        <w:t xml:space="preserve">". </w:t>
      </w:r>
    </w:p>
    <w:p w:rsidR="00BF49EA" w:rsidRDefault="008A640D" w:rsidP="008A640D">
      <w:pPr>
        <w:jc w:val="both"/>
        <w:rPr>
          <w:rFonts w:cs="David"/>
          <w:sz w:val="24"/>
          <w:szCs w:val="24"/>
          <w:rtl/>
        </w:rPr>
      </w:pPr>
      <w:r>
        <w:rPr>
          <w:rFonts w:cs="David" w:hint="cs"/>
          <w:sz w:val="24"/>
          <w:szCs w:val="24"/>
          <w:rtl/>
        </w:rPr>
        <w:t xml:space="preserve">כך, </w:t>
      </w:r>
      <w:r w:rsidR="00BF49EA">
        <w:rPr>
          <w:rFonts w:cs="David" w:hint="cs"/>
          <w:sz w:val="24"/>
          <w:szCs w:val="24"/>
          <w:rtl/>
        </w:rPr>
        <w:t>כשקוראים את שתי ההוראות המודגשות</w:t>
      </w:r>
      <w:r>
        <w:rPr>
          <w:rFonts w:cs="David" w:hint="cs"/>
          <w:sz w:val="24"/>
          <w:szCs w:val="24"/>
          <w:rtl/>
        </w:rPr>
        <w:t xml:space="preserve"> שלעיל</w:t>
      </w:r>
      <w:r w:rsidR="00BF49EA">
        <w:rPr>
          <w:rFonts w:cs="David" w:hint="cs"/>
          <w:sz w:val="24"/>
          <w:szCs w:val="24"/>
          <w:rtl/>
        </w:rPr>
        <w:t xml:space="preserve">, יכולה לעלות השאלה </w:t>
      </w:r>
      <w:r w:rsidR="00BF49EA">
        <w:rPr>
          <w:rFonts w:cs="David"/>
          <w:sz w:val="24"/>
          <w:szCs w:val="24"/>
          <w:rtl/>
        </w:rPr>
        <w:t>–</w:t>
      </w:r>
      <w:r w:rsidR="00BF49EA">
        <w:rPr>
          <w:rFonts w:cs="David" w:hint="cs"/>
          <w:sz w:val="24"/>
          <w:szCs w:val="24"/>
          <w:rtl/>
        </w:rPr>
        <w:t xml:space="preserve"> האם ניתן להפסיק עבודת שירות של מי שהגיע כבר המועד לתחילת ביצוע עבודת השירות שלו, אך הוא לא התייצב </w:t>
      </w:r>
      <w:r w:rsidR="00BF49EA">
        <w:rPr>
          <w:rFonts w:cs="David" w:hint="cs"/>
          <w:sz w:val="24"/>
          <w:szCs w:val="24"/>
          <w:rtl/>
        </w:rPr>
        <w:lastRenderedPageBreak/>
        <w:t xml:space="preserve">לביצועה, ועל </w:t>
      </w:r>
      <w:r w:rsidR="00326189">
        <w:rPr>
          <w:rFonts w:cs="David" w:hint="cs"/>
          <w:sz w:val="24"/>
          <w:szCs w:val="24"/>
          <w:rtl/>
        </w:rPr>
        <w:t xml:space="preserve">כן </w:t>
      </w:r>
      <w:r w:rsidR="00BF49EA">
        <w:rPr>
          <w:rFonts w:cs="David" w:hint="cs"/>
          <w:sz w:val="24"/>
          <w:szCs w:val="24"/>
          <w:rtl/>
        </w:rPr>
        <w:t>ניתן לטעון שאינו נמצא "בתקופת עבו</w:t>
      </w:r>
      <w:r>
        <w:rPr>
          <w:rFonts w:cs="David" w:hint="cs"/>
          <w:sz w:val="24"/>
          <w:szCs w:val="24"/>
          <w:rtl/>
        </w:rPr>
        <w:t>דתו". טענות מסוג זה נדחו בפסיקה,</w:t>
      </w:r>
      <w:r w:rsidR="00BF49EA">
        <w:rPr>
          <w:rStyle w:val="a6"/>
          <w:rFonts w:cs="David"/>
          <w:sz w:val="24"/>
          <w:szCs w:val="24"/>
          <w:rtl/>
        </w:rPr>
        <w:footnoteReference w:id="11"/>
      </w:r>
      <w:r w:rsidR="00BF49EA">
        <w:rPr>
          <w:rFonts w:cs="David" w:hint="cs"/>
          <w:sz w:val="24"/>
          <w:szCs w:val="24"/>
          <w:rtl/>
        </w:rPr>
        <w:t xml:space="preserve"> </w:t>
      </w:r>
      <w:r>
        <w:rPr>
          <w:rFonts w:cs="David" w:hint="cs"/>
          <w:sz w:val="24"/>
          <w:szCs w:val="24"/>
          <w:rtl/>
        </w:rPr>
        <w:t>ו</w:t>
      </w:r>
      <w:r w:rsidR="00BF49EA">
        <w:rPr>
          <w:rFonts w:cs="David" w:hint="cs"/>
          <w:sz w:val="24"/>
          <w:szCs w:val="24"/>
          <w:rtl/>
        </w:rPr>
        <w:t xml:space="preserve">מוצע כעת לתקן את חוסר הבהירות שבחוק. </w:t>
      </w:r>
    </w:p>
    <w:p w:rsidR="00BF49EA" w:rsidRPr="009E0FF7" w:rsidRDefault="004A59CB" w:rsidP="00DF38A5">
      <w:pPr>
        <w:jc w:val="both"/>
        <w:rPr>
          <w:rFonts w:cs="David"/>
          <w:sz w:val="24"/>
          <w:szCs w:val="24"/>
          <w:u w:val="single"/>
          <w:rtl/>
        </w:rPr>
      </w:pPr>
      <w:r>
        <w:rPr>
          <w:rFonts w:cs="David" w:hint="cs"/>
          <w:sz w:val="24"/>
          <w:szCs w:val="24"/>
          <w:u w:val="single"/>
          <w:rtl/>
        </w:rPr>
        <w:t xml:space="preserve">2. </w:t>
      </w:r>
      <w:r w:rsidR="009E0FF7" w:rsidRPr="009E0FF7">
        <w:rPr>
          <w:rFonts w:cs="David" w:hint="cs"/>
          <w:sz w:val="24"/>
          <w:szCs w:val="24"/>
          <w:u w:val="single"/>
          <w:rtl/>
        </w:rPr>
        <w:t>הוספת הגדרה נפרדת ל"עובד שירות" לעניין סעיף 51י</w:t>
      </w:r>
    </w:p>
    <w:p w:rsidR="009E0FF7" w:rsidRDefault="004A59CB" w:rsidP="007B56B3">
      <w:pPr>
        <w:jc w:val="both"/>
        <w:rPr>
          <w:rFonts w:cs="David"/>
          <w:sz w:val="24"/>
          <w:szCs w:val="24"/>
          <w:rtl/>
        </w:rPr>
      </w:pPr>
      <w:r>
        <w:rPr>
          <w:rFonts w:cs="David" w:hint="cs"/>
          <w:sz w:val="24"/>
          <w:szCs w:val="24"/>
          <w:rtl/>
        </w:rPr>
        <w:t>מוצע לקבוע הגדרה נפרדת ל"עובד שירות"</w:t>
      </w:r>
      <w:r w:rsidR="007033EB">
        <w:rPr>
          <w:rFonts w:cs="David" w:hint="cs"/>
          <w:sz w:val="24"/>
          <w:szCs w:val="24"/>
          <w:rtl/>
        </w:rPr>
        <w:t xml:space="preserve"> </w:t>
      </w:r>
      <w:r>
        <w:rPr>
          <w:rFonts w:cs="David" w:hint="cs"/>
          <w:sz w:val="24"/>
          <w:szCs w:val="24"/>
          <w:rtl/>
        </w:rPr>
        <w:t>לעניין סעיף 51י</w:t>
      </w:r>
      <w:r w:rsidR="007B56B3">
        <w:rPr>
          <w:rFonts w:cs="David" w:hint="cs"/>
          <w:sz w:val="24"/>
          <w:szCs w:val="24"/>
          <w:rtl/>
        </w:rPr>
        <w:t xml:space="preserve"> לחוק העונשין</w:t>
      </w:r>
      <w:r>
        <w:rPr>
          <w:rFonts w:cs="David" w:hint="cs"/>
          <w:sz w:val="24"/>
          <w:szCs w:val="24"/>
          <w:rtl/>
        </w:rPr>
        <w:t xml:space="preserve">: "בסעיף זה, עובד שירות </w:t>
      </w:r>
      <w:r>
        <w:rPr>
          <w:rFonts w:cs="David"/>
          <w:sz w:val="24"/>
          <w:szCs w:val="24"/>
          <w:rtl/>
        </w:rPr>
        <w:t>–</w:t>
      </w:r>
      <w:r>
        <w:rPr>
          <w:rFonts w:cs="David" w:hint="cs"/>
          <w:sz w:val="24"/>
          <w:szCs w:val="24"/>
          <w:rtl/>
        </w:rPr>
        <w:t xml:space="preserve"> מי שנידון לעונש מאסר בעבודת שירות, </w:t>
      </w:r>
      <w:r w:rsidRPr="004A59CB">
        <w:rPr>
          <w:rFonts w:cs="David" w:hint="cs"/>
          <w:b/>
          <w:bCs/>
          <w:sz w:val="24"/>
          <w:szCs w:val="24"/>
          <w:rtl/>
        </w:rPr>
        <w:t>ממועד מתן גזר הדין</w:t>
      </w:r>
      <w:r>
        <w:rPr>
          <w:rFonts w:cs="David" w:hint="cs"/>
          <w:sz w:val="24"/>
          <w:szCs w:val="24"/>
          <w:rtl/>
        </w:rPr>
        <w:t>".</w:t>
      </w:r>
    </w:p>
    <w:p w:rsidR="000D7B21" w:rsidRDefault="004A59CB" w:rsidP="00DF38A5">
      <w:pPr>
        <w:jc w:val="both"/>
        <w:rPr>
          <w:rFonts w:cs="David"/>
          <w:sz w:val="24"/>
          <w:szCs w:val="24"/>
          <w:rtl/>
        </w:rPr>
      </w:pPr>
      <w:r>
        <w:rPr>
          <w:rFonts w:cs="David" w:hint="cs"/>
          <w:sz w:val="24"/>
          <w:szCs w:val="24"/>
          <w:rtl/>
        </w:rPr>
        <w:t>זאת בשונה מההגדרה בסעיף ההגדרות שלפיה עובד השירות נחשב ככזה "</w:t>
      </w:r>
      <w:r w:rsidRPr="004A59CB">
        <w:rPr>
          <w:rFonts w:cs="David" w:hint="cs"/>
          <w:b/>
          <w:bCs/>
          <w:sz w:val="24"/>
          <w:szCs w:val="24"/>
          <w:rtl/>
        </w:rPr>
        <w:t>מהמועד שנקבע לתחילת ביצוע עבודת השירות</w:t>
      </w:r>
      <w:r>
        <w:rPr>
          <w:rFonts w:cs="David" w:hint="cs"/>
          <w:sz w:val="24"/>
          <w:szCs w:val="24"/>
          <w:rtl/>
        </w:rPr>
        <w:t xml:space="preserve">". </w:t>
      </w:r>
    </w:p>
    <w:p w:rsidR="00A0260C" w:rsidRDefault="00A0260C" w:rsidP="00A0260C">
      <w:pPr>
        <w:jc w:val="both"/>
        <w:rPr>
          <w:rFonts w:cs="David"/>
          <w:sz w:val="24"/>
          <w:szCs w:val="24"/>
          <w:rtl/>
        </w:rPr>
      </w:pPr>
      <w:r>
        <w:rPr>
          <w:rFonts w:cs="David" w:hint="cs"/>
          <w:sz w:val="24"/>
          <w:szCs w:val="24"/>
          <w:rtl/>
        </w:rPr>
        <w:t>התיקון מרחיב את התפרשותה של ה"הפסקה שיפוטית" של עבודות השירות כך שסעיף 51י לחוק העונשין יחול גם על מי שנגזר כבר דינו אך טרם הגיע המועד שנקבע לתחילת עבודות השירות שלו.</w:t>
      </w:r>
    </w:p>
    <w:p w:rsidR="003205E5" w:rsidRDefault="003205E5" w:rsidP="007033EB">
      <w:pPr>
        <w:jc w:val="both"/>
        <w:rPr>
          <w:rFonts w:cs="David"/>
          <w:sz w:val="24"/>
          <w:szCs w:val="24"/>
          <w:rtl/>
        </w:rPr>
      </w:pPr>
      <w:r>
        <w:rPr>
          <w:rFonts w:cs="David" w:hint="cs"/>
          <w:sz w:val="24"/>
          <w:szCs w:val="24"/>
          <w:rtl/>
        </w:rPr>
        <w:t xml:space="preserve">להחלת סעיף </w:t>
      </w:r>
      <w:r w:rsidR="007033EB">
        <w:rPr>
          <w:rFonts w:cs="David" w:hint="cs"/>
          <w:sz w:val="24"/>
          <w:szCs w:val="24"/>
          <w:rtl/>
        </w:rPr>
        <w:t>51י</w:t>
      </w:r>
      <w:r>
        <w:rPr>
          <w:rFonts w:cs="David" w:hint="cs"/>
          <w:sz w:val="24"/>
          <w:szCs w:val="24"/>
          <w:rtl/>
        </w:rPr>
        <w:t xml:space="preserve"> </w:t>
      </w:r>
      <w:r w:rsidR="007033EB">
        <w:rPr>
          <w:rFonts w:cs="David" w:hint="cs"/>
          <w:sz w:val="24"/>
          <w:szCs w:val="24"/>
          <w:rtl/>
        </w:rPr>
        <w:t xml:space="preserve">לחוק העונשין </w:t>
      </w:r>
      <w:r>
        <w:rPr>
          <w:rFonts w:cs="David" w:hint="cs"/>
          <w:sz w:val="24"/>
          <w:szCs w:val="24"/>
          <w:rtl/>
        </w:rPr>
        <w:t xml:space="preserve">על מקרים נוספים כפי שמוצע </w:t>
      </w:r>
      <w:r w:rsidR="007033EB">
        <w:rPr>
          <w:rFonts w:cs="David" w:hint="cs"/>
          <w:sz w:val="24"/>
          <w:szCs w:val="24"/>
          <w:rtl/>
        </w:rPr>
        <w:t>כאן</w:t>
      </w:r>
      <w:r>
        <w:rPr>
          <w:rFonts w:cs="David" w:hint="cs"/>
          <w:sz w:val="24"/>
          <w:szCs w:val="24"/>
          <w:rtl/>
        </w:rPr>
        <w:t xml:space="preserve"> יש משמעות רבה מבחינת הנאשם: סעיף 51י </w:t>
      </w:r>
      <w:r w:rsidR="007033EB">
        <w:rPr>
          <w:rFonts w:cs="David" w:hint="cs"/>
          <w:sz w:val="24"/>
          <w:szCs w:val="24"/>
          <w:rtl/>
        </w:rPr>
        <w:t>האמור</w:t>
      </w:r>
      <w:r>
        <w:rPr>
          <w:rFonts w:cs="David" w:hint="cs"/>
          <w:sz w:val="24"/>
          <w:szCs w:val="24"/>
          <w:rtl/>
        </w:rPr>
        <w:t xml:space="preserve"> קובע לגבי אדם שהורשע בעבירה נוספת בעת שהוא עובד שירות ברירת מחדל מחמירה של ריצוי העונשים שנגזרו בשתי העבירות </w:t>
      </w:r>
      <w:r w:rsidRPr="009E0FF7">
        <w:rPr>
          <w:rFonts w:cs="David" w:hint="cs"/>
          <w:b/>
          <w:bCs/>
          <w:sz w:val="24"/>
          <w:szCs w:val="24"/>
          <w:rtl/>
        </w:rPr>
        <w:t>במצטבר</w:t>
      </w:r>
      <w:r>
        <w:rPr>
          <w:rFonts w:cs="David" w:hint="cs"/>
          <w:sz w:val="24"/>
          <w:szCs w:val="24"/>
          <w:rtl/>
        </w:rPr>
        <w:t xml:space="preserve">. זאת, להבדיל מסעיף 45(ב) לחוק העונשין שקובע כי במקרה הכללי בו אדם נידון למאסר ולפני שנשא כל ענשו חזר ונידון למאסר, ברירת המחדל היא כי הוא יישא את העונשים באופן </w:t>
      </w:r>
      <w:r w:rsidRPr="009E0FF7">
        <w:rPr>
          <w:rFonts w:cs="David" w:hint="cs"/>
          <w:b/>
          <w:bCs/>
          <w:sz w:val="24"/>
          <w:szCs w:val="24"/>
          <w:rtl/>
        </w:rPr>
        <w:t>חופף</w:t>
      </w:r>
      <w:r>
        <w:rPr>
          <w:rFonts w:cs="David" w:hint="cs"/>
          <w:sz w:val="24"/>
          <w:szCs w:val="24"/>
          <w:rtl/>
        </w:rPr>
        <w:t xml:space="preserve">. </w:t>
      </w:r>
    </w:p>
    <w:p w:rsidR="003205E5" w:rsidRDefault="003205E5" w:rsidP="003205E5">
      <w:pPr>
        <w:jc w:val="both"/>
        <w:rPr>
          <w:rFonts w:cs="David"/>
          <w:sz w:val="24"/>
          <w:szCs w:val="24"/>
          <w:rtl/>
        </w:rPr>
      </w:pPr>
      <w:r>
        <w:rPr>
          <w:rFonts w:cs="David" w:hint="cs"/>
          <w:sz w:val="24"/>
          <w:szCs w:val="24"/>
          <w:rtl/>
        </w:rPr>
        <w:t>נהוג להתייחס לסעיף 51י(א) כבעל תכלית הרתעתית. מי שנגזר עליו עונש מאסר בעבודות שירות זכה לפריבילגיה עונשית-שיקומית-מיוחדת, שאפשרה לו לשנות מדרכו הרעה. ומי שמנצל פריבילגיה זו לרעה (ומורשע בשנית בעבירה) יגרור התייחסות עונשית מחמירה ומרתיעה.</w:t>
      </w:r>
      <w:r>
        <w:rPr>
          <w:rStyle w:val="a6"/>
          <w:rFonts w:cs="David"/>
          <w:sz w:val="24"/>
          <w:szCs w:val="24"/>
          <w:rtl/>
        </w:rPr>
        <w:footnoteReference w:id="12"/>
      </w:r>
    </w:p>
    <w:p w:rsidR="003205E5" w:rsidRDefault="003205E5" w:rsidP="008C3178">
      <w:pPr>
        <w:jc w:val="both"/>
        <w:rPr>
          <w:rFonts w:cs="David"/>
          <w:sz w:val="24"/>
          <w:szCs w:val="24"/>
          <w:rtl/>
        </w:rPr>
      </w:pPr>
      <w:r w:rsidRPr="008A640D">
        <w:rPr>
          <w:rFonts w:cs="David"/>
          <w:sz w:val="24"/>
          <w:szCs w:val="24"/>
          <w:rtl/>
        </w:rPr>
        <w:t xml:space="preserve">במצב כיום, </w:t>
      </w:r>
      <w:r>
        <w:rPr>
          <w:rFonts w:cs="David" w:hint="cs"/>
          <w:sz w:val="24"/>
          <w:szCs w:val="24"/>
          <w:rtl/>
        </w:rPr>
        <w:t>כש</w:t>
      </w:r>
      <w:r w:rsidRPr="008A640D">
        <w:rPr>
          <w:rFonts w:cs="David"/>
          <w:sz w:val="24"/>
          <w:szCs w:val="24"/>
          <w:rtl/>
        </w:rPr>
        <w:t xml:space="preserve">ההרשעה בעבירה הנוספת היא בתקופה שלאחר גזר הדין וטרם </w:t>
      </w:r>
      <w:r>
        <w:rPr>
          <w:rFonts w:cs="David" w:hint="cs"/>
          <w:sz w:val="24"/>
          <w:szCs w:val="24"/>
          <w:rtl/>
        </w:rPr>
        <w:t>המועד ל</w:t>
      </w:r>
      <w:r w:rsidRPr="008A640D">
        <w:rPr>
          <w:rFonts w:cs="David"/>
          <w:sz w:val="24"/>
          <w:szCs w:val="24"/>
          <w:rtl/>
        </w:rPr>
        <w:t>תחיל</w:t>
      </w:r>
      <w:r>
        <w:rPr>
          <w:rFonts w:cs="David"/>
          <w:sz w:val="24"/>
          <w:szCs w:val="24"/>
          <w:rtl/>
        </w:rPr>
        <w:t xml:space="preserve">ת ביצוע עבודות השירות, </w:t>
      </w:r>
      <w:r w:rsidRPr="003205E5">
        <w:rPr>
          <w:rFonts w:cs="David"/>
          <w:b/>
          <w:bCs/>
          <w:sz w:val="24"/>
          <w:szCs w:val="24"/>
          <w:rtl/>
        </w:rPr>
        <w:t>סעיף 51י</w:t>
      </w:r>
      <w:r w:rsidRPr="003205E5">
        <w:rPr>
          <w:rFonts w:cs="David" w:hint="cs"/>
          <w:b/>
          <w:bCs/>
          <w:sz w:val="24"/>
          <w:szCs w:val="24"/>
          <w:rtl/>
        </w:rPr>
        <w:t xml:space="preserve"> לחוק העונשין</w:t>
      </w:r>
      <w:r w:rsidRPr="003205E5">
        <w:rPr>
          <w:rFonts w:cs="David"/>
          <w:b/>
          <w:bCs/>
          <w:sz w:val="24"/>
          <w:szCs w:val="24"/>
          <w:rtl/>
        </w:rPr>
        <w:t xml:space="preserve"> אינו חל</w:t>
      </w:r>
      <w:r w:rsidRPr="008A640D">
        <w:rPr>
          <w:rFonts w:cs="David"/>
          <w:sz w:val="24"/>
          <w:szCs w:val="24"/>
          <w:rtl/>
        </w:rPr>
        <w:t xml:space="preserve"> וכתוצאה מכך ברירת המחדל היא שהנאשם</w:t>
      </w:r>
      <w:r>
        <w:rPr>
          <w:rFonts w:cs="David"/>
          <w:sz w:val="24"/>
          <w:szCs w:val="24"/>
          <w:rtl/>
        </w:rPr>
        <w:t xml:space="preserve"> ירצה את </w:t>
      </w:r>
      <w:r>
        <w:rPr>
          <w:rFonts w:cs="David" w:hint="cs"/>
          <w:sz w:val="24"/>
          <w:szCs w:val="24"/>
          <w:rtl/>
        </w:rPr>
        <w:t>עונש המאסר שנגזר עליו</w:t>
      </w:r>
      <w:r w:rsidRPr="008A640D">
        <w:rPr>
          <w:rFonts w:cs="David"/>
          <w:sz w:val="24"/>
          <w:szCs w:val="24"/>
          <w:rtl/>
        </w:rPr>
        <w:t xml:space="preserve"> </w:t>
      </w:r>
      <w:r w:rsidRPr="003205E5">
        <w:rPr>
          <w:rFonts w:cs="David"/>
          <w:b/>
          <w:bCs/>
          <w:sz w:val="24"/>
          <w:szCs w:val="24"/>
          <w:rtl/>
        </w:rPr>
        <w:t>בחופף</w:t>
      </w:r>
      <w:r w:rsidRPr="008A640D">
        <w:rPr>
          <w:rFonts w:cs="David"/>
          <w:sz w:val="24"/>
          <w:szCs w:val="24"/>
          <w:rtl/>
        </w:rPr>
        <w:t xml:space="preserve"> לעונש עבודות השירות שהופקע (בהתאם לקבוע </w:t>
      </w:r>
      <w:r w:rsidRPr="003205E5">
        <w:rPr>
          <w:rFonts w:cs="David"/>
          <w:sz w:val="24"/>
          <w:szCs w:val="24"/>
          <w:rtl/>
        </w:rPr>
        <w:t xml:space="preserve">בסעיף 45 </w:t>
      </w:r>
      <w:r w:rsidRPr="003205E5">
        <w:rPr>
          <w:rFonts w:cs="David" w:hint="cs"/>
          <w:sz w:val="24"/>
          <w:szCs w:val="24"/>
          <w:rtl/>
        </w:rPr>
        <w:t>האמור</w:t>
      </w:r>
      <w:r w:rsidRPr="003205E5">
        <w:rPr>
          <w:rFonts w:cs="David"/>
          <w:sz w:val="24"/>
          <w:szCs w:val="24"/>
          <w:rtl/>
        </w:rPr>
        <w:t xml:space="preserve">). </w:t>
      </w:r>
      <w:r w:rsidRPr="005628D4">
        <w:rPr>
          <w:rFonts w:cs="David"/>
          <w:sz w:val="24"/>
          <w:szCs w:val="24"/>
          <w:rtl/>
        </w:rPr>
        <w:t xml:space="preserve">מצב זה יוצר פער משמעותי בין נאשמים שהורשעו בתקופה שלאחר </w:t>
      </w:r>
      <w:r w:rsidRPr="005628D4">
        <w:rPr>
          <w:rFonts w:cs="David" w:hint="cs"/>
          <w:sz w:val="24"/>
          <w:szCs w:val="24"/>
          <w:rtl/>
        </w:rPr>
        <w:t>ה</w:t>
      </w:r>
      <w:r w:rsidRPr="005628D4">
        <w:rPr>
          <w:rFonts w:cs="David"/>
          <w:sz w:val="24"/>
          <w:szCs w:val="24"/>
          <w:rtl/>
        </w:rPr>
        <w:t xml:space="preserve">מועד </w:t>
      </w:r>
      <w:r w:rsidRPr="005628D4">
        <w:rPr>
          <w:rFonts w:cs="David" w:hint="cs"/>
          <w:sz w:val="24"/>
          <w:szCs w:val="24"/>
          <w:rtl/>
        </w:rPr>
        <w:t xml:space="preserve">שנקבע לתחילת </w:t>
      </w:r>
      <w:r w:rsidRPr="005628D4">
        <w:rPr>
          <w:rFonts w:cs="David"/>
          <w:sz w:val="24"/>
          <w:szCs w:val="24"/>
          <w:rtl/>
        </w:rPr>
        <w:t>ביצוע העבודות (</w:t>
      </w:r>
      <w:r w:rsidRPr="005628D4">
        <w:rPr>
          <w:rFonts w:cs="David" w:hint="cs"/>
          <w:sz w:val="24"/>
          <w:szCs w:val="24"/>
          <w:rtl/>
        </w:rPr>
        <w:t>ש</w:t>
      </w:r>
      <w:r w:rsidRPr="005628D4">
        <w:rPr>
          <w:rFonts w:cs="David"/>
          <w:sz w:val="24"/>
          <w:szCs w:val="24"/>
          <w:rtl/>
        </w:rPr>
        <w:t>ירצו את תקופות המאסר בזו אחר זו), לנאשמים שהורשעו טרם מועד זה</w:t>
      </w:r>
      <w:r w:rsidRPr="005628D4">
        <w:rPr>
          <w:rFonts w:cs="David" w:hint="cs"/>
          <w:sz w:val="24"/>
          <w:szCs w:val="24"/>
          <w:rtl/>
        </w:rPr>
        <w:t xml:space="preserve"> (שירצו את התקופות בחופף)</w:t>
      </w:r>
      <w:r w:rsidRPr="005628D4">
        <w:rPr>
          <w:rFonts w:cs="David"/>
          <w:sz w:val="24"/>
          <w:szCs w:val="24"/>
          <w:rtl/>
        </w:rPr>
        <w:t>, זאת ללא כל הצדקה עניינית.</w:t>
      </w:r>
    </w:p>
    <w:p w:rsidR="00DA2F07" w:rsidRPr="00DA2F07" w:rsidRDefault="00DA2F07" w:rsidP="00DA2F07">
      <w:pPr>
        <w:jc w:val="both"/>
        <w:rPr>
          <w:rFonts w:cs="David"/>
          <w:sz w:val="24"/>
          <w:szCs w:val="24"/>
          <w:rtl/>
        </w:rPr>
      </w:pPr>
      <w:r w:rsidRPr="00DA2F07">
        <w:rPr>
          <w:rFonts w:cs="David" w:hint="cs"/>
          <w:sz w:val="24"/>
          <w:szCs w:val="24"/>
          <w:rtl/>
        </w:rPr>
        <w:t xml:space="preserve">בהקשר זה יש לשים לב כי מעבר לברירת המחדל של נשיאת עונשי המאסר במצטבר, הליך ההשגה על חלק מההחלטות של הפסקה שיפוטית הוא מוגבל (לגבי החלטת בית המשפט לפי סעיפים 51י(א)(2) ו-51י(א2) יש להגיש ערעור תוך 14 יום, הערעור ידון בשופט אחד ואין עליו ערעור נוסף </w:t>
      </w:r>
      <w:r w:rsidRPr="00DA2F07">
        <w:rPr>
          <w:rFonts w:cs="David"/>
          <w:sz w:val="24"/>
          <w:szCs w:val="24"/>
          <w:rtl/>
        </w:rPr>
        <w:t>–</w:t>
      </w:r>
      <w:r w:rsidRPr="00DA2F07">
        <w:rPr>
          <w:rFonts w:cs="David" w:hint="cs"/>
          <w:sz w:val="24"/>
          <w:szCs w:val="24"/>
          <w:rtl/>
        </w:rPr>
        <w:t xml:space="preserve"> סעיף 51י(ב) לחוק העונשין). וכן, הפסקה שיפוטית לפי סעיף 51י(א) אינה מחייבת מתן זכות טיעון לנאשם. </w:t>
      </w:r>
    </w:p>
    <w:p w:rsidR="004A59CB" w:rsidRPr="004A59CB" w:rsidRDefault="004A59CB" w:rsidP="00DF38A5">
      <w:pPr>
        <w:jc w:val="both"/>
        <w:rPr>
          <w:rFonts w:cs="David"/>
          <w:sz w:val="24"/>
          <w:szCs w:val="24"/>
          <w:u w:val="single"/>
          <w:rtl/>
        </w:rPr>
      </w:pPr>
      <w:r w:rsidRPr="004A59CB">
        <w:rPr>
          <w:rFonts w:cs="David" w:hint="cs"/>
          <w:sz w:val="24"/>
          <w:szCs w:val="24"/>
          <w:u w:val="single"/>
          <w:rtl/>
        </w:rPr>
        <w:t>נושאים לדיון</w:t>
      </w:r>
      <w:r>
        <w:rPr>
          <w:rFonts w:cs="David" w:hint="cs"/>
          <w:sz w:val="24"/>
          <w:szCs w:val="24"/>
          <w:u w:val="single"/>
          <w:rtl/>
        </w:rPr>
        <w:t xml:space="preserve"> </w:t>
      </w:r>
      <w:r>
        <w:rPr>
          <w:rFonts w:cs="David"/>
          <w:sz w:val="24"/>
          <w:szCs w:val="24"/>
          <w:u w:val="single"/>
          <w:rtl/>
        </w:rPr>
        <w:t>–</w:t>
      </w:r>
      <w:r>
        <w:rPr>
          <w:rFonts w:cs="David" w:hint="cs"/>
          <w:sz w:val="24"/>
          <w:szCs w:val="24"/>
          <w:u w:val="single"/>
          <w:rtl/>
        </w:rPr>
        <w:t xml:space="preserve"> הגדרת עובד שירות בסעיף 51י</w:t>
      </w:r>
    </w:p>
    <w:p w:rsidR="000A4968" w:rsidRDefault="000A4968" w:rsidP="008C3178">
      <w:pPr>
        <w:pStyle w:val="a3"/>
        <w:numPr>
          <w:ilvl w:val="0"/>
          <w:numId w:val="9"/>
        </w:numPr>
        <w:jc w:val="both"/>
        <w:rPr>
          <w:rFonts w:cs="David"/>
          <w:sz w:val="24"/>
          <w:szCs w:val="24"/>
        </w:rPr>
      </w:pPr>
      <w:r>
        <w:rPr>
          <w:rFonts w:cs="David" w:hint="cs"/>
          <w:sz w:val="24"/>
          <w:szCs w:val="24"/>
          <w:rtl/>
        </w:rPr>
        <w:t xml:space="preserve">מוצע לשמוע הסבר מגורמי המקצוע </w:t>
      </w:r>
      <w:r w:rsidRPr="000A4968">
        <w:rPr>
          <w:rFonts w:cs="David" w:hint="cs"/>
          <w:b/>
          <w:bCs/>
          <w:sz w:val="24"/>
          <w:szCs w:val="24"/>
          <w:rtl/>
        </w:rPr>
        <w:t xml:space="preserve">על מי האחריות ליידע את בית המשפט </w:t>
      </w:r>
      <w:r w:rsidRPr="000A4968">
        <w:rPr>
          <w:rFonts w:cs="David" w:hint="cs"/>
          <w:sz w:val="24"/>
          <w:szCs w:val="24"/>
          <w:rtl/>
        </w:rPr>
        <w:t>שגוזר את הדין בעבירה הנוספת שהנאשם מרצה גם עונש מאסר בעבודת שירות</w:t>
      </w:r>
      <w:r>
        <w:rPr>
          <w:rFonts w:cs="David" w:hint="cs"/>
          <w:sz w:val="24"/>
          <w:szCs w:val="24"/>
          <w:rtl/>
        </w:rPr>
        <w:t>. בהיעדר חקיקה שעוסקת בנקודה זו, הועל</w:t>
      </w:r>
      <w:r w:rsidR="008C3178">
        <w:rPr>
          <w:rFonts w:cs="David" w:hint="cs"/>
          <w:sz w:val="24"/>
          <w:szCs w:val="24"/>
          <w:rtl/>
        </w:rPr>
        <w:t>ו</w:t>
      </w:r>
      <w:r>
        <w:rPr>
          <w:rFonts w:cs="David" w:hint="cs"/>
          <w:sz w:val="24"/>
          <w:szCs w:val="24"/>
          <w:rtl/>
        </w:rPr>
        <w:t xml:space="preserve"> בפסיקה </w:t>
      </w:r>
      <w:r w:rsidR="008C3178">
        <w:rPr>
          <w:rFonts w:cs="David" w:hint="cs"/>
          <w:sz w:val="24"/>
          <w:szCs w:val="24"/>
          <w:rtl/>
        </w:rPr>
        <w:t>שתי אפשרויות: האחת,</w:t>
      </w:r>
      <w:r>
        <w:rPr>
          <w:rFonts w:cs="David" w:hint="cs"/>
          <w:sz w:val="24"/>
          <w:szCs w:val="24"/>
          <w:rtl/>
        </w:rPr>
        <w:t xml:space="preserve"> כי</w:t>
      </w:r>
      <w:r w:rsidR="00AF4306">
        <w:rPr>
          <w:rFonts w:cs="David" w:hint="cs"/>
          <w:sz w:val="24"/>
          <w:szCs w:val="24"/>
          <w:rtl/>
        </w:rPr>
        <w:t xml:space="preserve"> </w:t>
      </w:r>
      <w:r w:rsidR="008C3178">
        <w:rPr>
          <w:rFonts w:cs="David" w:hint="cs"/>
          <w:sz w:val="24"/>
          <w:szCs w:val="24"/>
          <w:rtl/>
        </w:rPr>
        <w:t>הסניגור הוא שאחראי ליידע את בית המשפט בכך; השנייה</w:t>
      </w:r>
      <w:r w:rsidR="0077573A">
        <w:rPr>
          <w:rFonts w:cs="David" w:hint="cs"/>
          <w:sz w:val="24"/>
          <w:szCs w:val="24"/>
          <w:rtl/>
        </w:rPr>
        <w:t>,</w:t>
      </w:r>
      <w:r w:rsidR="008C3178">
        <w:rPr>
          <w:rFonts w:cs="David" w:hint="cs"/>
          <w:sz w:val="24"/>
          <w:szCs w:val="24"/>
          <w:rtl/>
        </w:rPr>
        <w:t xml:space="preserve"> ש</w:t>
      </w:r>
      <w:r>
        <w:rPr>
          <w:rFonts w:cs="David" w:hint="cs"/>
          <w:sz w:val="24"/>
          <w:szCs w:val="24"/>
          <w:rtl/>
        </w:rPr>
        <w:t>התביעה תעלה בפני בית המשפט ב</w:t>
      </w:r>
      <w:r w:rsidR="00CC7C78">
        <w:rPr>
          <w:rFonts w:cs="David" w:hint="cs"/>
          <w:sz w:val="24"/>
          <w:szCs w:val="24"/>
          <w:rtl/>
        </w:rPr>
        <w:t xml:space="preserve">טענותיה לגזר הדין בעבירה האחרת </w:t>
      </w:r>
      <w:r>
        <w:rPr>
          <w:rFonts w:cs="David" w:hint="cs"/>
          <w:sz w:val="24"/>
          <w:szCs w:val="24"/>
          <w:rtl/>
        </w:rPr>
        <w:t>גם את הטענ</w:t>
      </w:r>
      <w:r w:rsidR="003205E5">
        <w:rPr>
          <w:rFonts w:cs="David" w:hint="cs"/>
          <w:sz w:val="24"/>
          <w:szCs w:val="24"/>
          <w:rtl/>
        </w:rPr>
        <w:t>ה כי הוא מרצה עבודות שירות עובר</w:t>
      </w:r>
      <w:r>
        <w:rPr>
          <w:rFonts w:cs="David" w:hint="cs"/>
          <w:sz w:val="24"/>
          <w:szCs w:val="24"/>
          <w:rtl/>
        </w:rPr>
        <w:t xml:space="preserve"> לגזירת הדין בעבירה האחרת, ותבהיר כי אם יוטל עליו עונש מאסר בגין עבירה זו, יש להפעיל שיקול דעת שיפוטי בשאלה </w:t>
      </w:r>
      <w:r w:rsidR="00CC7C78">
        <w:rPr>
          <w:rFonts w:cs="David" w:hint="cs"/>
          <w:sz w:val="24"/>
          <w:szCs w:val="24"/>
          <w:rtl/>
        </w:rPr>
        <w:t>האם לחפוף את עונשי המאסר זה לזה</w:t>
      </w:r>
      <w:r>
        <w:rPr>
          <w:rFonts w:cs="David" w:hint="cs"/>
          <w:sz w:val="24"/>
          <w:szCs w:val="24"/>
          <w:rtl/>
        </w:rPr>
        <w:t>.</w:t>
      </w:r>
      <w:r>
        <w:rPr>
          <w:rStyle w:val="a6"/>
          <w:rFonts w:cs="David"/>
          <w:sz w:val="24"/>
          <w:szCs w:val="24"/>
          <w:rtl/>
        </w:rPr>
        <w:footnoteReference w:id="13"/>
      </w:r>
      <w:r w:rsidR="00157A29">
        <w:rPr>
          <w:rFonts w:cs="David" w:hint="cs"/>
          <w:sz w:val="24"/>
          <w:szCs w:val="24"/>
          <w:rtl/>
        </w:rPr>
        <w:t xml:space="preserve"> </w:t>
      </w:r>
    </w:p>
    <w:p w:rsidR="000D7B21" w:rsidRPr="000D7B21" w:rsidRDefault="000D7B21" w:rsidP="00DF38A5">
      <w:pPr>
        <w:jc w:val="both"/>
        <w:rPr>
          <w:rFonts w:cs="David"/>
          <w:sz w:val="24"/>
          <w:szCs w:val="24"/>
        </w:rPr>
      </w:pPr>
    </w:p>
    <w:sectPr w:rsidR="000D7B21" w:rsidRPr="000D7B21" w:rsidSect="00D4606D">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F1D" w:rsidRDefault="00400F1D" w:rsidP="00036214">
      <w:pPr>
        <w:spacing w:after="0" w:line="240" w:lineRule="auto"/>
      </w:pPr>
      <w:r>
        <w:separator/>
      </w:r>
    </w:p>
  </w:endnote>
  <w:endnote w:type="continuationSeparator" w:id="0">
    <w:p w:rsidR="00400F1D" w:rsidRDefault="00400F1D" w:rsidP="00036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David"/>
        <w:rtl/>
      </w:rPr>
      <w:id w:val="1813676409"/>
      <w:docPartObj>
        <w:docPartGallery w:val="Page Numbers (Bottom of Page)"/>
        <w:docPartUnique/>
      </w:docPartObj>
    </w:sdtPr>
    <w:sdtEndPr/>
    <w:sdtContent>
      <w:p w:rsidR="004A59CB" w:rsidRPr="000252EE" w:rsidRDefault="004A59CB">
        <w:pPr>
          <w:pStyle w:val="a9"/>
          <w:jc w:val="right"/>
          <w:rPr>
            <w:rFonts w:cs="David"/>
            <w:rtl/>
            <w:cs/>
          </w:rPr>
        </w:pPr>
        <w:r w:rsidRPr="000252EE">
          <w:rPr>
            <w:rFonts w:cs="David"/>
          </w:rPr>
          <w:fldChar w:fldCharType="begin"/>
        </w:r>
        <w:r w:rsidRPr="000252EE">
          <w:rPr>
            <w:rFonts w:cs="David"/>
            <w:rtl/>
            <w:cs/>
          </w:rPr>
          <w:instrText>PAGE   \* MERGEFORMAT</w:instrText>
        </w:r>
        <w:r w:rsidRPr="000252EE">
          <w:rPr>
            <w:rFonts w:cs="David"/>
          </w:rPr>
          <w:fldChar w:fldCharType="separate"/>
        </w:r>
        <w:r w:rsidR="00C644F8" w:rsidRPr="00C644F8">
          <w:rPr>
            <w:rFonts w:cs="David"/>
            <w:noProof/>
            <w:rtl/>
            <w:lang w:val="he-IL"/>
          </w:rPr>
          <w:t>1</w:t>
        </w:r>
        <w:r w:rsidRPr="000252EE">
          <w:rPr>
            <w:rFonts w:cs="David"/>
          </w:rPr>
          <w:fldChar w:fldCharType="end"/>
        </w:r>
      </w:p>
    </w:sdtContent>
  </w:sdt>
  <w:p w:rsidR="004A59CB" w:rsidRDefault="004A59C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F1D" w:rsidRDefault="00400F1D" w:rsidP="00036214">
      <w:pPr>
        <w:spacing w:after="0" w:line="240" w:lineRule="auto"/>
      </w:pPr>
      <w:r>
        <w:separator/>
      </w:r>
    </w:p>
  </w:footnote>
  <w:footnote w:type="continuationSeparator" w:id="0">
    <w:p w:rsidR="00400F1D" w:rsidRDefault="00400F1D" w:rsidP="00036214">
      <w:pPr>
        <w:spacing w:after="0" w:line="240" w:lineRule="auto"/>
      </w:pPr>
      <w:r>
        <w:continuationSeparator/>
      </w:r>
    </w:p>
  </w:footnote>
  <w:footnote w:id="1">
    <w:p w:rsidR="004A59CB" w:rsidRDefault="004A59CB" w:rsidP="00D34DA6">
      <w:pPr>
        <w:pStyle w:val="a4"/>
        <w:jc w:val="both"/>
        <w:rPr>
          <w:rtl/>
        </w:rPr>
      </w:pPr>
      <w:r>
        <w:rPr>
          <w:rStyle w:val="a6"/>
        </w:rPr>
        <w:footnoteRef/>
      </w:r>
      <w:r>
        <w:rPr>
          <w:rtl/>
        </w:rPr>
        <w:t xml:space="preserve"> </w:t>
      </w:r>
      <w:r w:rsidRPr="00D34DA6">
        <w:rPr>
          <w:rFonts w:cs="David" w:hint="cs"/>
          <w:rtl/>
        </w:rPr>
        <w:t>סם מסוכן כהגדרתו בפקודת הסמים המסוכנים [נוסח חדש]</w:t>
      </w:r>
      <w:r>
        <w:rPr>
          <w:rFonts w:cs="David" w:hint="cs"/>
          <w:rtl/>
        </w:rPr>
        <w:t>,</w:t>
      </w:r>
      <w:r w:rsidRPr="00D34DA6">
        <w:rPr>
          <w:rFonts w:cs="David" w:hint="cs"/>
          <w:rtl/>
        </w:rPr>
        <w:t xml:space="preserve"> התשל"ג-1973 כולל רשימה ארוכה של חומרים שמפורטים בתוספת הראשונה לפקודה.</w:t>
      </w:r>
      <w:r>
        <w:rPr>
          <w:rFonts w:hint="cs"/>
          <w:rtl/>
        </w:rPr>
        <w:t xml:space="preserve"> </w:t>
      </w:r>
    </w:p>
  </w:footnote>
  <w:footnote w:id="2">
    <w:p w:rsidR="004A59CB" w:rsidRDefault="004A59CB">
      <w:pPr>
        <w:pStyle w:val="a4"/>
      </w:pPr>
      <w:r>
        <w:rPr>
          <w:rStyle w:val="a6"/>
        </w:rPr>
        <w:footnoteRef/>
      </w:r>
      <w:r>
        <w:rPr>
          <w:rtl/>
        </w:rPr>
        <w:t xml:space="preserve"> </w:t>
      </w:r>
      <w:r w:rsidRPr="00226A8D">
        <w:rPr>
          <w:rFonts w:cs="David" w:hint="cs"/>
          <w:rtl/>
        </w:rPr>
        <w:t>סעיף 51ב(ב1)(1) לחוק העונשין.</w:t>
      </w:r>
    </w:p>
  </w:footnote>
  <w:footnote w:id="3">
    <w:p w:rsidR="004A59CB" w:rsidRDefault="004A59CB">
      <w:pPr>
        <w:pStyle w:val="a4"/>
      </w:pPr>
      <w:r>
        <w:rPr>
          <w:rStyle w:val="a6"/>
        </w:rPr>
        <w:footnoteRef/>
      </w:r>
      <w:r>
        <w:rPr>
          <w:rtl/>
        </w:rPr>
        <w:t xml:space="preserve"> </w:t>
      </w:r>
      <w:r w:rsidRPr="00226A8D">
        <w:rPr>
          <w:rFonts w:cs="David" w:hint="cs"/>
          <w:rtl/>
        </w:rPr>
        <w:t>סעיף 51ב(ב1)(2) לחוק העונשין.</w:t>
      </w:r>
    </w:p>
  </w:footnote>
  <w:footnote w:id="4">
    <w:p w:rsidR="004A59CB" w:rsidRDefault="004A59CB" w:rsidP="0055200D">
      <w:pPr>
        <w:pStyle w:val="a4"/>
        <w:jc w:val="both"/>
      </w:pPr>
      <w:r>
        <w:rPr>
          <w:rStyle w:val="a6"/>
        </w:rPr>
        <w:footnoteRef/>
      </w:r>
      <w:r>
        <w:rPr>
          <w:rtl/>
        </w:rPr>
        <w:t xml:space="preserve"> </w:t>
      </w:r>
      <w:r w:rsidRPr="0055200D">
        <w:rPr>
          <w:rFonts w:cs="David" w:hint="cs"/>
          <w:rtl/>
        </w:rPr>
        <w:t xml:space="preserve">טופס 3 </w:t>
      </w:r>
      <w:r>
        <w:rPr>
          <w:rFonts w:cs="David"/>
          <w:rtl/>
        </w:rPr>
        <w:t>–</w:t>
      </w:r>
      <w:r>
        <w:rPr>
          <w:rFonts w:cs="David" w:hint="cs"/>
          <w:rtl/>
        </w:rPr>
        <w:t xml:space="preserve"> שאלון רפואי למועמד לעבודת שירות וכתב ויתור על סודיות רפואית </w:t>
      </w:r>
      <w:r>
        <w:rPr>
          <w:rFonts w:cs="David"/>
          <w:rtl/>
        </w:rPr>
        <w:t>–</w:t>
      </w:r>
      <w:r>
        <w:rPr>
          <w:rFonts w:cs="David" w:hint="cs"/>
          <w:rtl/>
        </w:rPr>
        <w:t xml:space="preserve"> </w:t>
      </w:r>
      <w:r w:rsidRPr="0055200D">
        <w:rPr>
          <w:rFonts w:cs="David" w:hint="cs"/>
          <w:rtl/>
        </w:rPr>
        <w:t>לפי תקנה 2(ב)(2) לתקנות האמורות.</w:t>
      </w:r>
      <w:r>
        <w:rPr>
          <w:rFonts w:hint="cs"/>
          <w:rtl/>
        </w:rPr>
        <w:t xml:space="preserve"> </w:t>
      </w:r>
    </w:p>
  </w:footnote>
  <w:footnote w:id="5">
    <w:p w:rsidR="004A59CB" w:rsidRDefault="004A59CB" w:rsidP="00C06361">
      <w:pPr>
        <w:pStyle w:val="a4"/>
      </w:pPr>
      <w:r>
        <w:rPr>
          <w:rStyle w:val="a6"/>
        </w:rPr>
        <w:footnoteRef/>
      </w:r>
      <w:r>
        <w:rPr>
          <w:rtl/>
        </w:rPr>
        <w:t xml:space="preserve"> </w:t>
      </w:r>
      <w:r w:rsidRPr="006C19B9">
        <w:rPr>
          <w:rFonts w:cs="David" w:hint="cs"/>
          <w:rtl/>
        </w:rPr>
        <w:t>סעיף 51ג(ד) לחוק העונשין</w:t>
      </w:r>
      <w:r>
        <w:rPr>
          <w:rFonts w:cs="David" w:hint="cs"/>
          <w:rtl/>
        </w:rPr>
        <w:t xml:space="preserve">. על כך רשאים להורות </w:t>
      </w:r>
      <w:r w:rsidRPr="00C06361">
        <w:rPr>
          <w:rFonts w:cs="David" w:hint="cs"/>
          <w:rtl/>
        </w:rPr>
        <w:t>הממונה או סוהר בכיר שהוסמך לכך</w:t>
      </w:r>
      <w:r w:rsidRPr="006C19B9">
        <w:rPr>
          <w:rFonts w:cs="David" w:hint="cs"/>
          <w:rtl/>
        </w:rPr>
        <w:t>.</w:t>
      </w:r>
    </w:p>
  </w:footnote>
  <w:footnote w:id="6">
    <w:p w:rsidR="004A59CB" w:rsidRDefault="004A59CB" w:rsidP="00475966">
      <w:pPr>
        <w:pStyle w:val="a4"/>
        <w:jc w:val="both"/>
        <w:rPr>
          <w:rtl/>
        </w:rPr>
      </w:pPr>
      <w:r>
        <w:rPr>
          <w:rStyle w:val="a6"/>
        </w:rPr>
        <w:footnoteRef/>
      </w:r>
      <w:r>
        <w:rPr>
          <w:rtl/>
        </w:rPr>
        <w:t xml:space="preserve"> </w:t>
      </w:r>
      <w:r w:rsidRPr="006C19B9">
        <w:rPr>
          <w:rFonts w:cs="David" w:hint="cs"/>
          <w:rtl/>
        </w:rPr>
        <w:t>סעיף 51ט(א)(2)</w:t>
      </w:r>
      <w:r>
        <w:rPr>
          <w:rFonts w:cs="David" w:hint="cs"/>
          <w:rtl/>
        </w:rPr>
        <w:t xml:space="preserve"> לחוק העונשין. על כך רשאים להחליט </w:t>
      </w:r>
      <w:r w:rsidRPr="00C06361">
        <w:rPr>
          <w:rFonts w:cs="David" w:hint="cs"/>
          <w:rtl/>
        </w:rPr>
        <w:t>נציב שירות בתי הסוהר או קצין בדרגת גונדר שהוסמך לכך.</w:t>
      </w:r>
      <w:r>
        <w:rPr>
          <w:rFonts w:cs="David" w:hint="cs"/>
          <w:sz w:val="24"/>
          <w:szCs w:val="24"/>
          <w:rtl/>
        </w:rPr>
        <w:t xml:space="preserve"> </w:t>
      </w:r>
    </w:p>
  </w:footnote>
  <w:footnote w:id="7">
    <w:p w:rsidR="004A59CB" w:rsidRDefault="004A59CB" w:rsidP="00475966">
      <w:pPr>
        <w:pStyle w:val="a4"/>
        <w:jc w:val="both"/>
      </w:pPr>
      <w:r>
        <w:rPr>
          <w:rStyle w:val="a6"/>
        </w:rPr>
        <w:footnoteRef/>
      </w:r>
      <w:r>
        <w:rPr>
          <w:rtl/>
        </w:rPr>
        <w:t xml:space="preserve"> </w:t>
      </w:r>
      <w:r w:rsidRPr="00C06361">
        <w:rPr>
          <w:rFonts w:cs="David" w:hint="cs"/>
          <w:rtl/>
        </w:rPr>
        <w:t>סעיף 51ט(א)(4) לחוק העונשין. כך רשאים לקבוע נציב שירות בתי הסוהר או קצין בדרגת גונדר שהוסמך לכך.</w:t>
      </w:r>
    </w:p>
  </w:footnote>
  <w:footnote w:id="8">
    <w:p w:rsidR="004A59CB" w:rsidRDefault="004A59CB" w:rsidP="00475966">
      <w:pPr>
        <w:pStyle w:val="a4"/>
        <w:jc w:val="both"/>
      </w:pPr>
      <w:r>
        <w:rPr>
          <w:rStyle w:val="a6"/>
        </w:rPr>
        <w:footnoteRef/>
      </w:r>
      <w:r>
        <w:rPr>
          <w:rtl/>
        </w:rPr>
        <w:t xml:space="preserve"> </w:t>
      </w:r>
      <w:r w:rsidRPr="00475966">
        <w:rPr>
          <w:rFonts w:cs="David" w:hint="cs"/>
          <w:rtl/>
        </w:rPr>
        <w:t>במספר חוקים שעוסקים במתן דגימת שתן קיימת הוראה שמבהירה מה דינו של מי שמסרב לבדיקה. ראו</w:t>
      </w:r>
      <w:r w:rsidRPr="00D52C35">
        <w:rPr>
          <w:rFonts w:cs="David" w:hint="cs"/>
          <w:rtl/>
        </w:rPr>
        <w:t xml:space="preserve"> ל</w:t>
      </w:r>
      <w:r w:rsidRPr="00475966">
        <w:rPr>
          <w:rFonts w:cs="David" w:hint="cs"/>
          <w:rtl/>
        </w:rPr>
        <w:t>משל סעיף 64ד</w:t>
      </w:r>
      <w:r>
        <w:rPr>
          <w:rFonts w:cs="David" w:hint="cs"/>
          <w:rtl/>
        </w:rPr>
        <w:t>(א)</w:t>
      </w:r>
      <w:r w:rsidRPr="00475966">
        <w:rPr>
          <w:rFonts w:cs="David" w:hint="cs"/>
          <w:rtl/>
        </w:rPr>
        <w:t xml:space="preserve"> לפקודת התעבורה</w:t>
      </w:r>
      <w:r w:rsidR="002D13AC">
        <w:rPr>
          <w:rFonts w:cs="David" w:hint="cs"/>
          <w:rtl/>
        </w:rPr>
        <w:t xml:space="preserve"> [נוסח חדש]</w:t>
      </w:r>
      <w:r w:rsidRPr="00475966">
        <w:rPr>
          <w:rFonts w:cs="David" w:hint="cs"/>
          <w:rtl/>
        </w:rPr>
        <w:t xml:space="preserve">, שקובע מה דינו של מי שמסרב לבדיקת שכרות: </w:t>
      </w:r>
      <w:r w:rsidR="00D52C35">
        <w:rPr>
          <w:rFonts w:cs="David" w:hint="cs"/>
          <w:rtl/>
        </w:rPr>
        <w:t>"</w:t>
      </w:r>
      <w:r>
        <w:rPr>
          <w:rFonts w:cs="David" w:hint="cs"/>
          <w:rtl/>
        </w:rPr>
        <w:t>64ד</w:t>
      </w:r>
      <w:r w:rsidRPr="00475966">
        <w:rPr>
          <w:rFonts w:cs="David"/>
          <w:rtl/>
        </w:rPr>
        <w:t>(א)</w:t>
      </w:r>
      <w:r>
        <w:rPr>
          <w:rFonts w:cs="David" w:hint="cs"/>
          <w:rtl/>
        </w:rPr>
        <w:t>.</w:t>
      </w:r>
      <w:r w:rsidRPr="00475966">
        <w:rPr>
          <w:rFonts w:cs="David" w:hint="cs"/>
          <w:rtl/>
        </w:rPr>
        <w:t xml:space="preserve"> </w:t>
      </w:r>
      <w:r w:rsidRPr="00475966">
        <w:rPr>
          <w:rFonts w:cs="David"/>
          <w:rtl/>
        </w:rPr>
        <w:t>סירב נוהג ברכב</w:t>
      </w:r>
      <w:r>
        <w:rPr>
          <w:rFonts w:cs="David" w:hint="cs"/>
          <w:rtl/>
        </w:rPr>
        <w:t xml:space="preserve">... </w:t>
      </w:r>
      <w:r w:rsidRPr="00475966">
        <w:rPr>
          <w:rFonts w:cs="David"/>
          <w:rtl/>
        </w:rPr>
        <w:t>לתת דגימה לפי דרישת שוטר כאמור באותו סעיף, יראו אותו כמי שעבר עבירה לפי סעיף 62(3)</w:t>
      </w:r>
      <w:r w:rsidR="00D52C35">
        <w:rPr>
          <w:rFonts w:cs="David" w:hint="cs"/>
          <w:rtl/>
        </w:rPr>
        <w:t>"</w:t>
      </w:r>
      <w:r w:rsidRPr="00475966">
        <w:rPr>
          <w:rFonts w:cs="David" w:hint="cs"/>
          <w:rtl/>
        </w:rPr>
        <w:t>. כן ראו סעיף 95ח(ב) לפקודת בתי הסוהר</w:t>
      </w:r>
      <w:r w:rsidR="002D13AC">
        <w:rPr>
          <w:rFonts w:cs="David" w:hint="cs"/>
          <w:rtl/>
        </w:rPr>
        <w:t xml:space="preserve"> [נוסח חדש], התשל"ב-1971</w:t>
      </w:r>
      <w:r w:rsidRPr="00475966">
        <w:rPr>
          <w:rFonts w:cs="David" w:hint="cs"/>
          <w:rtl/>
        </w:rPr>
        <w:t xml:space="preserve"> שם נקבע מה דינו של אסיר שמסרב לבדיקת שתן</w:t>
      </w:r>
      <w:r>
        <w:rPr>
          <w:rFonts w:cs="David" w:hint="cs"/>
          <w:rtl/>
        </w:rPr>
        <w:t xml:space="preserve">: </w:t>
      </w:r>
      <w:r w:rsidR="00D52C35">
        <w:rPr>
          <w:rFonts w:cs="David" w:hint="cs"/>
          <w:rtl/>
        </w:rPr>
        <w:t>"</w:t>
      </w:r>
      <w:r>
        <w:rPr>
          <w:rFonts w:cs="David" w:hint="cs"/>
          <w:rtl/>
        </w:rPr>
        <w:t>95ח</w:t>
      </w:r>
      <w:r w:rsidRPr="00475966">
        <w:rPr>
          <w:rFonts w:cs="David"/>
          <w:rtl/>
        </w:rPr>
        <w:t>(</w:t>
      </w:r>
      <w:r w:rsidRPr="00475966">
        <w:rPr>
          <w:rFonts w:cs="David" w:hint="cs"/>
          <w:rtl/>
        </w:rPr>
        <w:t>ב)</w:t>
      </w:r>
      <w:r>
        <w:rPr>
          <w:rFonts w:cs="David" w:hint="cs"/>
          <w:rtl/>
        </w:rPr>
        <w:t xml:space="preserve">. </w:t>
      </w:r>
      <w:r w:rsidRPr="00475966">
        <w:rPr>
          <w:rFonts w:cs="David" w:hint="cs"/>
          <w:rtl/>
        </w:rPr>
        <w:t xml:space="preserve">לא </w:t>
      </w:r>
      <w:r w:rsidRPr="00475966">
        <w:rPr>
          <w:rFonts w:cs="David"/>
          <w:rtl/>
        </w:rPr>
        <w:t>נ</w:t>
      </w:r>
      <w:r w:rsidRPr="00475966">
        <w:rPr>
          <w:rFonts w:cs="David" w:hint="cs"/>
          <w:rtl/>
        </w:rPr>
        <w:t>תן האסיר את הסכמתו ללקיחת דגימה של שתן, ייח</w:t>
      </w:r>
      <w:r w:rsidRPr="00475966">
        <w:rPr>
          <w:rFonts w:cs="David"/>
          <w:rtl/>
        </w:rPr>
        <w:t>שב</w:t>
      </w:r>
      <w:r w:rsidRPr="00475966">
        <w:rPr>
          <w:rFonts w:cs="David" w:hint="cs"/>
          <w:rtl/>
        </w:rPr>
        <w:t xml:space="preserve"> סירובו לעבירת בית סוהר כמשמעותה בסעיף 56</w:t>
      </w:r>
      <w:r w:rsidR="00D52C35">
        <w:rPr>
          <w:rFonts w:cs="David" w:hint="cs"/>
          <w:rtl/>
        </w:rPr>
        <w:t>"</w:t>
      </w:r>
      <w:r w:rsidRPr="00475966">
        <w:rPr>
          <w:rFonts w:cs="David" w:hint="cs"/>
          <w:rtl/>
        </w:rPr>
        <w:t>.</w:t>
      </w:r>
    </w:p>
  </w:footnote>
  <w:footnote w:id="9">
    <w:p w:rsidR="004A59CB" w:rsidRDefault="004A59CB" w:rsidP="00015A2A">
      <w:pPr>
        <w:pStyle w:val="a4"/>
        <w:jc w:val="both"/>
      </w:pPr>
      <w:r>
        <w:rPr>
          <w:rStyle w:val="a6"/>
        </w:rPr>
        <w:footnoteRef/>
      </w:r>
      <w:r>
        <w:rPr>
          <w:rtl/>
        </w:rPr>
        <w:t xml:space="preserve"> </w:t>
      </w:r>
      <w:r w:rsidRPr="003D3451">
        <w:rPr>
          <w:rFonts w:cs="David" w:hint="cs"/>
          <w:rtl/>
        </w:rPr>
        <w:t xml:space="preserve">ראו למשל: רע"ב 2112/13 </w:t>
      </w:r>
      <w:r w:rsidRPr="003D3451">
        <w:rPr>
          <w:rFonts w:cs="David" w:hint="cs"/>
          <w:b/>
          <w:bCs/>
          <w:rtl/>
        </w:rPr>
        <w:t xml:space="preserve">מדינת ישראל </w:t>
      </w:r>
      <w:r w:rsidRPr="003D3451">
        <w:rPr>
          <w:rFonts w:cs="David"/>
          <w:b/>
          <w:bCs/>
          <w:rtl/>
        </w:rPr>
        <w:t>–</w:t>
      </w:r>
      <w:r w:rsidRPr="003D3451">
        <w:rPr>
          <w:rFonts w:cs="David" w:hint="cs"/>
          <w:b/>
          <w:bCs/>
          <w:rtl/>
        </w:rPr>
        <w:t xml:space="preserve"> שירות בתי הסוהר נ' אוחיון</w:t>
      </w:r>
      <w:r w:rsidRPr="003D3451">
        <w:rPr>
          <w:rFonts w:cs="David" w:hint="cs"/>
          <w:rtl/>
        </w:rPr>
        <w:t xml:space="preserve"> (23.6.2013).</w:t>
      </w:r>
      <w:r>
        <w:rPr>
          <w:rFonts w:hint="cs"/>
          <w:rtl/>
        </w:rPr>
        <w:t xml:space="preserve"> </w:t>
      </w:r>
    </w:p>
  </w:footnote>
  <w:footnote w:id="10">
    <w:p w:rsidR="000879D9" w:rsidRDefault="000879D9" w:rsidP="002D13AC">
      <w:pPr>
        <w:pStyle w:val="a4"/>
        <w:jc w:val="both"/>
        <w:rPr>
          <w:rtl/>
        </w:rPr>
      </w:pPr>
      <w:r>
        <w:rPr>
          <w:rStyle w:val="a6"/>
        </w:rPr>
        <w:footnoteRef/>
      </w:r>
      <w:r>
        <w:rPr>
          <w:rtl/>
        </w:rPr>
        <w:t xml:space="preserve"> </w:t>
      </w:r>
      <w:r w:rsidRPr="000879D9">
        <w:rPr>
          <w:rFonts w:cs="David" w:hint="cs"/>
          <w:rtl/>
        </w:rPr>
        <w:t>אם על פי העובדות הנטענות בכתב האישום אין זה הולם כי הנאשם יתחיל או ימשיך לשאת את עונשו בעבודת שירות. זאת לנוכח העיתוי של ביצוע העבירה, מהותה, חומרתה ונסיבות ביצועה.</w:t>
      </w:r>
    </w:p>
  </w:footnote>
  <w:footnote w:id="11">
    <w:p w:rsidR="004A59CB" w:rsidRDefault="004A59CB" w:rsidP="002D13AC">
      <w:pPr>
        <w:pStyle w:val="a4"/>
        <w:jc w:val="both"/>
      </w:pPr>
      <w:r>
        <w:rPr>
          <w:rStyle w:val="a6"/>
        </w:rPr>
        <w:footnoteRef/>
      </w:r>
      <w:r>
        <w:rPr>
          <w:rtl/>
        </w:rPr>
        <w:t xml:space="preserve"> </w:t>
      </w:r>
      <w:r w:rsidRPr="003D3451">
        <w:rPr>
          <w:rFonts w:cs="David" w:hint="cs"/>
          <w:rtl/>
        </w:rPr>
        <w:t xml:space="preserve">ראו למשל: </w:t>
      </w:r>
      <w:r w:rsidR="006032B9">
        <w:rPr>
          <w:rFonts w:cs="David" w:hint="cs"/>
          <w:rtl/>
        </w:rPr>
        <w:t xml:space="preserve">רע"ב 11834/05 </w:t>
      </w:r>
      <w:r w:rsidR="006032B9" w:rsidRPr="006032B9">
        <w:rPr>
          <w:rFonts w:cs="David" w:hint="cs"/>
          <w:b/>
          <w:bCs/>
          <w:rtl/>
        </w:rPr>
        <w:t>אמבאו נ' מדינת ישראל</w:t>
      </w:r>
      <w:r w:rsidR="006032B9">
        <w:rPr>
          <w:rFonts w:cs="David" w:hint="cs"/>
          <w:rtl/>
        </w:rPr>
        <w:t xml:space="preserve"> (3.4.2006); </w:t>
      </w:r>
      <w:r w:rsidRPr="003D3451">
        <w:rPr>
          <w:rFonts w:cs="David" w:hint="cs"/>
          <w:rtl/>
        </w:rPr>
        <w:t xml:space="preserve">רע"ב 2112/13 </w:t>
      </w:r>
      <w:r w:rsidR="006032B9">
        <w:rPr>
          <w:rFonts w:cs="David" w:hint="cs"/>
          <w:b/>
          <w:bCs/>
          <w:rtl/>
        </w:rPr>
        <w:t>אוחיון</w:t>
      </w:r>
      <w:r w:rsidR="006032B9">
        <w:rPr>
          <w:rFonts w:cs="David" w:hint="cs"/>
          <w:rtl/>
        </w:rPr>
        <w:t>, ה"ש 9</w:t>
      </w:r>
      <w:r w:rsidR="00395C32">
        <w:rPr>
          <w:rFonts w:cs="David" w:hint="cs"/>
          <w:rtl/>
        </w:rPr>
        <w:t xml:space="preserve"> לעיל</w:t>
      </w:r>
      <w:r>
        <w:rPr>
          <w:rFonts w:cs="David" w:hint="cs"/>
          <w:rtl/>
        </w:rPr>
        <w:t xml:space="preserve">; עת"א (מרכז) 16450-02-13 </w:t>
      </w:r>
      <w:r w:rsidRPr="008E3D9D">
        <w:rPr>
          <w:rFonts w:cs="David" w:hint="cs"/>
          <w:b/>
          <w:bCs/>
          <w:rtl/>
        </w:rPr>
        <w:t>עוויסי נ' הממונה על עבודות שירות</w:t>
      </w:r>
      <w:r>
        <w:rPr>
          <w:rFonts w:cs="David" w:hint="cs"/>
          <w:rtl/>
        </w:rPr>
        <w:t xml:space="preserve"> (</w:t>
      </w:r>
      <w:r w:rsidRPr="008E3D9D">
        <w:rPr>
          <w:rFonts w:cs="David" w:hint="cs"/>
          <w:rtl/>
        </w:rPr>
        <w:t>5.3.2013).</w:t>
      </w:r>
    </w:p>
  </w:footnote>
  <w:footnote w:id="12">
    <w:p w:rsidR="003205E5" w:rsidRDefault="003205E5" w:rsidP="003205E5">
      <w:pPr>
        <w:pStyle w:val="a4"/>
        <w:jc w:val="both"/>
        <w:rPr>
          <w:rtl/>
        </w:rPr>
      </w:pPr>
      <w:r>
        <w:rPr>
          <w:rStyle w:val="a6"/>
        </w:rPr>
        <w:footnoteRef/>
      </w:r>
      <w:r>
        <w:rPr>
          <w:rtl/>
        </w:rPr>
        <w:t xml:space="preserve"> </w:t>
      </w:r>
      <w:r w:rsidRPr="00672945">
        <w:rPr>
          <w:rFonts w:cs="David" w:hint="cs"/>
          <w:rtl/>
        </w:rPr>
        <w:t xml:space="preserve">רע"ב 4042/10 </w:t>
      </w:r>
      <w:r w:rsidRPr="00672945">
        <w:rPr>
          <w:rFonts w:cs="David" w:hint="cs"/>
          <w:b/>
          <w:bCs/>
          <w:rtl/>
        </w:rPr>
        <w:t>קשרי נ' מדינת ישראל</w:t>
      </w:r>
      <w:r>
        <w:rPr>
          <w:rFonts w:cs="David" w:hint="cs"/>
          <w:rtl/>
        </w:rPr>
        <w:t xml:space="preserve"> (27.7.2010); רע"ב 5114/08 </w:t>
      </w:r>
      <w:r w:rsidRPr="00AF21BF">
        <w:rPr>
          <w:rFonts w:cs="David" w:hint="cs"/>
          <w:b/>
          <w:bCs/>
          <w:rtl/>
        </w:rPr>
        <w:t>מדינת ישראל נ' גלם</w:t>
      </w:r>
      <w:r>
        <w:rPr>
          <w:rFonts w:cs="David" w:hint="cs"/>
          <w:rtl/>
        </w:rPr>
        <w:t>, פסקה 15 (11.11.2008).</w:t>
      </w:r>
    </w:p>
  </w:footnote>
  <w:footnote w:id="13">
    <w:p w:rsidR="000A4968" w:rsidRDefault="000A4968" w:rsidP="00395C32">
      <w:pPr>
        <w:pStyle w:val="a4"/>
      </w:pPr>
      <w:r>
        <w:rPr>
          <w:rStyle w:val="a6"/>
        </w:rPr>
        <w:footnoteRef/>
      </w:r>
      <w:r>
        <w:rPr>
          <w:rtl/>
        </w:rPr>
        <w:t xml:space="preserve"> </w:t>
      </w:r>
      <w:r w:rsidRPr="000A4968">
        <w:rPr>
          <w:rFonts w:cs="David" w:hint="cs"/>
          <w:rtl/>
        </w:rPr>
        <w:t xml:space="preserve">רע"ב </w:t>
      </w:r>
      <w:r w:rsidRPr="000A4968">
        <w:rPr>
          <w:rFonts w:cs="David" w:hint="cs"/>
          <w:b/>
          <w:bCs/>
          <w:rtl/>
        </w:rPr>
        <w:t>גלם</w:t>
      </w:r>
      <w:r w:rsidR="00395C32">
        <w:rPr>
          <w:rFonts w:cs="David" w:hint="cs"/>
          <w:rtl/>
        </w:rPr>
        <w:t>, ה"ש 12 לעיל</w:t>
      </w:r>
      <w:r w:rsidR="002D13AC">
        <w:rPr>
          <w:rFonts w:cs="David" w:hint="cs"/>
          <w:rtl/>
        </w:rPr>
        <w:t>, ב</w:t>
      </w:r>
      <w:r w:rsidRPr="000A4968">
        <w:rPr>
          <w:rFonts w:cs="David" w:hint="cs"/>
          <w:rtl/>
        </w:rPr>
        <w:t>פסקה 18</w:t>
      </w:r>
      <w:r w:rsidR="002D13AC">
        <w:rPr>
          <w:rFonts w:cs="David" w:hint="cs"/>
          <w:rtl/>
        </w:rPr>
        <w:t xml:space="preserve"> לפסק הדין</w:t>
      </w:r>
      <w:r w:rsidRPr="000A4968">
        <w:rPr>
          <w:rFonts w:cs="David" w:hint="cs"/>
          <w:rtl/>
        </w:rPr>
        <w:t>.</w:t>
      </w:r>
      <w:r>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054C"/>
    <w:multiLevelType w:val="hybridMultilevel"/>
    <w:tmpl w:val="376A413C"/>
    <w:lvl w:ilvl="0" w:tplc="8F88C2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EA2BEF"/>
    <w:multiLevelType w:val="hybridMultilevel"/>
    <w:tmpl w:val="96F6C1CE"/>
    <w:lvl w:ilvl="0" w:tplc="BC1282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473FB9"/>
    <w:multiLevelType w:val="hybridMultilevel"/>
    <w:tmpl w:val="376A413C"/>
    <w:lvl w:ilvl="0" w:tplc="8F88C2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E14016"/>
    <w:multiLevelType w:val="hybridMultilevel"/>
    <w:tmpl w:val="5382FCE6"/>
    <w:lvl w:ilvl="0" w:tplc="8C867C48">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DD6F13"/>
    <w:multiLevelType w:val="hybridMultilevel"/>
    <w:tmpl w:val="61AA0C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7296D40"/>
    <w:multiLevelType w:val="hybridMultilevel"/>
    <w:tmpl w:val="2C786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42410A"/>
    <w:multiLevelType w:val="hybridMultilevel"/>
    <w:tmpl w:val="E2FC9A16"/>
    <w:lvl w:ilvl="0" w:tplc="0954472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C1535B"/>
    <w:multiLevelType w:val="hybridMultilevel"/>
    <w:tmpl w:val="84D6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4C6C51"/>
    <w:multiLevelType w:val="hybridMultilevel"/>
    <w:tmpl w:val="8FE6F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6313A9"/>
    <w:multiLevelType w:val="hybridMultilevel"/>
    <w:tmpl w:val="348895BC"/>
    <w:lvl w:ilvl="0" w:tplc="8F88C2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2A30A0"/>
    <w:multiLevelType w:val="hybridMultilevel"/>
    <w:tmpl w:val="98BA9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135C19"/>
    <w:multiLevelType w:val="hybridMultilevel"/>
    <w:tmpl w:val="5F1AFCD4"/>
    <w:lvl w:ilvl="0" w:tplc="12AEE5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0"/>
  </w:num>
  <w:num w:numId="3">
    <w:abstractNumId w:val="4"/>
  </w:num>
  <w:num w:numId="4">
    <w:abstractNumId w:val="6"/>
  </w:num>
  <w:num w:numId="5">
    <w:abstractNumId w:val="0"/>
  </w:num>
  <w:num w:numId="6">
    <w:abstractNumId w:val="1"/>
  </w:num>
  <w:num w:numId="7">
    <w:abstractNumId w:val="2"/>
  </w:num>
  <w:num w:numId="8">
    <w:abstractNumId w:val="8"/>
  </w:num>
  <w:num w:numId="9">
    <w:abstractNumId w:val="5"/>
  </w:num>
  <w:num w:numId="10">
    <w:abstractNumId w:val="9"/>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182"/>
    <w:rsid w:val="00015A2A"/>
    <w:rsid w:val="000252EE"/>
    <w:rsid w:val="00036214"/>
    <w:rsid w:val="00053E27"/>
    <w:rsid w:val="00075EE2"/>
    <w:rsid w:val="000879D9"/>
    <w:rsid w:val="000928A4"/>
    <w:rsid w:val="000A4968"/>
    <w:rsid w:val="000D7B21"/>
    <w:rsid w:val="000E5080"/>
    <w:rsid w:val="00157A29"/>
    <w:rsid w:val="00172E24"/>
    <w:rsid w:val="0017561D"/>
    <w:rsid w:val="001856A1"/>
    <w:rsid w:val="00197AC2"/>
    <w:rsid w:val="001B0470"/>
    <w:rsid w:val="001B0C87"/>
    <w:rsid w:val="001B3175"/>
    <w:rsid w:val="001B41DA"/>
    <w:rsid w:val="001C0772"/>
    <w:rsid w:val="00226A8D"/>
    <w:rsid w:val="00245807"/>
    <w:rsid w:val="00247BCD"/>
    <w:rsid w:val="00253FDA"/>
    <w:rsid w:val="00297105"/>
    <w:rsid w:val="002B685C"/>
    <w:rsid w:val="002C3CBF"/>
    <w:rsid w:val="002D13AC"/>
    <w:rsid w:val="002D5442"/>
    <w:rsid w:val="002F0818"/>
    <w:rsid w:val="002F64DC"/>
    <w:rsid w:val="003205E5"/>
    <w:rsid w:val="00326189"/>
    <w:rsid w:val="00341AED"/>
    <w:rsid w:val="003656A8"/>
    <w:rsid w:val="0037244F"/>
    <w:rsid w:val="00395C32"/>
    <w:rsid w:val="003D0E69"/>
    <w:rsid w:val="003D3451"/>
    <w:rsid w:val="003E610F"/>
    <w:rsid w:val="003F6FD0"/>
    <w:rsid w:val="00400F1D"/>
    <w:rsid w:val="0046348F"/>
    <w:rsid w:val="00475966"/>
    <w:rsid w:val="004766FB"/>
    <w:rsid w:val="004A59CB"/>
    <w:rsid w:val="004B036D"/>
    <w:rsid w:val="004D2485"/>
    <w:rsid w:val="0053570B"/>
    <w:rsid w:val="00543079"/>
    <w:rsid w:val="0055200D"/>
    <w:rsid w:val="00557FCE"/>
    <w:rsid w:val="005628D4"/>
    <w:rsid w:val="00564D3F"/>
    <w:rsid w:val="0059180B"/>
    <w:rsid w:val="00596C91"/>
    <w:rsid w:val="005B7CC1"/>
    <w:rsid w:val="005E74FE"/>
    <w:rsid w:val="005F7A61"/>
    <w:rsid w:val="00602009"/>
    <w:rsid w:val="006032B9"/>
    <w:rsid w:val="00614AF9"/>
    <w:rsid w:val="00656E7B"/>
    <w:rsid w:val="00662129"/>
    <w:rsid w:val="00672945"/>
    <w:rsid w:val="006935CE"/>
    <w:rsid w:val="006A3339"/>
    <w:rsid w:val="006A7F81"/>
    <w:rsid w:val="006C19B9"/>
    <w:rsid w:val="006C50F5"/>
    <w:rsid w:val="007033EB"/>
    <w:rsid w:val="00774408"/>
    <w:rsid w:val="0077573A"/>
    <w:rsid w:val="00784182"/>
    <w:rsid w:val="00787BCC"/>
    <w:rsid w:val="007A0D6E"/>
    <w:rsid w:val="007B56B3"/>
    <w:rsid w:val="007B5BDE"/>
    <w:rsid w:val="007D7556"/>
    <w:rsid w:val="00821CB6"/>
    <w:rsid w:val="00821D28"/>
    <w:rsid w:val="00834104"/>
    <w:rsid w:val="008A640D"/>
    <w:rsid w:val="008C3178"/>
    <w:rsid w:val="008E3D9D"/>
    <w:rsid w:val="008F1127"/>
    <w:rsid w:val="008F5999"/>
    <w:rsid w:val="009151D6"/>
    <w:rsid w:val="0093466E"/>
    <w:rsid w:val="0095616E"/>
    <w:rsid w:val="009B30F9"/>
    <w:rsid w:val="009D2458"/>
    <w:rsid w:val="009E0FF7"/>
    <w:rsid w:val="009F3AC7"/>
    <w:rsid w:val="00A0260C"/>
    <w:rsid w:val="00A151D6"/>
    <w:rsid w:val="00A45351"/>
    <w:rsid w:val="00A65567"/>
    <w:rsid w:val="00AF21BF"/>
    <w:rsid w:val="00AF4306"/>
    <w:rsid w:val="00B12936"/>
    <w:rsid w:val="00B13150"/>
    <w:rsid w:val="00B50F77"/>
    <w:rsid w:val="00B51F7E"/>
    <w:rsid w:val="00B810EC"/>
    <w:rsid w:val="00BE7AB5"/>
    <w:rsid w:val="00BF49EA"/>
    <w:rsid w:val="00C049F4"/>
    <w:rsid w:val="00C06361"/>
    <w:rsid w:val="00C315D8"/>
    <w:rsid w:val="00C32271"/>
    <w:rsid w:val="00C4675B"/>
    <w:rsid w:val="00C55946"/>
    <w:rsid w:val="00C644F8"/>
    <w:rsid w:val="00CB6165"/>
    <w:rsid w:val="00CC7C78"/>
    <w:rsid w:val="00CD712A"/>
    <w:rsid w:val="00D15A24"/>
    <w:rsid w:val="00D27F5A"/>
    <w:rsid w:val="00D34DA6"/>
    <w:rsid w:val="00D4606D"/>
    <w:rsid w:val="00D52C35"/>
    <w:rsid w:val="00D62DB3"/>
    <w:rsid w:val="00D85358"/>
    <w:rsid w:val="00D95365"/>
    <w:rsid w:val="00DA2F07"/>
    <w:rsid w:val="00DB09FE"/>
    <w:rsid w:val="00DF38A5"/>
    <w:rsid w:val="00E50601"/>
    <w:rsid w:val="00E536AB"/>
    <w:rsid w:val="00E626BE"/>
    <w:rsid w:val="00E67902"/>
    <w:rsid w:val="00EF4DD8"/>
    <w:rsid w:val="00F42257"/>
    <w:rsid w:val="00F63A91"/>
    <w:rsid w:val="00F65A33"/>
    <w:rsid w:val="00F73D14"/>
    <w:rsid w:val="00FA5F1A"/>
    <w:rsid w:val="00FA7F8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378BF8-1410-4A5E-8C4E-A7DFF7807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7BCD"/>
    <w:pPr>
      <w:ind w:left="720"/>
      <w:contextualSpacing/>
    </w:pPr>
  </w:style>
  <w:style w:type="paragraph" w:styleId="a4">
    <w:name w:val="footnote text"/>
    <w:basedOn w:val="a"/>
    <w:link w:val="a5"/>
    <w:uiPriority w:val="99"/>
    <w:semiHidden/>
    <w:unhideWhenUsed/>
    <w:rsid w:val="00036214"/>
    <w:pPr>
      <w:spacing w:after="0" w:line="240" w:lineRule="auto"/>
    </w:pPr>
    <w:rPr>
      <w:sz w:val="20"/>
      <w:szCs w:val="20"/>
    </w:rPr>
  </w:style>
  <w:style w:type="character" w:customStyle="1" w:styleId="a5">
    <w:name w:val="טקסט הערת שוליים תו"/>
    <w:basedOn w:val="a0"/>
    <w:link w:val="a4"/>
    <w:uiPriority w:val="99"/>
    <w:semiHidden/>
    <w:rsid w:val="00036214"/>
    <w:rPr>
      <w:sz w:val="20"/>
      <w:szCs w:val="20"/>
    </w:rPr>
  </w:style>
  <w:style w:type="character" w:styleId="a6">
    <w:name w:val="footnote reference"/>
    <w:basedOn w:val="a0"/>
    <w:uiPriority w:val="99"/>
    <w:semiHidden/>
    <w:unhideWhenUsed/>
    <w:rsid w:val="00036214"/>
    <w:rPr>
      <w:vertAlign w:val="superscript"/>
    </w:rPr>
  </w:style>
  <w:style w:type="character" w:customStyle="1" w:styleId="default">
    <w:name w:val="default"/>
    <w:basedOn w:val="a0"/>
    <w:rsid w:val="00475966"/>
    <w:rPr>
      <w:rFonts w:ascii="Times New Roman" w:hAnsi="Times New Roman" w:cs="Times New Roman"/>
      <w:sz w:val="26"/>
      <w:szCs w:val="26"/>
    </w:rPr>
  </w:style>
  <w:style w:type="paragraph" w:styleId="a7">
    <w:name w:val="header"/>
    <w:basedOn w:val="a"/>
    <w:link w:val="a8"/>
    <w:uiPriority w:val="99"/>
    <w:unhideWhenUsed/>
    <w:rsid w:val="000252EE"/>
    <w:pPr>
      <w:tabs>
        <w:tab w:val="center" w:pos="4153"/>
        <w:tab w:val="right" w:pos="8306"/>
      </w:tabs>
      <w:spacing w:after="0" w:line="240" w:lineRule="auto"/>
    </w:pPr>
  </w:style>
  <w:style w:type="character" w:customStyle="1" w:styleId="a8">
    <w:name w:val="כותרת עליונה תו"/>
    <w:basedOn w:val="a0"/>
    <w:link w:val="a7"/>
    <w:uiPriority w:val="99"/>
    <w:rsid w:val="000252EE"/>
  </w:style>
  <w:style w:type="paragraph" w:styleId="a9">
    <w:name w:val="footer"/>
    <w:basedOn w:val="a"/>
    <w:link w:val="aa"/>
    <w:uiPriority w:val="99"/>
    <w:unhideWhenUsed/>
    <w:rsid w:val="000252EE"/>
    <w:pPr>
      <w:tabs>
        <w:tab w:val="center" w:pos="4153"/>
        <w:tab w:val="right" w:pos="8306"/>
      </w:tabs>
      <w:spacing w:after="0" w:line="240" w:lineRule="auto"/>
    </w:pPr>
  </w:style>
  <w:style w:type="character" w:customStyle="1" w:styleId="aa">
    <w:name w:val="כותרת תחתונה תו"/>
    <w:basedOn w:val="a0"/>
    <w:link w:val="a9"/>
    <w:uiPriority w:val="99"/>
    <w:rsid w:val="000252EE"/>
  </w:style>
  <w:style w:type="paragraph" w:styleId="ab">
    <w:name w:val="Balloon Text"/>
    <w:basedOn w:val="a"/>
    <w:link w:val="ac"/>
    <w:uiPriority w:val="99"/>
    <w:semiHidden/>
    <w:unhideWhenUsed/>
    <w:rsid w:val="00C32271"/>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C32271"/>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98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0B95BD-A85A-440A-9290-C3DC9E501783}"/>
</file>

<file path=customXml/itemProps2.xml><?xml version="1.0" encoding="utf-8"?>
<ds:datastoreItem xmlns:ds="http://schemas.openxmlformats.org/officeDocument/2006/customXml" ds:itemID="{CACA6DB9-320B-4176-82F4-01351E7A0030}"/>
</file>

<file path=customXml/itemProps3.xml><?xml version="1.0" encoding="utf-8"?>
<ds:datastoreItem xmlns:ds="http://schemas.openxmlformats.org/officeDocument/2006/customXml" ds:itemID="{6BD99D3E-6396-49B7-8129-05CC797C2A3A}"/>
</file>

<file path=customXml/itemProps4.xml><?xml version="1.0" encoding="utf-8"?>
<ds:datastoreItem xmlns:ds="http://schemas.openxmlformats.org/officeDocument/2006/customXml" ds:itemID="{8E7E6E86-4B23-4C34-BEF5-862F1E74566D}"/>
</file>

<file path=docProps/app.xml><?xml version="1.0" encoding="utf-8"?>
<Properties xmlns="http://schemas.openxmlformats.org/officeDocument/2006/extended-properties" xmlns:vt="http://schemas.openxmlformats.org/officeDocument/2006/docPropsVTypes">
  <Template>Normal</Template>
  <TotalTime>0</TotalTime>
  <Pages>5</Pages>
  <Words>2217</Words>
  <Characters>11086</Characters>
  <Application>Microsoft Office Word</Application>
  <DocSecurity>4</DocSecurity>
  <Lines>92</Lines>
  <Paragraphs>26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13277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נטלי שלף</cp:lastModifiedBy>
  <cp:revision>2</cp:revision>
  <cp:lastPrinted>2016-05-09T07:28:00Z</cp:lastPrinted>
  <dcterms:created xsi:type="dcterms:W3CDTF">2016-05-09T14:42:00Z</dcterms:created>
  <dcterms:modified xsi:type="dcterms:W3CDTF">2016-05-09T14:42:00Z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579173</vt:r8>
  </property>
</Properties>
</file>