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438A" w:rsidRPr="00C87EDE" w:rsidRDefault="005A438A" w:rsidP="005A438A">
      <w:pPr>
        <w:jc w:val="center"/>
        <w:rPr>
          <w:b/>
          <w:bCs/>
          <w:u w:val="single"/>
        </w:rPr>
      </w:pPr>
      <w:bookmarkStart w:id="0" w:name="_GoBack"/>
      <w:bookmarkEnd w:id="0"/>
      <w:r w:rsidRPr="00C87EDE">
        <w:rPr>
          <w:rFonts w:hint="cs"/>
          <w:b/>
          <w:bCs/>
          <w:u w:val="single"/>
          <w:rtl/>
        </w:rPr>
        <w:t>נייר עמדה</w:t>
      </w:r>
    </w:p>
    <w:p w:rsidR="005A438A" w:rsidRPr="00C87EDE" w:rsidRDefault="005A438A" w:rsidP="005A438A">
      <w:pPr>
        <w:jc w:val="center"/>
        <w:rPr>
          <w:b/>
          <w:bCs/>
          <w:u w:val="single"/>
        </w:rPr>
      </w:pPr>
      <w:r w:rsidRPr="00C87EDE">
        <w:rPr>
          <w:rFonts w:hint="cs"/>
          <w:b/>
          <w:bCs/>
          <w:u w:val="single"/>
          <w:rtl/>
        </w:rPr>
        <w:t xml:space="preserve">תקנות להסדר התדיינויות בסכסוכי משפחה (הוראת שעה), </w:t>
      </w:r>
    </w:p>
    <w:p w:rsidR="005A438A" w:rsidRPr="00C87EDE" w:rsidRDefault="005A438A" w:rsidP="005A438A">
      <w:pPr>
        <w:jc w:val="center"/>
        <w:rPr>
          <w:b/>
          <w:bCs/>
          <w:u w:val="single"/>
          <w:rtl/>
        </w:rPr>
      </w:pPr>
      <w:r w:rsidRPr="00C87EDE">
        <w:rPr>
          <w:rFonts w:hint="cs"/>
          <w:b/>
          <w:bCs/>
          <w:u w:val="single"/>
          <w:rtl/>
        </w:rPr>
        <w:t>התשע"ו-2016</w:t>
      </w:r>
    </w:p>
    <w:p w:rsidR="005A438A" w:rsidRPr="00C87EDE" w:rsidRDefault="005A438A" w:rsidP="005A438A">
      <w:pPr>
        <w:jc w:val="center"/>
        <w:rPr>
          <w:b/>
          <w:bCs/>
          <w:u w:val="single"/>
          <w:rtl/>
        </w:rPr>
      </w:pPr>
    </w:p>
    <w:p w:rsidR="005A438A" w:rsidRPr="00C87EDE" w:rsidRDefault="005A438A" w:rsidP="005A438A">
      <w:pPr>
        <w:jc w:val="center"/>
        <w:rPr>
          <w:b/>
          <w:bCs/>
          <w:rtl/>
        </w:rPr>
      </w:pPr>
      <w:r w:rsidRPr="00C87EDE">
        <w:rPr>
          <w:rFonts w:hint="cs"/>
          <w:b/>
          <w:bCs/>
          <w:rtl/>
        </w:rPr>
        <w:t>פיליפ מרכוס</w:t>
      </w:r>
    </w:p>
    <w:p w:rsidR="005A438A" w:rsidRPr="0074556C" w:rsidRDefault="005A438A" w:rsidP="005A438A">
      <w:pPr>
        <w:jc w:val="center"/>
        <w:rPr>
          <w:b/>
          <w:bCs/>
          <w:sz w:val="40"/>
          <w:szCs w:val="40"/>
          <w:rtl/>
        </w:rPr>
      </w:pPr>
      <w:r w:rsidRPr="00C87EDE">
        <w:rPr>
          <w:rFonts w:hint="cs"/>
          <w:b/>
          <w:bCs/>
          <w:rtl/>
        </w:rPr>
        <w:t>שופט בית המשפט לענייני משפחה בירושלים (בדימוס)</w:t>
      </w:r>
    </w:p>
    <w:p w:rsidR="00A21066" w:rsidRDefault="00A21066" w:rsidP="005A438A">
      <w:pPr>
        <w:rPr>
          <w:sz w:val="28"/>
          <w:szCs w:val="28"/>
          <w:rtl/>
        </w:rPr>
      </w:pPr>
    </w:p>
    <w:p w:rsidR="005A438A" w:rsidRPr="00C87EDE" w:rsidRDefault="005A438A" w:rsidP="006256E5">
      <w:pPr>
        <w:rPr>
          <w:sz w:val="28"/>
          <w:szCs w:val="28"/>
          <w:rtl/>
        </w:rPr>
      </w:pPr>
      <w:r w:rsidRPr="00C87EDE">
        <w:rPr>
          <w:rFonts w:hint="cs"/>
          <w:sz w:val="28"/>
          <w:szCs w:val="28"/>
          <w:rtl/>
        </w:rPr>
        <w:t xml:space="preserve">להלן מספר הערות על נוסח התקנות שהובא בפני ועדת חוקה, חוק ומשפט ע"י שרת המשפטים ביום כ"ה ניסן תשע"ו 3 מאי 2016. </w:t>
      </w:r>
    </w:p>
    <w:p w:rsidR="008E3A1B" w:rsidRDefault="008E3A1B" w:rsidP="008E3A1B">
      <w:pPr>
        <w:rPr>
          <w:sz w:val="28"/>
          <w:szCs w:val="28"/>
          <w:rtl/>
        </w:rPr>
      </w:pPr>
      <w:r w:rsidRPr="00C87EDE">
        <w:rPr>
          <w:rFonts w:hint="cs"/>
          <w:sz w:val="28"/>
          <w:szCs w:val="28"/>
          <w:rtl/>
        </w:rPr>
        <w:t>עיינתי גם בנייר עמדה של פורום משפחה של ללשכת עורכי הדין מיום כ"ה ניסן תשע"ו 3 מאי 2016.</w:t>
      </w:r>
    </w:p>
    <w:p w:rsidR="006256E5" w:rsidRPr="00C87EDE" w:rsidRDefault="006256E5" w:rsidP="006256E5">
      <w:pPr>
        <w:rPr>
          <w:sz w:val="28"/>
          <w:szCs w:val="28"/>
          <w:rtl/>
        </w:rPr>
      </w:pPr>
      <w:r w:rsidRPr="00C87EDE">
        <w:rPr>
          <w:rFonts w:hint="cs"/>
          <w:sz w:val="28"/>
          <w:szCs w:val="28"/>
          <w:rtl/>
        </w:rPr>
        <w:t>ההערות נובעות מנסיון של 15 שנה כשופט בית המשפט לענייני משפחה</w:t>
      </w:r>
      <w:r>
        <w:rPr>
          <w:rFonts w:hint="cs"/>
          <w:sz w:val="28"/>
          <w:szCs w:val="28"/>
          <w:rtl/>
        </w:rPr>
        <w:t>, וכן מחקר השוואתי בינלאומי בעניין יישוב סכסוכים לפני או כחלק מהליכים בבתי משפט לענייני משפחה</w:t>
      </w:r>
      <w:r w:rsidRPr="00C87EDE">
        <w:rPr>
          <w:rStyle w:val="a5"/>
          <w:sz w:val="28"/>
          <w:szCs w:val="28"/>
          <w:rtl/>
        </w:rPr>
        <w:footnoteReference w:id="1"/>
      </w:r>
      <w:r w:rsidRPr="00C87EDE">
        <w:rPr>
          <w:rFonts w:hint="cs"/>
          <w:sz w:val="28"/>
          <w:szCs w:val="28"/>
          <w:rtl/>
        </w:rPr>
        <w:t>.</w:t>
      </w:r>
    </w:p>
    <w:p w:rsidR="005A438A" w:rsidRPr="00C87EDE" w:rsidRDefault="005A438A" w:rsidP="005A438A">
      <w:pPr>
        <w:rPr>
          <w:sz w:val="28"/>
          <w:szCs w:val="28"/>
          <w:rtl/>
        </w:rPr>
      </w:pPr>
    </w:p>
    <w:p w:rsidR="005A438A" w:rsidRPr="00C87EDE" w:rsidRDefault="005A438A" w:rsidP="005A438A">
      <w:pPr>
        <w:rPr>
          <w:b/>
          <w:bCs/>
          <w:sz w:val="28"/>
          <w:szCs w:val="28"/>
          <w:rtl/>
        </w:rPr>
      </w:pPr>
      <w:r w:rsidRPr="00C87EDE">
        <w:rPr>
          <w:rFonts w:hint="cs"/>
          <w:b/>
          <w:bCs/>
          <w:sz w:val="28"/>
          <w:szCs w:val="28"/>
          <w:rtl/>
        </w:rPr>
        <w:t>הערות כלליות</w:t>
      </w:r>
    </w:p>
    <w:p w:rsidR="006256E5" w:rsidRDefault="005A438A" w:rsidP="006256E5">
      <w:pPr>
        <w:rPr>
          <w:sz w:val="28"/>
          <w:szCs w:val="28"/>
          <w:rtl/>
        </w:rPr>
      </w:pPr>
      <w:r w:rsidRPr="00C87EDE">
        <w:rPr>
          <w:rFonts w:hint="cs"/>
          <w:sz w:val="28"/>
          <w:szCs w:val="28"/>
          <w:rtl/>
        </w:rPr>
        <w:t>מטרות החוק והתקנות מבורכות. המחקר והנסיון מלמדים שהורים וילדים סובלים יותר</w:t>
      </w:r>
      <w:r w:rsidR="00C87EDE">
        <w:rPr>
          <w:rFonts w:hint="cs"/>
          <w:sz w:val="28"/>
          <w:szCs w:val="28"/>
          <w:rtl/>
        </w:rPr>
        <w:t>,</w:t>
      </w:r>
      <w:r w:rsidRPr="00C87EDE">
        <w:rPr>
          <w:rFonts w:hint="cs"/>
          <w:sz w:val="28"/>
          <w:szCs w:val="28"/>
          <w:rtl/>
        </w:rPr>
        <w:t xml:space="preserve"> ככל שרמת העוינות וחריפות ההתדיינות גובר</w:t>
      </w:r>
      <w:r w:rsidR="006256E5">
        <w:rPr>
          <w:rFonts w:hint="cs"/>
          <w:sz w:val="28"/>
          <w:szCs w:val="28"/>
          <w:rtl/>
        </w:rPr>
        <w:t>ו</w:t>
      </w:r>
      <w:r w:rsidRPr="00C87EDE">
        <w:rPr>
          <w:rFonts w:hint="cs"/>
          <w:sz w:val="28"/>
          <w:szCs w:val="28"/>
          <w:rtl/>
        </w:rPr>
        <w:t xml:space="preserve">ת. </w:t>
      </w:r>
    </w:p>
    <w:p w:rsidR="005A438A" w:rsidRPr="00C87EDE" w:rsidRDefault="005A438A" w:rsidP="006256E5">
      <w:pPr>
        <w:rPr>
          <w:sz w:val="28"/>
          <w:szCs w:val="28"/>
          <w:rtl/>
        </w:rPr>
      </w:pPr>
      <w:r w:rsidRPr="00C87EDE">
        <w:rPr>
          <w:rFonts w:hint="cs"/>
          <w:sz w:val="28"/>
          <w:szCs w:val="28"/>
          <w:rtl/>
        </w:rPr>
        <w:t>כמו כן מוכח שככל שהורים ובני משפחה נחשפים מוקדם יותר לאפשרויות של יישוב סכסוכים של</w:t>
      </w:r>
      <w:r w:rsidR="00C87EDE">
        <w:rPr>
          <w:rFonts w:hint="cs"/>
          <w:sz w:val="28"/>
          <w:szCs w:val="28"/>
          <w:rtl/>
        </w:rPr>
        <w:t>א</w:t>
      </w:r>
      <w:r w:rsidRPr="00C87EDE">
        <w:rPr>
          <w:rFonts w:hint="cs"/>
          <w:sz w:val="28"/>
          <w:szCs w:val="28"/>
          <w:rtl/>
        </w:rPr>
        <w:t xml:space="preserve"> כרוכים בהתדיינות, כך </w:t>
      </w:r>
      <w:r w:rsidR="006256E5">
        <w:rPr>
          <w:rFonts w:hint="cs"/>
          <w:sz w:val="28"/>
          <w:szCs w:val="28"/>
          <w:rtl/>
        </w:rPr>
        <w:t>פוחתת העוינות, ונחשכים הליכים משפטיים מיותרים</w:t>
      </w:r>
      <w:r w:rsidR="00C87EDE">
        <w:rPr>
          <w:rFonts w:hint="cs"/>
          <w:sz w:val="28"/>
          <w:szCs w:val="28"/>
          <w:rtl/>
        </w:rPr>
        <w:t>.</w:t>
      </w:r>
      <w:r w:rsidR="00C87EDE">
        <w:rPr>
          <w:rStyle w:val="a5"/>
          <w:sz w:val="28"/>
          <w:szCs w:val="28"/>
          <w:rtl/>
        </w:rPr>
        <w:footnoteReference w:id="2"/>
      </w:r>
    </w:p>
    <w:p w:rsidR="008E3A1B" w:rsidRDefault="008E3A1B" w:rsidP="00960B9F">
      <w:pPr>
        <w:rPr>
          <w:sz w:val="28"/>
          <w:szCs w:val="28"/>
          <w:rtl/>
        </w:rPr>
      </w:pPr>
      <w:r w:rsidRPr="00C87EDE">
        <w:rPr>
          <w:rFonts w:hint="cs"/>
          <w:sz w:val="28"/>
          <w:szCs w:val="28"/>
          <w:rtl/>
        </w:rPr>
        <w:t xml:space="preserve">יחידות הסיוע הוכיחו את עצמן כגופים </w:t>
      </w:r>
      <w:r w:rsidR="00960B9F">
        <w:rPr>
          <w:rFonts w:hint="cs"/>
          <w:sz w:val="28"/>
          <w:szCs w:val="28"/>
          <w:rtl/>
        </w:rPr>
        <w:t xml:space="preserve">מקצועיים ברמה גבוהה מאוד, </w:t>
      </w:r>
      <w:r w:rsidRPr="00C87EDE">
        <w:rPr>
          <w:rFonts w:hint="cs"/>
          <w:sz w:val="28"/>
          <w:szCs w:val="28"/>
          <w:rtl/>
        </w:rPr>
        <w:t>המסוגלים לתת מענה למשפחות שבהן מתנהל סכסוך</w:t>
      </w:r>
      <w:r w:rsidR="00960B9F">
        <w:rPr>
          <w:rFonts w:hint="cs"/>
          <w:sz w:val="28"/>
          <w:szCs w:val="28"/>
          <w:rtl/>
        </w:rPr>
        <w:t>.</w:t>
      </w:r>
    </w:p>
    <w:p w:rsidR="008E3A1B" w:rsidRDefault="008E3A1B" w:rsidP="006256E5">
      <w:pPr>
        <w:rPr>
          <w:sz w:val="28"/>
          <w:szCs w:val="28"/>
          <w:rtl/>
        </w:rPr>
      </w:pPr>
      <w:r w:rsidRPr="00C87EDE">
        <w:rPr>
          <w:rFonts w:hint="cs"/>
          <w:sz w:val="28"/>
          <w:szCs w:val="28"/>
          <w:rtl/>
        </w:rPr>
        <w:t>לכן הערות אלו נועד</w:t>
      </w:r>
      <w:r w:rsidR="006256E5">
        <w:rPr>
          <w:rFonts w:hint="cs"/>
          <w:sz w:val="28"/>
          <w:szCs w:val="28"/>
          <w:rtl/>
        </w:rPr>
        <w:t>ות</w:t>
      </w:r>
      <w:r w:rsidRPr="00C87EDE">
        <w:rPr>
          <w:rFonts w:hint="cs"/>
          <w:sz w:val="28"/>
          <w:szCs w:val="28"/>
          <w:rtl/>
        </w:rPr>
        <w:t xml:space="preserve"> להבהיר</w:t>
      </w:r>
      <w:r w:rsidR="006256E5">
        <w:rPr>
          <w:rFonts w:hint="cs"/>
          <w:sz w:val="28"/>
          <w:szCs w:val="28"/>
          <w:rtl/>
        </w:rPr>
        <w:t>,</w:t>
      </w:r>
      <w:r w:rsidRPr="00C87EDE">
        <w:rPr>
          <w:rFonts w:hint="cs"/>
          <w:sz w:val="28"/>
          <w:szCs w:val="28"/>
          <w:rtl/>
        </w:rPr>
        <w:t xml:space="preserve"> ול</w:t>
      </w:r>
      <w:r w:rsidR="006256E5">
        <w:rPr>
          <w:rFonts w:hint="cs"/>
          <w:sz w:val="28"/>
          <w:szCs w:val="28"/>
          <w:rtl/>
        </w:rPr>
        <w:t xml:space="preserve">סייע </w:t>
      </w:r>
      <w:r w:rsidRPr="00C87EDE">
        <w:rPr>
          <w:rFonts w:hint="cs"/>
          <w:sz w:val="28"/>
          <w:szCs w:val="28"/>
          <w:rtl/>
        </w:rPr>
        <w:t xml:space="preserve">בבצוע </w:t>
      </w:r>
      <w:r w:rsidR="006256E5">
        <w:rPr>
          <w:rFonts w:hint="cs"/>
          <w:sz w:val="28"/>
          <w:szCs w:val="28"/>
          <w:rtl/>
        </w:rPr>
        <w:t xml:space="preserve">יעיל של </w:t>
      </w:r>
      <w:r w:rsidRPr="00C87EDE">
        <w:rPr>
          <w:rFonts w:hint="cs"/>
          <w:sz w:val="28"/>
          <w:szCs w:val="28"/>
          <w:rtl/>
        </w:rPr>
        <w:t>הוראות החוק.</w:t>
      </w:r>
    </w:p>
    <w:p w:rsidR="006256E5" w:rsidRDefault="006256E5" w:rsidP="008E3A1B">
      <w:pPr>
        <w:rPr>
          <w:sz w:val="28"/>
          <w:szCs w:val="28"/>
          <w:rtl/>
        </w:rPr>
      </w:pPr>
    </w:p>
    <w:p w:rsidR="006256E5" w:rsidRDefault="006256E5" w:rsidP="008E3A1B">
      <w:pPr>
        <w:rPr>
          <w:sz w:val="28"/>
          <w:szCs w:val="28"/>
          <w:rtl/>
        </w:rPr>
      </w:pPr>
    </w:p>
    <w:p w:rsidR="006256E5" w:rsidRPr="00C87EDE" w:rsidRDefault="006256E5" w:rsidP="008E3A1B">
      <w:pPr>
        <w:rPr>
          <w:sz w:val="28"/>
          <w:szCs w:val="28"/>
          <w:rtl/>
        </w:rPr>
      </w:pPr>
    </w:p>
    <w:p w:rsidR="008E3A1B" w:rsidRPr="00C87EDE" w:rsidRDefault="008E3A1B" w:rsidP="008E3A1B">
      <w:pPr>
        <w:rPr>
          <w:b/>
          <w:bCs/>
          <w:sz w:val="28"/>
          <w:szCs w:val="28"/>
          <w:rtl/>
        </w:rPr>
      </w:pPr>
      <w:r w:rsidRPr="00C87EDE">
        <w:rPr>
          <w:rFonts w:hint="cs"/>
          <w:b/>
          <w:bCs/>
          <w:sz w:val="28"/>
          <w:szCs w:val="28"/>
          <w:rtl/>
        </w:rPr>
        <w:lastRenderedPageBreak/>
        <w:t xml:space="preserve"> </w:t>
      </w:r>
    </w:p>
    <w:p w:rsidR="008E3A1B" w:rsidRPr="00C87EDE" w:rsidRDefault="008E3A1B" w:rsidP="008E3A1B">
      <w:pPr>
        <w:rPr>
          <w:b/>
          <w:bCs/>
          <w:sz w:val="28"/>
          <w:szCs w:val="28"/>
          <w:rtl/>
        </w:rPr>
      </w:pPr>
      <w:r w:rsidRPr="00C87EDE">
        <w:rPr>
          <w:rFonts w:hint="cs"/>
          <w:b/>
          <w:bCs/>
          <w:sz w:val="28"/>
          <w:szCs w:val="28"/>
          <w:rtl/>
        </w:rPr>
        <w:t>סכסוכים בנוגע לילדים</w:t>
      </w:r>
    </w:p>
    <w:p w:rsidR="00141D19" w:rsidRPr="00C87EDE" w:rsidRDefault="00141D19" w:rsidP="008E3A1B">
      <w:pPr>
        <w:rPr>
          <w:b/>
          <w:bCs/>
          <w:sz w:val="28"/>
          <w:szCs w:val="28"/>
          <w:rtl/>
        </w:rPr>
      </w:pPr>
    </w:p>
    <w:p w:rsidR="00960B9F" w:rsidRDefault="00960B9F" w:rsidP="008E3A1B">
      <w:pPr>
        <w:rPr>
          <w:sz w:val="28"/>
          <w:szCs w:val="28"/>
          <w:u w:val="single"/>
          <w:rtl/>
        </w:rPr>
      </w:pPr>
      <w:r>
        <w:rPr>
          <w:rFonts w:hint="cs"/>
          <w:sz w:val="28"/>
          <w:szCs w:val="28"/>
          <w:u w:val="single"/>
          <w:rtl/>
        </w:rPr>
        <w:t>לא רק גירושין</w:t>
      </w:r>
    </w:p>
    <w:p w:rsidR="008E3A1B" w:rsidRPr="00C87EDE" w:rsidRDefault="008E3A1B" w:rsidP="008E3A1B">
      <w:pPr>
        <w:rPr>
          <w:sz w:val="28"/>
          <w:szCs w:val="28"/>
          <w:rtl/>
        </w:rPr>
      </w:pPr>
      <w:r w:rsidRPr="00C87EDE">
        <w:rPr>
          <w:rFonts w:hint="cs"/>
          <w:sz w:val="28"/>
          <w:szCs w:val="28"/>
          <w:rtl/>
        </w:rPr>
        <w:t xml:space="preserve">בהגדרת "תובענה בעניין של סכסוך משפחתי" שבסעיף 2 </w:t>
      </w:r>
      <w:r w:rsidRPr="00C87EDE">
        <w:rPr>
          <w:rFonts w:hint="cs"/>
          <w:b/>
          <w:bCs/>
          <w:sz w:val="28"/>
          <w:szCs w:val="28"/>
          <w:rtl/>
        </w:rPr>
        <w:t>לחוק</w:t>
      </w:r>
      <w:r w:rsidRPr="00C87EDE">
        <w:rPr>
          <w:rFonts w:hint="cs"/>
          <w:sz w:val="28"/>
          <w:szCs w:val="28"/>
          <w:rtl/>
        </w:rPr>
        <w:t xml:space="preserve"> מופיע:</w:t>
      </w:r>
    </w:p>
    <w:p w:rsidR="008E3A1B" w:rsidRPr="00C87EDE" w:rsidRDefault="008E3A1B" w:rsidP="008E3A1B">
      <w:pPr>
        <w:rPr>
          <w:sz w:val="28"/>
          <w:szCs w:val="28"/>
          <w:rtl/>
        </w:rPr>
      </w:pPr>
      <w:r w:rsidRPr="00C87EDE">
        <w:rPr>
          <w:rFonts w:hint="cs"/>
          <w:sz w:val="28"/>
          <w:szCs w:val="28"/>
          <w:rtl/>
        </w:rPr>
        <w:t>"כל עניין בנוגע לילדה או לילד לפי חוק הכשרות המשפטית והאפוטרופסות, התשכ"ב-1962.</w:t>
      </w:r>
      <w:r w:rsidR="005C302B" w:rsidRPr="00C87EDE">
        <w:rPr>
          <w:rFonts w:hint="cs"/>
          <w:sz w:val="28"/>
          <w:szCs w:val="28"/>
          <w:rtl/>
        </w:rPr>
        <w:t>.."</w:t>
      </w:r>
      <w:r w:rsidR="00141D19" w:rsidRPr="00C87EDE">
        <w:rPr>
          <w:rFonts w:hint="cs"/>
          <w:sz w:val="28"/>
          <w:szCs w:val="28"/>
          <w:rtl/>
        </w:rPr>
        <w:t>.</w:t>
      </w:r>
    </w:p>
    <w:p w:rsidR="00141D19" w:rsidRDefault="00141D19" w:rsidP="008E3A1B">
      <w:pPr>
        <w:rPr>
          <w:sz w:val="28"/>
          <w:szCs w:val="28"/>
          <w:rtl/>
        </w:rPr>
      </w:pPr>
      <w:r w:rsidRPr="00C87EDE">
        <w:rPr>
          <w:rFonts w:hint="cs"/>
          <w:sz w:val="28"/>
          <w:szCs w:val="28"/>
          <w:rtl/>
        </w:rPr>
        <w:t>יש להבהיר שלא רק בהורים נשואים שמתגרשים מדובר: הוראות חוק ה</w:t>
      </w:r>
      <w:r w:rsidR="00960B9F">
        <w:rPr>
          <w:rFonts w:hint="cs"/>
          <w:sz w:val="28"/>
          <w:szCs w:val="28"/>
          <w:rtl/>
        </w:rPr>
        <w:t>כשרות המשפטית וה</w:t>
      </w:r>
      <w:r w:rsidRPr="00C87EDE">
        <w:rPr>
          <w:rFonts w:hint="cs"/>
          <w:sz w:val="28"/>
          <w:szCs w:val="28"/>
          <w:rtl/>
        </w:rPr>
        <w:t xml:space="preserve">אפוטרופסות חלות גם על </w:t>
      </w:r>
      <w:r w:rsidR="006256E5">
        <w:rPr>
          <w:rFonts w:hint="cs"/>
          <w:sz w:val="28"/>
          <w:szCs w:val="28"/>
          <w:rtl/>
        </w:rPr>
        <w:t xml:space="preserve">ילדיהם של </w:t>
      </w:r>
      <w:r w:rsidRPr="00C87EDE">
        <w:rPr>
          <w:rFonts w:hint="cs"/>
          <w:sz w:val="28"/>
          <w:szCs w:val="28"/>
          <w:rtl/>
        </w:rPr>
        <w:t>הורים שאינם נשואים. משום כך, נוסח החוק שגוי, כאשר בסעיף 3 (ג) (1) יש התייחסות ל"השלכות של גירושין...על הצדדים וילדיהם", ויש להבטיח שהתקנות חלות בכל מקרה שבו יש לטפל בעניינו של ילד שהוריו נפרדים או כבר חיים בנפרד.</w:t>
      </w:r>
    </w:p>
    <w:p w:rsidR="00960B9F" w:rsidRDefault="00960B9F" w:rsidP="008E3A1B">
      <w:pPr>
        <w:rPr>
          <w:sz w:val="28"/>
          <w:szCs w:val="28"/>
          <w:rtl/>
        </w:rPr>
      </w:pPr>
    </w:p>
    <w:p w:rsidR="00960B9F" w:rsidRPr="00960B9F" w:rsidRDefault="00960B9F" w:rsidP="008E3A1B">
      <w:pPr>
        <w:rPr>
          <w:sz w:val="28"/>
          <w:szCs w:val="28"/>
          <w:u w:val="single"/>
          <w:rtl/>
        </w:rPr>
      </w:pPr>
      <w:r>
        <w:rPr>
          <w:rFonts w:hint="cs"/>
          <w:sz w:val="28"/>
          <w:szCs w:val="28"/>
          <w:u w:val="single"/>
          <w:rtl/>
        </w:rPr>
        <w:t>מחויבויות הוריות, אחריות הורית, ולא משמורת או ה(א)חזקת ילדים</w:t>
      </w:r>
    </w:p>
    <w:p w:rsidR="00141D19" w:rsidRPr="00C87EDE" w:rsidRDefault="00141D19" w:rsidP="008E3A1B">
      <w:pPr>
        <w:rPr>
          <w:sz w:val="28"/>
          <w:szCs w:val="28"/>
          <w:rtl/>
        </w:rPr>
      </w:pPr>
    </w:p>
    <w:p w:rsidR="00141D19" w:rsidRPr="00C87EDE" w:rsidRDefault="007B300E" w:rsidP="00960B9F">
      <w:pPr>
        <w:rPr>
          <w:sz w:val="28"/>
          <w:szCs w:val="28"/>
          <w:rtl/>
        </w:rPr>
      </w:pPr>
      <w:r w:rsidRPr="00C87EDE">
        <w:rPr>
          <w:rFonts w:hint="cs"/>
          <w:sz w:val="28"/>
          <w:szCs w:val="28"/>
          <w:rtl/>
        </w:rPr>
        <w:t>ב</w:t>
      </w:r>
      <w:bookmarkStart w:id="1" w:name="Title"/>
      <w:r w:rsidRPr="00C87EDE">
        <w:rPr>
          <w:sz w:val="28"/>
          <w:szCs w:val="28"/>
          <w:rtl/>
        </w:rPr>
        <w:t>הצעת חוק הורים וילדיהם, התשע"ד–2013</w:t>
      </w:r>
      <w:bookmarkEnd w:id="1"/>
      <w:r w:rsidRPr="00C87EDE">
        <w:rPr>
          <w:rFonts w:hint="cs"/>
          <w:sz w:val="28"/>
          <w:szCs w:val="28"/>
          <w:rtl/>
        </w:rPr>
        <w:t>, מדובר לא בהחזקת ילדים אלא במימוש אחריות הורית</w:t>
      </w:r>
      <w:r w:rsidR="000C3517" w:rsidRPr="00C87EDE">
        <w:rPr>
          <w:rFonts w:hint="cs"/>
          <w:sz w:val="28"/>
          <w:szCs w:val="28"/>
          <w:rtl/>
        </w:rPr>
        <w:t xml:space="preserve"> (ס</w:t>
      </w:r>
      <w:r w:rsidRPr="00C87EDE">
        <w:rPr>
          <w:rFonts w:hint="cs"/>
          <w:sz w:val="28"/>
          <w:szCs w:val="28"/>
          <w:rtl/>
        </w:rPr>
        <w:t>עיפים 7-9). ניתן ורצוי לאמץ ניסוח זה, המבוסס על ממצאי ועדת שני</w:t>
      </w:r>
      <w:r w:rsidR="00960B9F">
        <w:rPr>
          <w:rFonts w:hint="cs"/>
          <w:sz w:val="28"/>
          <w:szCs w:val="28"/>
          <w:rtl/>
        </w:rPr>
        <w:t>ט</w:t>
      </w:r>
      <w:r w:rsidRPr="00C87EDE">
        <w:rPr>
          <w:rFonts w:hint="cs"/>
          <w:sz w:val="28"/>
          <w:szCs w:val="28"/>
          <w:rtl/>
        </w:rPr>
        <w:t>, גם בתקנות אלו.</w:t>
      </w:r>
    </w:p>
    <w:p w:rsidR="008E3A1B" w:rsidRPr="00C87EDE" w:rsidRDefault="007B300E" w:rsidP="005C302B">
      <w:pPr>
        <w:rPr>
          <w:sz w:val="28"/>
          <w:szCs w:val="28"/>
          <w:rtl/>
        </w:rPr>
      </w:pPr>
      <w:r w:rsidRPr="00C87EDE">
        <w:rPr>
          <w:rFonts w:hint="cs"/>
          <w:sz w:val="28"/>
          <w:szCs w:val="28"/>
          <w:rtl/>
        </w:rPr>
        <w:t>יצויים דרך אגב ש</w:t>
      </w:r>
      <w:r w:rsidR="005C302B" w:rsidRPr="00C87EDE">
        <w:rPr>
          <w:rFonts w:hint="cs"/>
          <w:sz w:val="28"/>
          <w:szCs w:val="28"/>
          <w:rtl/>
        </w:rPr>
        <w:t>למרבה הצער, מנסחי התקנות משתמשים במונח "אחזקה" בנוגע לילדים. בנייר העמדה שהגשתי בנוגע להצעת החוק ביקרתי את השימוש ב"אחזקה", בחוק עצמו תוקן המונח הזה והוחלפה במילה "החזקה", (בסעיף 3 (ג) (4), לדוגמה). למרות זאת, המנסחים חזרו לסורם, לדוגמה בתקנה 13(א)</w:t>
      </w:r>
      <w:r w:rsidR="00141D19" w:rsidRPr="00C87EDE">
        <w:rPr>
          <w:rFonts w:hint="cs"/>
          <w:sz w:val="28"/>
          <w:szCs w:val="28"/>
          <w:rtl/>
        </w:rPr>
        <w:t xml:space="preserve"> והכותרת "הסדרים זמניים למזונות ואחזקת ילדים וסדרי קשר"</w:t>
      </w:r>
      <w:r w:rsidR="005C302B" w:rsidRPr="00C87EDE">
        <w:rPr>
          <w:rFonts w:hint="cs"/>
          <w:sz w:val="28"/>
          <w:szCs w:val="28"/>
          <w:rtl/>
        </w:rPr>
        <w:t xml:space="preserve">. </w:t>
      </w:r>
      <w:r w:rsidR="00C8422C" w:rsidRPr="00C87EDE">
        <w:rPr>
          <w:rFonts w:hint="cs"/>
          <w:sz w:val="28"/>
          <w:szCs w:val="28"/>
          <w:rtl/>
        </w:rPr>
        <w:t>יש להחליף את המונח על מנת שיתאים לחוק.</w:t>
      </w:r>
      <w:r w:rsidR="00C8422C" w:rsidRPr="00C87EDE">
        <w:rPr>
          <w:rStyle w:val="a5"/>
          <w:sz w:val="28"/>
          <w:szCs w:val="28"/>
          <w:rtl/>
        </w:rPr>
        <w:footnoteReference w:id="3"/>
      </w:r>
    </w:p>
    <w:p w:rsidR="00825563" w:rsidRDefault="00825563" w:rsidP="005C302B">
      <w:pPr>
        <w:rPr>
          <w:sz w:val="28"/>
          <w:szCs w:val="28"/>
          <w:rtl/>
        </w:rPr>
      </w:pPr>
    </w:p>
    <w:p w:rsidR="00960B9F" w:rsidRPr="00960B9F" w:rsidRDefault="00960B9F" w:rsidP="005C302B">
      <w:pPr>
        <w:rPr>
          <w:sz w:val="28"/>
          <w:szCs w:val="28"/>
          <w:u w:val="single"/>
          <w:rtl/>
        </w:rPr>
      </w:pPr>
      <w:r w:rsidRPr="00960B9F">
        <w:rPr>
          <w:rFonts w:hint="cs"/>
          <w:sz w:val="28"/>
          <w:szCs w:val="28"/>
          <w:u w:val="single"/>
          <w:rtl/>
        </w:rPr>
        <w:t>תביעה של ילד נגד הורה?</w:t>
      </w:r>
    </w:p>
    <w:p w:rsidR="006256E5" w:rsidRDefault="00825563" w:rsidP="002D4992">
      <w:pPr>
        <w:rPr>
          <w:sz w:val="28"/>
          <w:szCs w:val="28"/>
          <w:rtl/>
        </w:rPr>
      </w:pPr>
      <w:r w:rsidRPr="00C87EDE">
        <w:rPr>
          <w:rFonts w:hint="cs"/>
          <w:sz w:val="28"/>
          <w:szCs w:val="28"/>
          <w:rtl/>
        </w:rPr>
        <w:t>בטופס 4 שבתוספת</w:t>
      </w:r>
      <w:r w:rsidR="00F0343D" w:rsidRPr="00C87EDE">
        <w:rPr>
          <w:rFonts w:hint="cs"/>
          <w:sz w:val="28"/>
          <w:szCs w:val="28"/>
          <w:rtl/>
        </w:rPr>
        <w:t>, בהרצאת הפרטים, ובטופס 5 בקטע של פרטים אישיים,</w:t>
      </w:r>
      <w:r w:rsidRPr="00C87EDE">
        <w:rPr>
          <w:rFonts w:hint="cs"/>
          <w:sz w:val="28"/>
          <w:szCs w:val="28"/>
          <w:rtl/>
        </w:rPr>
        <w:t xml:space="preserve"> מופיעה התייחסות ל"תביעת קטין באמצעות הורהו</w:t>
      </w:r>
      <w:r w:rsidR="00F0343D" w:rsidRPr="00C87EDE">
        <w:rPr>
          <w:rFonts w:hint="cs"/>
          <w:sz w:val="28"/>
          <w:szCs w:val="28"/>
          <w:rtl/>
        </w:rPr>
        <w:t>"</w:t>
      </w:r>
      <w:r w:rsidR="000C3517" w:rsidRPr="00C87EDE">
        <w:rPr>
          <w:rFonts w:hint="cs"/>
          <w:sz w:val="28"/>
          <w:szCs w:val="28"/>
          <w:rtl/>
        </w:rPr>
        <w:t>.</w:t>
      </w:r>
      <w:r w:rsidR="002D4992">
        <w:rPr>
          <w:sz w:val="28"/>
          <w:szCs w:val="28"/>
          <w:rtl/>
        </w:rPr>
        <w:t xml:space="preserve"> </w:t>
      </w:r>
    </w:p>
    <w:p w:rsidR="002D4992" w:rsidRDefault="002D4992" w:rsidP="002D4992">
      <w:pPr>
        <w:rPr>
          <w:sz w:val="28"/>
          <w:szCs w:val="28"/>
          <w:rtl/>
        </w:rPr>
      </w:pPr>
      <w:r w:rsidRPr="00C87EDE">
        <w:rPr>
          <w:rFonts w:hint="cs"/>
          <w:sz w:val="28"/>
          <w:szCs w:val="28"/>
          <w:rtl/>
        </w:rPr>
        <w:t xml:space="preserve">במאמרי על מחויבויות הוריות אני </w:t>
      </w:r>
      <w:r>
        <w:rPr>
          <w:rFonts w:hint="cs"/>
          <w:sz w:val="28"/>
          <w:szCs w:val="28"/>
          <w:rtl/>
        </w:rPr>
        <w:t>קורה לשינוי</w:t>
      </w:r>
      <w:r w:rsidRPr="00C87EDE">
        <w:rPr>
          <w:rFonts w:hint="cs"/>
          <w:sz w:val="28"/>
          <w:szCs w:val="28"/>
          <w:rtl/>
        </w:rPr>
        <w:t xml:space="preserve"> השיטה הקיימת, שאמנם עתיקת יומין היא, שתביעה בעניין ילדים מוגשת על ידי ההורה</w:t>
      </w:r>
      <w:r>
        <w:rPr>
          <w:rFonts w:hint="cs"/>
          <w:sz w:val="28"/>
          <w:szCs w:val="28"/>
          <w:rtl/>
        </w:rPr>
        <w:t>,</w:t>
      </w:r>
      <w:r w:rsidRPr="00C87EDE">
        <w:rPr>
          <w:rFonts w:hint="cs"/>
          <w:sz w:val="28"/>
          <w:szCs w:val="28"/>
          <w:rtl/>
        </w:rPr>
        <w:t xml:space="preserve"> כביכול בשם הילד, והילד כביכול תובע את ההורה האחר. דבר זה מעמיד את הילד בצד אחד, </w:t>
      </w:r>
      <w:r>
        <w:rPr>
          <w:rFonts w:hint="cs"/>
          <w:sz w:val="28"/>
          <w:szCs w:val="28"/>
          <w:rtl/>
        </w:rPr>
        <w:t>ואחד מהוריו בצד</w:t>
      </w:r>
      <w:r w:rsidRPr="00C87EDE">
        <w:rPr>
          <w:rFonts w:hint="cs"/>
          <w:sz w:val="28"/>
          <w:szCs w:val="28"/>
          <w:rtl/>
        </w:rPr>
        <w:t xml:space="preserve"> השני, כאשר האינטרס של הילד איננו שההורה שהגיש את התביעה ינצח את הורה האחר; האינטרס של הילד הוא שההורים יעשו כל הסידורים הנחוצים להתפתחותו התקינה, כי זאת מחויבותם המשותפת.</w:t>
      </w:r>
    </w:p>
    <w:p w:rsidR="002D4992" w:rsidRPr="00C87EDE" w:rsidRDefault="002D4992" w:rsidP="002D4992">
      <w:pPr>
        <w:rPr>
          <w:sz w:val="28"/>
          <w:szCs w:val="28"/>
          <w:rtl/>
        </w:rPr>
      </w:pPr>
      <w:r w:rsidRPr="00C87EDE">
        <w:rPr>
          <w:rFonts w:hint="cs"/>
          <w:sz w:val="28"/>
          <w:szCs w:val="28"/>
          <w:rtl/>
        </w:rPr>
        <w:t>לכן הצעתי שאם תוגש תביעה, הכותרת תהיה:</w:t>
      </w:r>
    </w:p>
    <w:p w:rsidR="002D4992" w:rsidRPr="00C87EDE" w:rsidRDefault="002D4992" w:rsidP="002D4992">
      <w:pPr>
        <w:ind w:left="720"/>
        <w:rPr>
          <w:sz w:val="28"/>
          <w:szCs w:val="28"/>
          <w:rtl/>
        </w:rPr>
      </w:pPr>
      <w:r w:rsidRPr="00C87EDE">
        <w:rPr>
          <w:rFonts w:hint="cs"/>
          <w:sz w:val="28"/>
          <w:szCs w:val="28"/>
          <w:rtl/>
        </w:rPr>
        <w:t>בעניין הקטין פלוני, יליד</w:t>
      </w:r>
    </w:p>
    <w:p w:rsidR="002D4992" w:rsidRPr="00C87EDE" w:rsidRDefault="002D4992" w:rsidP="002D4992">
      <w:pPr>
        <w:ind w:left="720"/>
        <w:rPr>
          <w:sz w:val="28"/>
          <w:szCs w:val="28"/>
          <w:rtl/>
        </w:rPr>
      </w:pPr>
      <w:r w:rsidRPr="00C87EDE">
        <w:rPr>
          <w:rFonts w:hint="cs"/>
          <w:sz w:val="28"/>
          <w:szCs w:val="28"/>
          <w:rtl/>
        </w:rPr>
        <w:t>ובעניין אלמונית, האם</w:t>
      </w:r>
    </w:p>
    <w:p w:rsidR="002D4992" w:rsidRPr="00C87EDE" w:rsidRDefault="002D4992" w:rsidP="002D4992">
      <w:pPr>
        <w:ind w:left="720"/>
        <w:rPr>
          <w:sz w:val="28"/>
          <w:szCs w:val="28"/>
          <w:rtl/>
        </w:rPr>
      </w:pPr>
      <w:r w:rsidRPr="00C87EDE">
        <w:rPr>
          <w:rFonts w:hint="cs"/>
          <w:sz w:val="28"/>
          <w:szCs w:val="28"/>
          <w:rtl/>
        </w:rPr>
        <w:t>ובעניין פלמוני, אב.</w:t>
      </w:r>
    </w:p>
    <w:p w:rsidR="002D4992" w:rsidRPr="00C87EDE" w:rsidRDefault="002D4992" w:rsidP="002D4992">
      <w:pPr>
        <w:ind w:left="720"/>
        <w:rPr>
          <w:sz w:val="28"/>
          <w:szCs w:val="28"/>
          <w:rtl/>
        </w:rPr>
      </w:pPr>
    </w:p>
    <w:p w:rsidR="002D4992" w:rsidRPr="00C87EDE" w:rsidRDefault="002D4992" w:rsidP="002D4992">
      <w:pPr>
        <w:rPr>
          <w:sz w:val="28"/>
          <w:szCs w:val="28"/>
          <w:rtl/>
        </w:rPr>
      </w:pPr>
      <w:r w:rsidRPr="00C87EDE">
        <w:rPr>
          <w:rFonts w:hint="cs"/>
          <w:sz w:val="28"/>
          <w:szCs w:val="28"/>
          <w:rtl/>
        </w:rPr>
        <w:t>בדרך זו, הילד במרכז העניינים, וההורים, ועל אחת כמה וכמה הילד עצמו, אינם בעמדות מנוגדות של לוחמה אדוורסארית. המילה "נגד" לא מופיעה.</w:t>
      </w:r>
    </w:p>
    <w:p w:rsidR="002D4992" w:rsidRDefault="002D4992" w:rsidP="002D4992">
      <w:pPr>
        <w:rPr>
          <w:sz w:val="28"/>
          <w:szCs w:val="28"/>
          <w:rtl/>
        </w:rPr>
      </w:pPr>
    </w:p>
    <w:p w:rsidR="002D4992" w:rsidRDefault="002D4992" w:rsidP="002D4992">
      <w:pPr>
        <w:rPr>
          <w:sz w:val="28"/>
          <w:szCs w:val="28"/>
          <w:rtl/>
        </w:rPr>
      </w:pPr>
      <w:r>
        <w:rPr>
          <w:rFonts w:hint="cs"/>
          <w:sz w:val="28"/>
          <w:szCs w:val="28"/>
          <w:rtl/>
        </w:rPr>
        <w:t>אך ה</w:t>
      </w:r>
      <w:r w:rsidR="006256E5">
        <w:rPr>
          <w:rFonts w:hint="cs"/>
          <w:sz w:val="28"/>
          <w:szCs w:val="28"/>
          <w:rtl/>
        </w:rPr>
        <w:t xml:space="preserve">נוסח </w:t>
      </w:r>
      <w:r>
        <w:rPr>
          <w:rFonts w:hint="cs"/>
          <w:sz w:val="28"/>
          <w:szCs w:val="28"/>
          <w:rtl/>
        </w:rPr>
        <w:t xml:space="preserve">המוצע - </w:t>
      </w:r>
      <w:r w:rsidRPr="00C87EDE">
        <w:rPr>
          <w:rFonts w:hint="cs"/>
          <w:sz w:val="28"/>
          <w:szCs w:val="28"/>
          <w:rtl/>
        </w:rPr>
        <w:t>"תביעת קטין באמצעות הורהו"</w:t>
      </w:r>
      <w:r>
        <w:rPr>
          <w:rFonts w:hint="cs"/>
          <w:sz w:val="28"/>
          <w:szCs w:val="28"/>
          <w:rtl/>
        </w:rPr>
        <w:t xml:space="preserve"> - </w:t>
      </w:r>
      <w:r w:rsidR="006256E5">
        <w:rPr>
          <w:rFonts w:hint="cs"/>
          <w:sz w:val="28"/>
          <w:szCs w:val="28"/>
          <w:rtl/>
        </w:rPr>
        <w:t>נוגד התיקון ל</w:t>
      </w:r>
      <w:r>
        <w:rPr>
          <w:rFonts w:hint="cs"/>
          <w:sz w:val="28"/>
          <w:szCs w:val="28"/>
          <w:rtl/>
        </w:rPr>
        <w:t>ת</w:t>
      </w:r>
      <w:r w:rsidR="006256E5">
        <w:rPr>
          <w:rFonts w:hint="cs"/>
          <w:sz w:val="28"/>
          <w:szCs w:val="28"/>
          <w:rtl/>
        </w:rPr>
        <w:t xml:space="preserve">קנות סדר הדין האזרחי (מס' 3 משנת תשע"ד-2014) לפיו </w:t>
      </w:r>
      <w:r>
        <w:rPr>
          <w:rFonts w:hint="cs"/>
          <w:sz w:val="28"/>
          <w:szCs w:val="28"/>
          <w:rtl/>
        </w:rPr>
        <w:t>בטופס 26א1, כתב תביעה בענייני ילד על פי תקנה 258ה (א) מנוסח כך, ששם הילד אינו מופיע כבעבר כבעל דין, אלא ברובריקה נפרדת:</w:t>
      </w:r>
    </w:p>
    <w:p w:rsidR="002D4992" w:rsidRDefault="002D4992" w:rsidP="002D4992">
      <w:pPr>
        <w:rPr>
          <w:sz w:val="28"/>
          <w:szCs w:val="28"/>
          <w:rtl/>
        </w:rPr>
      </w:pPr>
    </w:p>
    <w:p w:rsidR="002D4992" w:rsidRPr="002D4992" w:rsidRDefault="002D4992" w:rsidP="002D4992">
      <w:pPr>
        <w:pStyle w:val="medium-header"/>
        <w:keepNext w:val="0"/>
        <w:keepLines w:val="0"/>
        <w:ind w:left="0" w:right="1134"/>
        <w:jc w:val="left"/>
        <w:rPr>
          <w:rFonts w:cs="David"/>
          <w:sz w:val="28"/>
          <w:szCs w:val="28"/>
          <w:rtl/>
        </w:rPr>
      </w:pPr>
      <w:r>
        <w:rPr>
          <w:rFonts w:cs="David"/>
          <w:sz w:val="26"/>
          <w:rtl/>
        </w:rPr>
        <w:tab/>
      </w:r>
      <w:r>
        <w:rPr>
          <w:rFonts w:cs="David"/>
          <w:sz w:val="26"/>
          <w:rtl/>
        </w:rPr>
        <w:tab/>
      </w:r>
      <w:r w:rsidRPr="002D4992">
        <w:rPr>
          <w:rFonts w:cs="David" w:hint="cs"/>
          <w:sz w:val="28"/>
          <w:szCs w:val="28"/>
          <w:rtl/>
        </w:rPr>
        <w:t xml:space="preserve">בן הזוג התובע/המבקש </w:t>
      </w:r>
      <w:r w:rsidRPr="002D4992">
        <w:rPr>
          <w:rFonts w:cs="David"/>
          <w:sz w:val="28"/>
          <w:szCs w:val="28"/>
          <w:rtl/>
        </w:rPr>
        <w:fldChar w:fldCharType="begin">
          <w:ffData>
            <w:name w:val="Text6"/>
            <w:enabled/>
            <w:calcOnExit w:val="0"/>
            <w:textInput/>
          </w:ffData>
        </w:fldChar>
      </w:r>
      <w:bookmarkStart w:id="2" w:name="Text6"/>
      <w:r w:rsidRPr="002D4992">
        <w:rPr>
          <w:rFonts w:cs="David"/>
          <w:sz w:val="28"/>
          <w:szCs w:val="28"/>
          <w:rtl/>
        </w:rPr>
        <w:instrText xml:space="preserve"> </w:instrText>
      </w:r>
      <w:r w:rsidRPr="002D4992">
        <w:rPr>
          <w:rFonts w:cs="David" w:hint="cs"/>
          <w:sz w:val="28"/>
          <w:szCs w:val="28"/>
        </w:rPr>
        <w:instrText>FORMTEXT</w:instrText>
      </w:r>
      <w:r w:rsidRPr="002D4992">
        <w:rPr>
          <w:rFonts w:cs="David"/>
          <w:sz w:val="28"/>
          <w:szCs w:val="28"/>
          <w:rtl/>
        </w:rPr>
        <w:instrText xml:space="preserve"> </w:instrText>
      </w:r>
      <w:r w:rsidRPr="002D4992">
        <w:rPr>
          <w:rFonts w:cs="David"/>
          <w:sz w:val="28"/>
          <w:szCs w:val="28"/>
          <w:rtl/>
        </w:rPr>
      </w:r>
      <w:r w:rsidRPr="002D4992">
        <w:rPr>
          <w:rFonts w:cs="David"/>
          <w:sz w:val="28"/>
          <w:szCs w:val="28"/>
          <w:rtl/>
        </w:rPr>
        <w:fldChar w:fldCharType="separate"/>
      </w:r>
      <w:r w:rsidRPr="002D4992">
        <w:rPr>
          <w:rFonts w:cs="David"/>
          <w:sz w:val="28"/>
          <w:szCs w:val="28"/>
          <w:rtl/>
        </w:rPr>
        <w:t> </w:t>
      </w:r>
      <w:r w:rsidRPr="002D4992">
        <w:rPr>
          <w:rFonts w:cs="David"/>
          <w:sz w:val="28"/>
          <w:szCs w:val="28"/>
          <w:rtl/>
        </w:rPr>
        <w:t> </w:t>
      </w:r>
      <w:r w:rsidRPr="002D4992">
        <w:rPr>
          <w:rFonts w:cs="David"/>
          <w:sz w:val="28"/>
          <w:szCs w:val="28"/>
          <w:rtl/>
        </w:rPr>
        <w:t> </w:t>
      </w:r>
      <w:r w:rsidRPr="002D4992">
        <w:rPr>
          <w:rFonts w:cs="David"/>
          <w:sz w:val="28"/>
          <w:szCs w:val="28"/>
          <w:rtl/>
        </w:rPr>
        <w:t> </w:t>
      </w:r>
      <w:r w:rsidRPr="002D4992">
        <w:rPr>
          <w:rFonts w:cs="David"/>
          <w:sz w:val="28"/>
          <w:szCs w:val="28"/>
          <w:rtl/>
        </w:rPr>
        <w:t> </w:t>
      </w:r>
      <w:r w:rsidRPr="002D4992">
        <w:rPr>
          <w:rFonts w:cs="David"/>
          <w:sz w:val="28"/>
          <w:szCs w:val="28"/>
          <w:rtl/>
        </w:rPr>
        <w:fldChar w:fldCharType="end"/>
      </w:r>
      <w:bookmarkEnd w:id="2"/>
    </w:p>
    <w:p w:rsidR="002D4992" w:rsidRPr="002D4992" w:rsidRDefault="002D4992" w:rsidP="002D4992">
      <w:pPr>
        <w:pStyle w:val="medium-header"/>
        <w:keepNext w:val="0"/>
        <w:keepLines w:val="0"/>
        <w:ind w:left="0" w:right="1134"/>
        <w:jc w:val="left"/>
        <w:rPr>
          <w:rFonts w:cs="David"/>
          <w:sz w:val="28"/>
          <w:szCs w:val="28"/>
          <w:rtl/>
        </w:rPr>
      </w:pPr>
      <w:r w:rsidRPr="002D4992">
        <w:rPr>
          <w:rFonts w:cs="David" w:hint="cs"/>
          <w:sz w:val="28"/>
          <w:szCs w:val="28"/>
          <w:rtl/>
        </w:rPr>
        <w:tab/>
      </w:r>
      <w:r w:rsidRPr="002D4992">
        <w:rPr>
          <w:rFonts w:cs="David"/>
          <w:sz w:val="28"/>
          <w:szCs w:val="28"/>
          <w:rtl/>
        </w:rPr>
        <w:tab/>
      </w:r>
      <w:r w:rsidRPr="002D4992">
        <w:rPr>
          <w:rFonts w:cs="David"/>
          <w:sz w:val="28"/>
          <w:szCs w:val="28"/>
          <w:rtl/>
        </w:rPr>
        <w:tab/>
      </w:r>
      <w:r w:rsidRPr="002D4992">
        <w:rPr>
          <w:rFonts w:cs="David" w:hint="cs"/>
          <w:sz w:val="28"/>
          <w:szCs w:val="28"/>
          <w:rtl/>
        </w:rPr>
        <w:t>נגד</w:t>
      </w:r>
    </w:p>
    <w:p w:rsidR="002D4992" w:rsidRPr="002D4992" w:rsidRDefault="002D4992" w:rsidP="002D4992">
      <w:pPr>
        <w:pStyle w:val="medium-header"/>
        <w:keepNext w:val="0"/>
        <w:keepLines w:val="0"/>
        <w:ind w:left="0" w:right="1134"/>
        <w:jc w:val="left"/>
        <w:rPr>
          <w:rFonts w:cs="David"/>
          <w:sz w:val="28"/>
          <w:szCs w:val="28"/>
          <w:rtl/>
        </w:rPr>
      </w:pPr>
      <w:r w:rsidRPr="002D4992">
        <w:rPr>
          <w:rFonts w:cs="David"/>
          <w:sz w:val="28"/>
          <w:szCs w:val="28"/>
          <w:rtl/>
        </w:rPr>
        <w:tab/>
      </w:r>
      <w:r w:rsidRPr="002D4992">
        <w:rPr>
          <w:rFonts w:cs="David"/>
          <w:sz w:val="28"/>
          <w:szCs w:val="28"/>
          <w:rtl/>
        </w:rPr>
        <w:tab/>
      </w:r>
      <w:r w:rsidRPr="002D4992">
        <w:rPr>
          <w:rFonts w:cs="David" w:hint="cs"/>
          <w:sz w:val="28"/>
          <w:szCs w:val="28"/>
          <w:rtl/>
        </w:rPr>
        <w:t xml:space="preserve">בן הזוג הנתבע/המשיב </w:t>
      </w:r>
      <w:r w:rsidRPr="002D4992">
        <w:rPr>
          <w:rFonts w:cs="David"/>
          <w:sz w:val="28"/>
          <w:szCs w:val="28"/>
          <w:rtl/>
        </w:rPr>
        <w:fldChar w:fldCharType="begin">
          <w:ffData>
            <w:name w:val="Text7"/>
            <w:enabled/>
            <w:calcOnExit w:val="0"/>
            <w:textInput/>
          </w:ffData>
        </w:fldChar>
      </w:r>
      <w:bookmarkStart w:id="3" w:name="Text7"/>
      <w:r w:rsidRPr="002D4992">
        <w:rPr>
          <w:rFonts w:cs="David"/>
          <w:sz w:val="28"/>
          <w:szCs w:val="28"/>
          <w:rtl/>
        </w:rPr>
        <w:instrText xml:space="preserve"> </w:instrText>
      </w:r>
      <w:r w:rsidRPr="002D4992">
        <w:rPr>
          <w:rFonts w:cs="David" w:hint="cs"/>
          <w:sz w:val="28"/>
          <w:szCs w:val="28"/>
        </w:rPr>
        <w:instrText>FORMTEXT</w:instrText>
      </w:r>
      <w:r w:rsidRPr="002D4992">
        <w:rPr>
          <w:rFonts w:cs="David"/>
          <w:sz w:val="28"/>
          <w:szCs w:val="28"/>
          <w:rtl/>
        </w:rPr>
        <w:instrText xml:space="preserve"> </w:instrText>
      </w:r>
      <w:r w:rsidRPr="002D4992">
        <w:rPr>
          <w:rFonts w:cs="David"/>
          <w:sz w:val="28"/>
          <w:szCs w:val="28"/>
          <w:rtl/>
        </w:rPr>
      </w:r>
      <w:r w:rsidRPr="002D4992">
        <w:rPr>
          <w:rFonts w:cs="David"/>
          <w:sz w:val="28"/>
          <w:szCs w:val="28"/>
          <w:rtl/>
        </w:rPr>
        <w:fldChar w:fldCharType="separate"/>
      </w:r>
      <w:r w:rsidRPr="002D4992">
        <w:rPr>
          <w:rFonts w:cs="David"/>
          <w:sz w:val="28"/>
          <w:szCs w:val="28"/>
          <w:rtl/>
        </w:rPr>
        <w:t> </w:t>
      </w:r>
      <w:r w:rsidRPr="002D4992">
        <w:rPr>
          <w:rFonts w:cs="David"/>
          <w:sz w:val="28"/>
          <w:szCs w:val="28"/>
          <w:rtl/>
        </w:rPr>
        <w:t> </w:t>
      </w:r>
      <w:r w:rsidRPr="002D4992">
        <w:rPr>
          <w:rFonts w:cs="David"/>
          <w:sz w:val="28"/>
          <w:szCs w:val="28"/>
          <w:rtl/>
        </w:rPr>
        <w:t> </w:t>
      </w:r>
      <w:r w:rsidRPr="002D4992">
        <w:rPr>
          <w:rFonts w:cs="David"/>
          <w:sz w:val="28"/>
          <w:szCs w:val="28"/>
          <w:rtl/>
        </w:rPr>
        <w:t> </w:t>
      </w:r>
      <w:r w:rsidRPr="002D4992">
        <w:rPr>
          <w:rFonts w:cs="David"/>
          <w:sz w:val="28"/>
          <w:szCs w:val="28"/>
          <w:rtl/>
        </w:rPr>
        <w:t> </w:t>
      </w:r>
      <w:r w:rsidRPr="002D4992">
        <w:rPr>
          <w:rFonts w:cs="David"/>
          <w:sz w:val="28"/>
          <w:szCs w:val="28"/>
          <w:rtl/>
        </w:rPr>
        <w:fldChar w:fldCharType="end"/>
      </w:r>
      <w:bookmarkEnd w:id="3"/>
    </w:p>
    <w:p w:rsidR="002D4992" w:rsidRPr="002D4992" w:rsidRDefault="002D4992" w:rsidP="002D4992">
      <w:pPr>
        <w:pStyle w:val="medium-header"/>
        <w:keepNext w:val="0"/>
        <w:keepLines w:val="0"/>
        <w:ind w:left="0" w:right="1134"/>
        <w:jc w:val="left"/>
        <w:rPr>
          <w:rFonts w:cs="David"/>
          <w:sz w:val="28"/>
          <w:szCs w:val="28"/>
          <w:rtl/>
        </w:rPr>
      </w:pPr>
      <w:r w:rsidRPr="002D4992">
        <w:rPr>
          <w:rFonts w:cs="David"/>
          <w:sz w:val="28"/>
          <w:szCs w:val="28"/>
          <w:rtl/>
        </w:rPr>
        <w:tab/>
      </w:r>
      <w:r w:rsidRPr="002D4992">
        <w:rPr>
          <w:rFonts w:cs="David"/>
          <w:sz w:val="28"/>
          <w:szCs w:val="28"/>
          <w:rtl/>
        </w:rPr>
        <w:tab/>
      </w:r>
      <w:r w:rsidRPr="002D4992">
        <w:rPr>
          <w:rFonts w:cs="David" w:hint="cs"/>
          <w:sz w:val="28"/>
          <w:szCs w:val="28"/>
          <w:rtl/>
        </w:rPr>
        <w:t xml:space="preserve">מהות התובענה </w:t>
      </w:r>
      <w:r w:rsidRPr="002D4992">
        <w:rPr>
          <w:rFonts w:cs="David"/>
          <w:sz w:val="28"/>
          <w:szCs w:val="28"/>
          <w:rtl/>
        </w:rPr>
        <w:fldChar w:fldCharType="begin">
          <w:ffData>
            <w:name w:val="Text8"/>
            <w:enabled/>
            <w:calcOnExit w:val="0"/>
            <w:textInput/>
          </w:ffData>
        </w:fldChar>
      </w:r>
      <w:bookmarkStart w:id="4" w:name="Text8"/>
      <w:r w:rsidRPr="002D4992">
        <w:rPr>
          <w:rFonts w:cs="David"/>
          <w:sz w:val="28"/>
          <w:szCs w:val="28"/>
          <w:rtl/>
        </w:rPr>
        <w:instrText xml:space="preserve"> </w:instrText>
      </w:r>
      <w:r w:rsidRPr="002D4992">
        <w:rPr>
          <w:rFonts w:cs="David" w:hint="cs"/>
          <w:sz w:val="28"/>
          <w:szCs w:val="28"/>
        </w:rPr>
        <w:instrText>FORMTEXT</w:instrText>
      </w:r>
      <w:r w:rsidRPr="002D4992">
        <w:rPr>
          <w:rFonts w:cs="David"/>
          <w:sz w:val="28"/>
          <w:szCs w:val="28"/>
          <w:rtl/>
        </w:rPr>
        <w:instrText xml:space="preserve"> </w:instrText>
      </w:r>
      <w:r w:rsidRPr="002D4992">
        <w:rPr>
          <w:rFonts w:cs="David"/>
          <w:sz w:val="28"/>
          <w:szCs w:val="28"/>
          <w:rtl/>
        </w:rPr>
      </w:r>
      <w:r w:rsidRPr="002D4992">
        <w:rPr>
          <w:rFonts w:cs="David"/>
          <w:sz w:val="28"/>
          <w:szCs w:val="28"/>
          <w:rtl/>
        </w:rPr>
        <w:fldChar w:fldCharType="separate"/>
      </w:r>
      <w:r w:rsidRPr="002D4992">
        <w:rPr>
          <w:rFonts w:cs="David"/>
          <w:sz w:val="28"/>
          <w:szCs w:val="28"/>
          <w:rtl/>
        </w:rPr>
        <w:t> </w:t>
      </w:r>
      <w:r w:rsidRPr="002D4992">
        <w:rPr>
          <w:rFonts w:cs="David"/>
          <w:sz w:val="28"/>
          <w:szCs w:val="28"/>
          <w:rtl/>
        </w:rPr>
        <w:t> </w:t>
      </w:r>
      <w:r w:rsidRPr="002D4992">
        <w:rPr>
          <w:rFonts w:cs="David"/>
          <w:sz w:val="28"/>
          <w:szCs w:val="28"/>
          <w:rtl/>
        </w:rPr>
        <w:t> </w:t>
      </w:r>
      <w:r w:rsidRPr="002D4992">
        <w:rPr>
          <w:rFonts w:cs="David"/>
          <w:sz w:val="28"/>
          <w:szCs w:val="28"/>
          <w:rtl/>
        </w:rPr>
        <w:t> </w:t>
      </w:r>
      <w:r w:rsidRPr="002D4992">
        <w:rPr>
          <w:rFonts w:cs="David"/>
          <w:sz w:val="28"/>
          <w:szCs w:val="28"/>
          <w:rtl/>
        </w:rPr>
        <w:t> </w:t>
      </w:r>
      <w:r w:rsidRPr="002D4992">
        <w:rPr>
          <w:rFonts w:cs="David"/>
          <w:sz w:val="28"/>
          <w:szCs w:val="28"/>
          <w:rtl/>
        </w:rPr>
        <w:fldChar w:fldCharType="end"/>
      </w:r>
      <w:bookmarkEnd w:id="4"/>
    </w:p>
    <w:p w:rsidR="002D4992" w:rsidRPr="002D4992" w:rsidRDefault="002D4992" w:rsidP="002D4992">
      <w:pPr>
        <w:pStyle w:val="medium-header"/>
        <w:keepNext w:val="0"/>
        <w:keepLines w:val="0"/>
        <w:ind w:left="0" w:right="1134"/>
        <w:jc w:val="left"/>
        <w:rPr>
          <w:rFonts w:cs="David"/>
          <w:sz w:val="28"/>
          <w:szCs w:val="28"/>
          <w:rtl/>
        </w:rPr>
      </w:pPr>
      <w:r w:rsidRPr="002D4992">
        <w:rPr>
          <w:rFonts w:cs="David"/>
          <w:sz w:val="28"/>
          <w:szCs w:val="28"/>
          <w:rtl/>
        </w:rPr>
        <w:tab/>
      </w:r>
      <w:r w:rsidRPr="002D4992">
        <w:rPr>
          <w:rFonts w:cs="David"/>
          <w:sz w:val="28"/>
          <w:szCs w:val="28"/>
          <w:rtl/>
        </w:rPr>
        <w:tab/>
      </w:r>
      <w:r w:rsidRPr="002D4992">
        <w:rPr>
          <w:rFonts w:cs="David" w:hint="cs"/>
          <w:sz w:val="28"/>
          <w:szCs w:val="28"/>
          <w:rtl/>
        </w:rPr>
        <w:t xml:space="preserve">בעניין הילד </w:t>
      </w:r>
      <w:r w:rsidRPr="002D4992">
        <w:rPr>
          <w:rFonts w:cs="David"/>
          <w:sz w:val="28"/>
          <w:szCs w:val="28"/>
          <w:rtl/>
        </w:rPr>
        <w:fldChar w:fldCharType="begin">
          <w:ffData>
            <w:name w:val="Text9"/>
            <w:enabled/>
            <w:calcOnExit w:val="0"/>
            <w:textInput/>
          </w:ffData>
        </w:fldChar>
      </w:r>
      <w:bookmarkStart w:id="5" w:name="Text9"/>
      <w:r w:rsidRPr="002D4992">
        <w:rPr>
          <w:rFonts w:cs="David"/>
          <w:sz w:val="28"/>
          <w:szCs w:val="28"/>
          <w:rtl/>
        </w:rPr>
        <w:instrText xml:space="preserve"> </w:instrText>
      </w:r>
      <w:r w:rsidRPr="002D4992">
        <w:rPr>
          <w:rFonts w:cs="David" w:hint="cs"/>
          <w:sz w:val="28"/>
          <w:szCs w:val="28"/>
        </w:rPr>
        <w:instrText>FORMTEXT</w:instrText>
      </w:r>
      <w:r w:rsidRPr="002D4992">
        <w:rPr>
          <w:rFonts w:cs="David"/>
          <w:sz w:val="28"/>
          <w:szCs w:val="28"/>
          <w:rtl/>
        </w:rPr>
        <w:instrText xml:space="preserve"> </w:instrText>
      </w:r>
      <w:r w:rsidRPr="002D4992">
        <w:rPr>
          <w:rFonts w:cs="David"/>
          <w:sz w:val="28"/>
          <w:szCs w:val="28"/>
          <w:rtl/>
        </w:rPr>
      </w:r>
      <w:r w:rsidRPr="002D4992">
        <w:rPr>
          <w:rFonts w:cs="David"/>
          <w:sz w:val="28"/>
          <w:szCs w:val="28"/>
          <w:rtl/>
        </w:rPr>
        <w:fldChar w:fldCharType="separate"/>
      </w:r>
      <w:r w:rsidRPr="002D4992">
        <w:rPr>
          <w:rFonts w:cs="David"/>
          <w:sz w:val="28"/>
          <w:szCs w:val="28"/>
          <w:rtl/>
        </w:rPr>
        <w:t> </w:t>
      </w:r>
      <w:r w:rsidRPr="002D4992">
        <w:rPr>
          <w:rFonts w:cs="David"/>
          <w:sz w:val="28"/>
          <w:szCs w:val="28"/>
          <w:rtl/>
        </w:rPr>
        <w:t> </w:t>
      </w:r>
      <w:r w:rsidRPr="002D4992">
        <w:rPr>
          <w:rFonts w:cs="David"/>
          <w:sz w:val="28"/>
          <w:szCs w:val="28"/>
          <w:rtl/>
        </w:rPr>
        <w:t> </w:t>
      </w:r>
      <w:r w:rsidRPr="002D4992">
        <w:rPr>
          <w:rFonts w:cs="David"/>
          <w:sz w:val="28"/>
          <w:szCs w:val="28"/>
          <w:rtl/>
        </w:rPr>
        <w:t> </w:t>
      </w:r>
      <w:r w:rsidRPr="002D4992">
        <w:rPr>
          <w:rFonts w:cs="David"/>
          <w:sz w:val="28"/>
          <w:szCs w:val="28"/>
          <w:rtl/>
        </w:rPr>
        <w:t> </w:t>
      </w:r>
      <w:r w:rsidRPr="002D4992">
        <w:rPr>
          <w:rFonts w:cs="David"/>
          <w:sz w:val="28"/>
          <w:szCs w:val="28"/>
          <w:rtl/>
        </w:rPr>
        <w:fldChar w:fldCharType="end"/>
      </w:r>
      <w:bookmarkEnd w:id="5"/>
    </w:p>
    <w:p w:rsidR="002D4992" w:rsidRPr="002D4992" w:rsidRDefault="002D4992" w:rsidP="002D4992">
      <w:pPr>
        <w:pStyle w:val="medium-header"/>
        <w:keepNext w:val="0"/>
        <w:keepLines w:val="0"/>
        <w:ind w:left="0" w:right="1134"/>
        <w:jc w:val="left"/>
        <w:rPr>
          <w:rFonts w:cs="David"/>
          <w:sz w:val="28"/>
          <w:szCs w:val="28"/>
          <w:rtl/>
        </w:rPr>
      </w:pPr>
      <w:r>
        <w:rPr>
          <w:rFonts w:cs="David"/>
          <w:sz w:val="28"/>
          <w:szCs w:val="28"/>
          <w:rtl/>
        </w:rPr>
        <w:tab/>
      </w:r>
      <w:r>
        <w:rPr>
          <w:rFonts w:cs="David"/>
          <w:sz w:val="28"/>
          <w:szCs w:val="28"/>
          <w:rtl/>
        </w:rPr>
        <w:tab/>
      </w:r>
      <w:r w:rsidRPr="002D4992">
        <w:rPr>
          <w:rFonts w:cs="David" w:hint="cs"/>
          <w:sz w:val="28"/>
          <w:szCs w:val="28"/>
          <w:rtl/>
        </w:rPr>
        <w:t xml:space="preserve">מעמדו של התובע בעניין הילד </w:t>
      </w:r>
      <w:r w:rsidRPr="002D4992">
        <w:rPr>
          <w:rFonts w:cs="David"/>
          <w:sz w:val="28"/>
          <w:szCs w:val="28"/>
          <w:rtl/>
        </w:rPr>
        <w:fldChar w:fldCharType="begin">
          <w:ffData>
            <w:name w:val="Text10"/>
            <w:enabled/>
            <w:calcOnExit w:val="0"/>
            <w:textInput/>
          </w:ffData>
        </w:fldChar>
      </w:r>
      <w:bookmarkStart w:id="6" w:name="Text10"/>
      <w:r w:rsidRPr="002D4992">
        <w:rPr>
          <w:rFonts w:cs="David"/>
          <w:sz w:val="28"/>
          <w:szCs w:val="28"/>
          <w:rtl/>
        </w:rPr>
        <w:instrText xml:space="preserve"> </w:instrText>
      </w:r>
      <w:r w:rsidRPr="002D4992">
        <w:rPr>
          <w:rFonts w:cs="David" w:hint="cs"/>
          <w:sz w:val="28"/>
          <w:szCs w:val="28"/>
        </w:rPr>
        <w:instrText>FORMTEXT</w:instrText>
      </w:r>
      <w:r w:rsidRPr="002D4992">
        <w:rPr>
          <w:rFonts w:cs="David"/>
          <w:sz w:val="28"/>
          <w:szCs w:val="28"/>
          <w:rtl/>
        </w:rPr>
        <w:instrText xml:space="preserve"> </w:instrText>
      </w:r>
      <w:r w:rsidRPr="002D4992">
        <w:rPr>
          <w:rFonts w:cs="David"/>
          <w:sz w:val="28"/>
          <w:szCs w:val="28"/>
          <w:rtl/>
        </w:rPr>
      </w:r>
      <w:r w:rsidRPr="002D4992">
        <w:rPr>
          <w:rFonts w:cs="David"/>
          <w:sz w:val="28"/>
          <w:szCs w:val="28"/>
          <w:rtl/>
        </w:rPr>
        <w:fldChar w:fldCharType="separate"/>
      </w:r>
      <w:r w:rsidRPr="002D4992">
        <w:rPr>
          <w:rFonts w:cs="David"/>
          <w:sz w:val="28"/>
          <w:szCs w:val="28"/>
          <w:rtl/>
        </w:rPr>
        <w:t> </w:t>
      </w:r>
      <w:r w:rsidRPr="002D4992">
        <w:rPr>
          <w:rFonts w:cs="David"/>
          <w:sz w:val="28"/>
          <w:szCs w:val="28"/>
          <w:rtl/>
        </w:rPr>
        <w:t> </w:t>
      </w:r>
      <w:r w:rsidRPr="002D4992">
        <w:rPr>
          <w:rFonts w:cs="David"/>
          <w:sz w:val="28"/>
          <w:szCs w:val="28"/>
          <w:rtl/>
        </w:rPr>
        <w:t> </w:t>
      </w:r>
      <w:r w:rsidRPr="002D4992">
        <w:rPr>
          <w:rFonts w:cs="David"/>
          <w:sz w:val="28"/>
          <w:szCs w:val="28"/>
          <w:rtl/>
        </w:rPr>
        <w:t> </w:t>
      </w:r>
      <w:r w:rsidRPr="002D4992">
        <w:rPr>
          <w:rFonts w:cs="David"/>
          <w:sz w:val="28"/>
          <w:szCs w:val="28"/>
          <w:rtl/>
        </w:rPr>
        <w:t> </w:t>
      </w:r>
      <w:r w:rsidRPr="002D4992">
        <w:rPr>
          <w:rFonts w:cs="David"/>
          <w:sz w:val="28"/>
          <w:szCs w:val="28"/>
          <w:rtl/>
        </w:rPr>
        <w:fldChar w:fldCharType="end"/>
      </w:r>
      <w:bookmarkEnd w:id="6"/>
    </w:p>
    <w:p w:rsidR="006256E5" w:rsidRPr="00C87EDE" w:rsidRDefault="006256E5" w:rsidP="000C3517">
      <w:pPr>
        <w:rPr>
          <w:sz w:val="28"/>
          <w:szCs w:val="28"/>
          <w:rtl/>
        </w:rPr>
      </w:pPr>
    </w:p>
    <w:p w:rsidR="009067EC" w:rsidRDefault="00F0343D" w:rsidP="009067EC">
      <w:pPr>
        <w:rPr>
          <w:sz w:val="28"/>
          <w:szCs w:val="28"/>
          <w:rtl/>
        </w:rPr>
      </w:pPr>
      <w:r w:rsidRPr="00C87EDE">
        <w:rPr>
          <w:rFonts w:hint="cs"/>
          <w:sz w:val="28"/>
          <w:szCs w:val="28"/>
          <w:rtl/>
        </w:rPr>
        <w:t>כך צריך להיות בכתבי הטענות, וכך גם בהרצאת הפרטים ובפרטים אישיים שבטפסים הנ"ל ובכל מסמך המוגש לבית המשפט.</w:t>
      </w:r>
      <w:r w:rsidR="009067EC">
        <w:rPr>
          <w:sz w:val="28"/>
          <w:szCs w:val="28"/>
          <w:rtl/>
        </w:rPr>
        <w:t xml:space="preserve"> </w:t>
      </w:r>
    </w:p>
    <w:p w:rsidR="009067EC" w:rsidRDefault="009067EC" w:rsidP="009067EC">
      <w:pPr>
        <w:rPr>
          <w:sz w:val="28"/>
          <w:szCs w:val="28"/>
          <w:rtl/>
        </w:rPr>
      </w:pPr>
    </w:p>
    <w:p w:rsidR="009067EC" w:rsidRDefault="009067EC" w:rsidP="009067EC">
      <w:pPr>
        <w:rPr>
          <w:sz w:val="28"/>
          <w:szCs w:val="28"/>
          <w:u w:val="single"/>
          <w:rtl/>
        </w:rPr>
      </w:pPr>
      <w:r>
        <w:rPr>
          <w:rFonts w:hint="cs"/>
          <w:sz w:val="28"/>
          <w:szCs w:val="28"/>
          <w:u w:val="single"/>
          <w:rtl/>
        </w:rPr>
        <w:t>זמני שהות, לא סדרי קשר</w:t>
      </w:r>
    </w:p>
    <w:p w:rsidR="009067EC" w:rsidRDefault="009067EC" w:rsidP="000C3517">
      <w:pPr>
        <w:rPr>
          <w:sz w:val="28"/>
          <w:szCs w:val="28"/>
          <w:u w:val="single"/>
          <w:rtl/>
        </w:rPr>
      </w:pPr>
    </w:p>
    <w:p w:rsidR="009067EC" w:rsidRDefault="009067EC" w:rsidP="000C3517">
      <w:pPr>
        <w:rPr>
          <w:sz w:val="28"/>
          <w:szCs w:val="28"/>
          <w:rtl/>
        </w:rPr>
      </w:pPr>
      <w:r w:rsidRPr="009067EC">
        <w:rPr>
          <w:rFonts w:hint="cs"/>
          <w:sz w:val="28"/>
          <w:szCs w:val="28"/>
          <w:rtl/>
        </w:rPr>
        <w:t>המונחים הסדרי ראיה והסדרי קשר ראוי להסירם מהלקסיקון המשפטי ככל שמדובר בילדים והוריהם.</w:t>
      </w:r>
      <w:r>
        <w:rPr>
          <w:rFonts w:hint="cs"/>
          <w:sz w:val="28"/>
          <w:szCs w:val="28"/>
          <w:rtl/>
        </w:rPr>
        <w:t xml:space="preserve"> ראה לעניין זה חוות דעתו של נציב תלונות הציבור על שופטים, השופט פרופ' אליעזר ריבלין מיום י"ד שבט התשע"ו 24 ינואר 2016 בתיק 16/32/עליון:</w:t>
      </w:r>
    </w:p>
    <w:p w:rsidR="009067EC" w:rsidRDefault="009067EC" w:rsidP="009067EC">
      <w:pPr>
        <w:ind w:left="1440"/>
        <w:rPr>
          <w:sz w:val="28"/>
          <w:szCs w:val="28"/>
          <w:rtl/>
        </w:rPr>
      </w:pPr>
      <w:r>
        <w:rPr>
          <w:rFonts w:hint="cs"/>
          <w:sz w:val="28"/>
          <w:szCs w:val="28"/>
          <w:rtl/>
        </w:rPr>
        <w:t>"את המונח הזה [הסדרי ראיה] יש, לדעתנו, להחליף בביטוי ניטראלי 'זמני שהות' ".</w:t>
      </w:r>
    </w:p>
    <w:p w:rsidR="00167358" w:rsidRDefault="00167358" w:rsidP="00167358">
      <w:pPr>
        <w:rPr>
          <w:sz w:val="28"/>
          <w:szCs w:val="28"/>
          <w:rtl/>
        </w:rPr>
      </w:pPr>
      <w:r>
        <w:rPr>
          <w:rFonts w:hint="cs"/>
          <w:sz w:val="28"/>
          <w:szCs w:val="28"/>
          <w:rtl/>
        </w:rPr>
        <w:t>ראה גם את ההנמקה של נציב תלונות הציבו, שם.</w:t>
      </w:r>
    </w:p>
    <w:p w:rsidR="009067EC" w:rsidRPr="009067EC" w:rsidRDefault="009067EC" w:rsidP="009067EC">
      <w:pPr>
        <w:rPr>
          <w:sz w:val="28"/>
          <w:szCs w:val="28"/>
          <w:rtl/>
        </w:rPr>
      </w:pPr>
      <w:r>
        <w:rPr>
          <w:rFonts w:hint="cs"/>
          <w:sz w:val="28"/>
          <w:szCs w:val="28"/>
          <w:rtl/>
        </w:rPr>
        <w:t>משום כך, יש בתקנה 13 ובכותרת לה, יש לאמץ את המונח "זמני שהות" במקום "סדרי קשר".</w:t>
      </w:r>
    </w:p>
    <w:p w:rsidR="003C7E9A" w:rsidRPr="00C87EDE" w:rsidRDefault="003C7E9A" w:rsidP="000C3517">
      <w:pPr>
        <w:rPr>
          <w:sz w:val="28"/>
          <w:szCs w:val="28"/>
          <w:rtl/>
        </w:rPr>
      </w:pPr>
    </w:p>
    <w:p w:rsidR="003C7E9A" w:rsidRPr="00C87EDE" w:rsidRDefault="003C7E9A" w:rsidP="000C3517">
      <w:pPr>
        <w:rPr>
          <w:b/>
          <w:bCs/>
          <w:sz w:val="28"/>
          <w:szCs w:val="28"/>
          <w:rtl/>
        </w:rPr>
      </w:pPr>
      <w:r w:rsidRPr="00C87EDE">
        <w:rPr>
          <w:rFonts w:hint="cs"/>
          <w:b/>
          <w:bCs/>
          <w:sz w:val="28"/>
          <w:szCs w:val="28"/>
          <w:rtl/>
        </w:rPr>
        <w:t>טובת הילד</w:t>
      </w:r>
      <w:r w:rsidR="00310D14" w:rsidRPr="00C87EDE">
        <w:rPr>
          <w:rFonts w:hint="cs"/>
          <w:b/>
          <w:bCs/>
          <w:sz w:val="28"/>
          <w:szCs w:val="28"/>
          <w:rtl/>
        </w:rPr>
        <w:t>, שיקול דעת</w:t>
      </w:r>
    </w:p>
    <w:p w:rsidR="003C7E9A" w:rsidRPr="00C87EDE" w:rsidRDefault="003C7E9A" w:rsidP="000C3517">
      <w:pPr>
        <w:rPr>
          <w:b/>
          <w:bCs/>
          <w:sz w:val="28"/>
          <w:szCs w:val="28"/>
          <w:rtl/>
        </w:rPr>
      </w:pPr>
    </w:p>
    <w:p w:rsidR="00310D14" w:rsidRPr="00C87EDE" w:rsidRDefault="00310D14" w:rsidP="00C940BC">
      <w:pPr>
        <w:rPr>
          <w:sz w:val="28"/>
          <w:szCs w:val="28"/>
          <w:rtl/>
        </w:rPr>
      </w:pPr>
      <w:r w:rsidRPr="00C87EDE">
        <w:rPr>
          <w:rFonts w:hint="cs"/>
          <w:sz w:val="28"/>
          <w:szCs w:val="28"/>
          <w:rtl/>
        </w:rPr>
        <w:t>ההער</w:t>
      </w:r>
      <w:r w:rsidR="00C940BC">
        <w:rPr>
          <w:rFonts w:hint="cs"/>
          <w:sz w:val="28"/>
          <w:szCs w:val="28"/>
          <w:rtl/>
        </w:rPr>
        <w:t>ות</w:t>
      </w:r>
      <w:r w:rsidRPr="00C87EDE">
        <w:rPr>
          <w:rFonts w:hint="cs"/>
          <w:sz w:val="28"/>
          <w:szCs w:val="28"/>
          <w:rtl/>
        </w:rPr>
        <w:t xml:space="preserve"> שבסעיפים 3 ו-4 לנייר עמדה של לשכת עורכי הדין מוטע</w:t>
      </w:r>
      <w:r w:rsidR="00C940BC">
        <w:rPr>
          <w:rFonts w:hint="cs"/>
          <w:sz w:val="28"/>
          <w:szCs w:val="28"/>
          <w:rtl/>
        </w:rPr>
        <w:t>ו</w:t>
      </w:r>
      <w:r w:rsidRPr="00C87EDE">
        <w:rPr>
          <w:rFonts w:hint="cs"/>
          <w:sz w:val="28"/>
          <w:szCs w:val="28"/>
          <w:rtl/>
        </w:rPr>
        <w:t xml:space="preserve">ת מבחינה משפטית ועניינית. </w:t>
      </w:r>
    </w:p>
    <w:p w:rsidR="003C7E9A" w:rsidRPr="00C87EDE" w:rsidRDefault="00D14022" w:rsidP="00167358">
      <w:pPr>
        <w:rPr>
          <w:sz w:val="28"/>
          <w:szCs w:val="28"/>
          <w:rtl/>
        </w:rPr>
      </w:pPr>
      <w:r w:rsidRPr="00C87EDE">
        <w:rPr>
          <w:rFonts w:hint="cs"/>
          <w:sz w:val="28"/>
          <w:szCs w:val="28"/>
          <w:rtl/>
        </w:rPr>
        <w:t xml:space="preserve">אין בתקנות כל פגיעה בטובת הילד. </w:t>
      </w:r>
      <w:r w:rsidR="00C940BC">
        <w:rPr>
          <w:rFonts w:hint="cs"/>
          <w:sz w:val="28"/>
          <w:szCs w:val="28"/>
          <w:rtl/>
        </w:rPr>
        <w:t>יש להניח ש</w:t>
      </w:r>
      <w:r w:rsidRPr="00C87EDE">
        <w:rPr>
          <w:rFonts w:hint="cs"/>
          <w:sz w:val="28"/>
          <w:szCs w:val="28"/>
          <w:rtl/>
        </w:rPr>
        <w:t>עניין המעורבות של ילדים בתהליך פגישות המהו"ת</w:t>
      </w:r>
      <w:r w:rsidR="00310D14" w:rsidRPr="00C87EDE">
        <w:rPr>
          <w:rFonts w:hint="cs"/>
          <w:sz w:val="28"/>
          <w:szCs w:val="28"/>
          <w:rtl/>
        </w:rPr>
        <w:t>, על פי תקנה 5 (ד)</w:t>
      </w:r>
      <w:r w:rsidR="00C940BC">
        <w:rPr>
          <w:rFonts w:hint="cs"/>
          <w:sz w:val="28"/>
          <w:szCs w:val="28"/>
          <w:rtl/>
        </w:rPr>
        <w:t>, י</w:t>
      </w:r>
      <w:r w:rsidR="00310D14" w:rsidRPr="00C87EDE">
        <w:rPr>
          <w:rFonts w:hint="cs"/>
          <w:sz w:val="28"/>
          <w:szCs w:val="28"/>
          <w:rtl/>
        </w:rPr>
        <w:t>וסד</w:t>
      </w:r>
      <w:r w:rsidRPr="00C87EDE">
        <w:rPr>
          <w:rFonts w:hint="cs"/>
          <w:sz w:val="28"/>
          <w:szCs w:val="28"/>
          <w:rtl/>
        </w:rPr>
        <w:t xml:space="preserve">ר </w:t>
      </w:r>
      <w:r w:rsidR="00310D14" w:rsidRPr="00C87EDE">
        <w:rPr>
          <w:rFonts w:hint="cs"/>
          <w:sz w:val="28"/>
          <w:szCs w:val="28"/>
          <w:rtl/>
        </w:rPr>
        <w:t>בהסתמך על</w:t>
      </w:r>
      <w:r w:rsidRPr="00C87EDE">
        <w:rPr>
          <w:rFonts w:hint="cs"/>
          <w:sz w:val="28"/>
          <w:szCs w:val="28"/>
          <w:rtl/>
        </w:rPr>
        <w:t xml:space="preserve"> הכללים שבפרק כ</w:t>
      </w:r>
      <w:r w:rsidR="00310D14" w:rsidRPr="00C87EDE">
        <w:rPr>
          <w:rFonts w:hint="cs"/>
          <w:sz w:val="28"/>
          <w:szCs w:val="28"/>
          <w:rtl/>
        </w:rPr>
        <w:t>' 2 לתקנות סדר הדין האזרחי</w:t>
      </w:r>
      <w:r w:rsidR="00C940BC">
        <w:rPr>
          <w:rFonts w:hint="cs"/>
          <w:sz w:val="28"/>
          <w:szCs w:val="28"/>
          <w:rtl/>
        </w:rPr>
        <w:t xml:space="preserve"> </w:t>
      </w:r>
      <w:r w:rsidR="00C940BC" w:rsidRPr="00C87EDE">
        <w:rPr>
          <w:rFonts w:hint="cs"/>
          <w:sz w:val="28"/>
          <w:szCs w:val="28"/>
          <w:rtl/>
        </w:rPr>
        <w:t>התשמ"ד-1984</w:t>
      </w:r>
      <w:r w:rsidR="00310D14" w:rsidRPr="00C87EDE">
        <w:rPr>
          <w:rFonts w:hint="cs"/>
          <w:sz w:val="28"/>
          <w:szCs w:val="28"/>
          <w:rtl/>
        </w:rPr>
        <w:t>.</w:t>
      </w:r>
      <w:r w:rsidR="00C940BC">
        <w:rPr>
          <w:rFonts w:hint="cs"/>
          <w:sz w:val="28"/>
          <w:szCs w:val="28"/>
          <w:rtl/>
        </w:rPr>
        <w:t xml:space="preserve"> אין מי שטוען שיש בפרק כ' 2 משום פגיעה בטובת הילד, וההסדר מביא תועלת רבה לילדים ולהוריהם.</w:t>
      </w:r>
      <w:r w:rsidR="00167358">
        <w:rPr>
          <w:rFonts w:hint="cs"/>
          <w:sz w:val="28"/>
          <w:szCs w:val="28"/>
          <w:rtl/>
        </w:rPr>
        <w:t xml:space="preserve"> רק במקרים של עוינות בעצימות גבוה יתמנה אפוטרופוס לדין או עו"ד לילד, והליכי מהו"ת נועדו למנוע עוינות כזו. יש </w:t>
      </w:r>
      <w:r w:rsidR="00167358">
        <w:rPr>
          <w:rFonts w:hint="cs"/>
          <w:sz w:val="28"/>
          <w:szCs w:val="28"/>
          <w:rtl/>
        </w:rPr>
        <w:lastRenderedPageBreak/>
        <w:t>גם להניח שאם בפגישת מהו"ת יתברר שיש צורך בכך, תדווח יחידת הסיוע לבית המשפט וימליץ בהתאם.</w:t>
      </w:r>
    </w:p>
    <w:p w:rsidR="00C940BC" w:rsidRDefault="00310D14" w:rsidP="00167358">
      <w:pPr>
        <w:rPr>
          <w:sz w:val="28"/>
          <w:szCs w:val="28"/>
          <w:rtl/>
        </w:rPr>
      </w:pPr>
      <w:r w:rsidRPr="00C87EDE">
        <w:rPr>
          <w:rFonts w:hint="cs"/>
          <w:sz w:val="28"/>
          <w:szCs w:val="28"/>
          <w:rtl/>
        </w:rPr>
        <w:t>לא מדובר בפקידת סעד (תפקיד אשר מזה שנים אינו קיים, משהוחלף במינוח של עובד סוציאלי על פי חוקים שונים)</w:t>
      </w:r>
      <w:r w:rsidR="00167358">
        <w:rPr>
          <w:rFonts w:hint="cs"/>
          <w:sz w:val="28"/>
          <w:szCs w:val="28"/>
          <w:rtl/>
        </w:rPr>
        <w:t xml:space="preserve">. ממילא, </w:t>
      </w:r>
      <w:r w:rsidRPr="00C87EDE">
        <w:rPr>
          <w:rFonts w:hint="cs"/>
          <w:sz w:val="28"/>
          <w:szCs w:val="28"/>
          <w:rtl/>
        </w:rPr>
        <w:t xml:space="preserve">עובדים סוציאליים של יחידות הסיוע לא היו בתפקיד של פקידי סעד גם לפני השינוי בכינוי. </w:t>
      </w:r>
    </w:p>
    <w:p w:rsidR="00310D14" w:rsidRPr="00C87EDE" w:rsidRDefault="00310D14" w:rsidP="00310D14">
      <w:pPr>
        <w:rPr>
          <w:sz w:val="28"/>
          <w:szCs w:val="28"/>
          <w:rtl/>
        </w:rPr>
      </w:pPr>
      <w:r w:rsidRPr="00C87EDE">
        <w:rPr>
          <w:rFonts w:hint="cs"/>
          <w:sz w:val="28"/>
          <w:szCs w:val="28"/>
          <w:rtl/>
        </w:rPr>
        <w:t>לא מדובר בסמכות שיפוטית או מעין שיפוטית</w:t>
      </w:r>
      <w:r w:rsidR="00167358">
        <w:rPr>
          <w:rFonts w:hint="cs"/>
          <w:sz w:val="28"/>
          <w:szCs w:val="28"/>
          <w:rtl/>
        </w:rPr>
        <w:t>, כי אם בקבלת החלטות מקצועיות</w:t>
      </w:r>
      <w:r w:rsidRPr="00C87EDE">
        <w:rPr>
          <w:rFonts w:hint="cs"/>
          <w:sz w:val="28"/>
          <w:szCs w:val="28"/>
          <w:rtl/>
        </w:rPr>
        <w:t>.</w:t>
      </w:r>
    </w:p>
    <w:p w:rsidR="00310D14" w:rsidRPr="00C87EDE" w:rsidRDefault="00310D14" w:rsidP="000C3517">
      <w:pPr>
        <w:rPr>
          <w:sz w:val="28"/>
          <w:szCs w:val="28"/>
          <w:rtl/>
        </w:rPr>
      </w:pPr>
    </w:p>
    <w:p w:rsidR="007B300E" w:rsidRPr="00C87EDE" w:rsidRDefault="007B300E" w:rsidP="005C302B">
      <w:pPr>
        <w:rPr>
          <w:b/>
          <w:bCs/>
          <w:sz w:val="28"/>
          <w:szCs w:val="28"/>
          <w:rtl/>
        </w:rPr>
      </w:pPr>
      <w:r w:rsidRPr="00C87EDE">
        <w:rPr>
          <w:rFonts w:hint="cs"/>
          <w:b/>
          <w:bCs/>
          <w:sz w:val="28"/>
          <w:szCs w:val="28"/>
          <w:rtl/>
        </w:rPr>
        <w:t>שמירת המצב הקיים</w:t>
      </w:r>
    </w:p>
    <w:p w:rsidR="007B300E" w:rsidRPr="00C87EDE" w:rsidRDefault="007B300E" w:rsidP="005C302B">
      <w:pPr>
        <w:rPr>
          <w:b/>
          <w:bCs/>
          <w:sz w:val="28"/>
          <w:szCs w:val="28"/>
          <w:rtl/>
        </w:rPr>
      </w:pPr>
    </w:p>
    <w:p w:rsidR="00C940BC" w:rsidRDefault="00167358" w:rsidP="00825563">
      <w:pPr>
        <w:rPr>
          <w:sz w:val="28"/>
          <w:szCs w:val="28"/>
          <w:rtl/>
        </w:rPr>
      </w:pPr>
      <w:r>
        <w:rPr>
          <w:rFonts w:hint="cs"/>
          <w:sz w:val="28"/>
          <w:szCs w:val="28"/>
          <w:rtl/>
        </w:rPr>
        <w:t xml:space="preserve">המונח "שמירת המצב הקיים" </w:t>
      </w:r>
      <w:r w:rsidR="007B300E" w:rsidRPr="00C87EDE">
        <w:rPr>
          <w:rFonts w:hint="cs"/>
          <w:sz w:val="28"/>
          <w:szCs w:val="28"/>
          <w:rtl/>
        </w:rPr>
        <w:t xml:space="preserve"> מופיע בתקנה 9, ומשמעותה אינה ברורה בכלל.</w:t>
      </w:r>
      <w:r w:rsidR="00147BB6" w:rsidRPr="00C87EDE">
        <w:rPr>
          <w:rFonts w:hint="cs"/>
          <w:sz w:val="28"/>
          <w:szCs w:val="28"/>
          <w:rtl/>
        </w:rPr>
        <w:t xml:space="preserve"> </w:t>
      </w:r>
    </w:p>
    <w:p w:rsidR="008E3A1B" w:rsidRPr="00C87EDE" w:rsidRDefault="00147BB6" w:rsidP="00C940BC">
      <w:pPr>
        <w:rPr>
          <w:sz w:val="28"/>
          <w:szCs w:val="28"/>
          <w:rtl/>
        </w:rPr>
      </w:pPr>
      <w:r w:rsidRPr="00C87EDE">
        <w:rPr>
          <w:rFonts w:hint="cs"/>
          <w:sz w:val="28"/>
          <w:szCs w:val="28"/>
          <w:rtl/>
        </w:rPr>
        <w:t>אכן התקנה נובעת מסעיף 3 (ז) (1) לחוק</w:t>
      </w:r>
      <w:r w:rsidR="00C940BC">
        <w:rPr>
          <w:rFonts w:hint="cs"/>
          <w:sz w:val="28"/>
          <w:szCs w:val="28"/>
          <w:rtl/>
        </w:rPr>
        <w:t>.</w:t>
      </w:r>
      <w:r w:rsidRPr="00C87EDE">
        <w:rPr>
          <w:rFonts w:hint="cs"/>
          <w:sz w:val="28"/>
          <w:szCs w:val="28"/>
          <w:rtl/>
        </w:rPr>
        <w:t xml:space="preserve"> המונח "שמירת המצב הקיים" אינו מופיע בתקנות סדר הדין אלא בתקנה 258 כה</w:t>
      </w:r>
      <w:r w:rsidR="00C940BC" w:rsidRPr="00C940BC">
        <w:rPr>
          <w:rFonts w:hint="cs"/>
          <w:sz w:val="28"/>
          <w:szCs w:val="28"/>
          <w:rtl/>
        </w:rPr>
        <w:t xml:space="preserve"> </w:t>
      </w:r>
      <w:r w:rsidR="00C940BC" w:rsidRPr="00C87EDE">
        <w:rPr>
          <w:rFonts w:hint="cs"/>
          <w:sz w:val="28"/>
          <w:szCs w:val="28"/>
          <w:rtl/>
        </w:rPr>
        <w:t>לתקנות סדר הדין האזרחי</w:t>
      </w:r>
      <w:r w:rsidRPr="00C87EDE">
        <w:rPr>
          <w:rFonts w:hint="cs"/>
          <w:sz w:val="28"/>
          <w:szCs w:val="28"/>
          <w:rtl/>
        </w:rPr>
        <w:t>, שם הנוסח הוא "צו מניעה לשמירת המצב הקיים</w:t>
      </w:r>
      <w:r w:rsidR="00825563" w:rsidRPr="00C87EDE">
        <w:rPr>
          <w:rFonts w:hint="cs"/>
          <w:sz w:val="28"/>
          <w:szCs w:val="28"/>
          <w:rtl/>
        </w:rPr>
        <w:t>"</w:t>
      </w:r>
      <w:r w:rsidRPr="00C87EDE">
        <w:rPr>
          <w:rFonts w:hint="cs"/>
          <w:sz w:val="28"/>
          <w:szCs w:val="28"/>
          <w:rtl/>
        </w:rPr>
        <w:t xml:space="preserve">. </w:t>
      </w:r>
      <w:r w:rsidR="00C940BC">
        <w:rPr>
          <w:rFonts w:hint="cs"/>
          <w:sz w:val="28"/>
          <w:szCs w:val="28"/>
          <w:rtl/>
        </w:rPr>
        <w:t>ב</w:t>
      </w:r>
      <w:r w:rsidR="00825563" w:rsidRPr="00C87EDE">
        <w:rPr>
          <w:rFonts w:hint="cs"/>
          <w:sz w:val="28"/>
          <w:szCs w:val="28"/>
          <w:rtl/>
        </w:rPr>
        <w:t>פרק כ"ח לתקנות סדר הדין יש התייחסות לסעדים זמניים מסוגים שונים, ובכלל זה צווי עשה, עיקולים זמניים, צווי תפיסת נכסים וכינוס נכסים זמני, וכל אלה עשויים להיות נחוצים על מנת להקפיא את המצב הקיים ולאפשר להליכי המהו"ת להתנהל ברוגע.</w:t>
      </w:r>
    </w:p>
    <w:p w:rsidR="00825563" w:rsidRDefault="00825563" w:rsidP="00825563">
      <w:pPr>
        <w:rPr>
          <w:sz w:val="28"/>
          <w:szCs w:val="28"/>
          <w:rtl/>
        </w:rPr>
      </w:pPr>
      <w:r w:rsidRPr="00C87EDE">
        <w:rPr>
          <w:rFonts w:hint="cs"/>
          <w:sz w:val="28"/>
          <w:szCs w:val="28"/>
          <w:rtl/>
        </w:rPr>
        <w:t>לכן רצוי להבהיר באיזה סעדים מדובר.</w:t>
      </w:r>
    </w:p>
    <w:p w:rsidR="00A21066" w:rsidRPr="00C87EDE" w:rsidRDefault="00A21066" w:rsidP="00825563">
      <w:pPr>
        <w:rPr>
          <w:sz w:val="28"/>
          <w:szCs w:val="28"/>
          <w:rtl/>
        </w:rPr>
      </w:pPr>
    </w:p>
    <w:p w:rsidR="00F0343D" w:rsidRPr="00C87EDE" w:rsidRDefault="00241CED" w:rsidP="00825563">
      <w:pPr>
        <w:rPr>
          <w:b/>
          <w:bCs/>
          <w:sz w:val="28"/>
          <w:szCs w:val="28"/>
          <w:rtl/>
        </w:rPr>
      </w:pPr>
      <w:r w:rsidRPr="00C87EDE">
        <w:rPr>
          <w:rFonts w:hint="cs"/>
          <w:b/>
          <w:bCs/>
          <w:sz w:val="28"/>
          <w:szCs w:val="28"/>
          <w:rtl/>
        </w:rPr>
        <w:t>ייצוג</w:t>
      </w:r>
    </w:p>
    <w:p w:rsidR="00241CED" w:rsidRPr="00C87EDE" w:rsidRDefault="00241CED" w:rsidP="00825563">
      <w:pPr>
        <w:rPr>
          <w:b/>
          <w:bCs/>
          <w:sz w:val="28"/>
          <w:szCs w:val="28"/>
          <w:rtl/>
        </w:rPr>
      </w:pPr>
    </w:p>
    <w:p w:rsidR="00DE08CE" w:rsidRPr="00C87EDE" w:rsidRDefault="00DE08CE" w:rsidP="00ED4541">
      <w:pPr>
        <w:rPr>
          <w:sz w:val="28"/>
          <w:szCs w:val="28"/>
          <w:rtl/>
        </w:rPr>
      </w:pPr>
      <w:r w:rsidRPr="00C87EDE">
        <w:rPr>
          <w:rFonts w:hint="cs"/>
          <w:sz w:val="28"/>
          <w:szCs w:val="28"/>
          <w:rtl/>
        </w:rPr>
        <w:t>אחת המטרות המרכזיות שבפגישות המהו"ת היא להעמיד את בני המשפחה על האפשרות ליישב את הסכסוכים ללא צורך בהתדיינות; על רקע זה ניתן להבין גם את ההצעה שמלבד הצדדים ואנשי יחידת הסיוע</w:t>
      </w:r>
      <w:r w:rsidR="00ED4541" w:rsidRPr="00C87EDE">
        <w:rPr>
          <w:rFonts w:hint="cs"/>
          <w:sz w:val="28"/>
          <w:szCs w:val="28"/>
          <w:rtl/>
        </w:rPr>
        <w:t>,</w:t>
      </w:r>
      <w:r w:rsidRPr="00C87EDE">
        <w:rPr>
          <w:rFonts w:hint="cs"/>
          <w:sz w:val="28"/>
          <w:szCs w:val="28"/>
          <w:rtl/>
        </w:rPr>
        <w:t xml:space="preserve"> לא יהיו אנשים אחרים נוכחים</w:t>
      </w:r>
      <w:r w:rsidR="00C940BC">
        <w:rPr>
          <w:rFonts w:hint="cs"/>
          <w:sz w:val="28"/>
          <w:szCs w:val="28"/>
          <w:rtl/>
        </w:rPr>
        <w:t xml:space="preserve"> בפגישות</w:t>
      </w:r>
      <w:r w:rsidRPr="00C87EDE">
        <w:rPr>
          <w:rFonts w:hint="cs"/>
          <w:sz w:val="28"/>
          <w:szCs w:val="28"/>
          <w:rtl/>
        </w:rPr>
        <w:t>.</w:t>
      </w:r>
    </w:p>
    <w:p w:rsidR="00ED4541" w:rsidRPr="00C87EDE" w:rsidRDefault="00CB063D" w:rsidP="00C940BC">
      <w:pPr>
        <w:rPr>
          <w:sz w:val="28"/>
          <w:szCs w:val="28"/>
          <w:rtl/>
        </w:rPr>
      </w:pPr>
      <w:r w:rsidRPr="00C87EDE">
        <w:rPr>
          <w:rFonts w:hint="cs"/>
          <w:sz w:val="28"/>
          <w:szCs w:val="28"/>
          <w:rtl/>
        </w:rPr>
        <w:t>יחד עם זאת, בעניינים טעונים רגשית, יש מקום לאפשר לאדם להביא עימו, לפחות בתחילת התהליך, אדם הקרוב אליו, וזאת במיוחד כאשר ישנ</w:t>
      </w:r>
      <w:r w:rsidR="00ED4541" w:rsidRPr="00C87EDE">
        <w:rPr>
          <w:rFonts w:hint="cs"/>
          <w:sz w:val="28"/>
          <w:szCs w:val="28"/>
          <w:rtl/>
        </w:rPr>
        <w:t>ן</w:t>
      </w:r>
      <w:r w:rsidRPr="00C87EDE">
        <w:rPr>
          <w:rFonts w:hint="cs"/>
          <w:sz w:val="28"/>
          <w:szCs w:val="28"/>
          <w:rtl/>
        </w:rPr>
        <w:t xml:space="preserve"> ברקע טענות של אלימות או התעללות</w:t>
      </w:r>
      <w:r w:rsidR="00ED4541" w:rsidRPr="00C87EDE">
        <w:rPr>
          <w:rFonts w:hint="cs"/>
          <w:sz w:val="28"/>
          <w:szCs w:val="28"/>
          <w:rtl/>
        </w:rPr>
        <w:t xml:space="preserve">. אף על פי כן, יש ליתן סמכות ליחידת הסיוע לנהל את פגישות המהו"ת בדרך הנראית לה נכונה להשגת המטרות של הפגישות, ובמסגרת זו לקבוע מי יהיה נוכח בפגישות </w:t>
      </w:r>
      <w:r w:rsidRPr="00C87EDE">
        <w:rPr>
          <w:rStyle w:val="a5"/>
          <w:sz w:val="28"/>
          <w:szCs w:val="28"/>
          <w:rtl/>
        </w:rPr>
        <w:footnoteReference w:id="4"/>
      </w:r>
      <w:r w:rsidRPr="00C87EDE">
        <w:rPr>
          <w:rFonts w:hint="cs"/>
          <w:sz w:val="28"/>
          <w:szCs w:val="28"/>
          <w:rtl/>
        </w:rPr>
        <w:t>.</w:t>
      </w:r>
      <w:r w:rsidR="003C7E9A" w:rsidRPr="00C87EDE">
        <w:rPr>
          <w:rFonts w:hint="cs"/>
          <w:sz w:val="28"/>
          <w:szCs w:val="28"/>
          <w:rtl/>
        </w:rPr>
        <w:t xml:space="preserve"> החוק מדגיש שסמכויות יחידת הסיוע תופעלנה "על פי שיקול דעתה מקצועי</w:t>
      </w:r>
      <w:r w:rsidR="00C940BC">
        <w:rPr>
          <w:rFonts w:hint="cs"/>
          <w:sz w:val="28"/>
          <w:szCs w:val="28"/>
          <w:rtl/>
        </w:rPr>
        <w:t>"</w:t>
      </w:r>
      <w:r w:rsidR="003C7E9A" w:rsidRPr="00C87EDE">
        <w:rPr>
          <w:rFonts w:hint="cs"/>
          <w:sz w:val="28"/>
          <w:szCs w:val="28"/>
          <w:rtl/>
        </w:rPr>
        <w:t>, (למשל, בסעיף 3 (ב) (1), (4)).</w:t>
      </w:r>
    </w:p>
    <w:p w:rsidR="00ED4541" w:rsidRPr="00C87EDE" w:rsidRDefault="00ED4541" w:rsidP="00CB063D">
      <w:pPr>
        <w:rPr>
          <w:sz w:val="28"/>
          <w:szCs w:val="28"/>
          <w:rtl/>
        </w:rPr>
      </w:pPr>
    </w:p>
    <w:p w:rsidR="00241CED" w:rsidRDefault="00241CED" w:rsidP="00DE08CE">
      <w:pPr>
        <w:rPr>
          <w:sz w:val="28"/>
          <w:szCs w:val="28"/>
          <w:rtl/>
        </w:rPr>
      </w:pPr>
      <w:r w:rsidRPr="00C87EDE">
        <w:rPr>
          <w:rFonts w:hint="cs"/>
          <w:sz w:val="28"/>
          <w:szCs w:val="28"/>
          <w:rtl/>
        </w:rPr>
        <w:t>על פי סעיף 22 לחוק לשכת עורכי הדין, התשכ"א-1961, אדם זכאי להיות מילוג ע"י עו"ד</w:t>
      </w:r>
      <w:r w:rsidR="00DE08CE" w:rsidRPr="00C87EDE">
        <w:rPr>
          <w:rFonts w:hint="cs"/>
          <w:sz w:val="28"/>
          <w:szCs w:val="28"/>
          <w:rtl/>
        </w:rPr>
        <w:t xml:space="preserve"> </w:t>
      </w:r>
      <w:r w:rsidRPr="00C87EDE">
        <w:rPr>
          <w:rFonts w:hint="cs"/>
          <w:sz w:val="28"/>
          <w:szCs w:val="28"/>
          <w:rtl/>
        </w:rPr>
        <w:t>"בפני כל רשויות המדינה</w:t>
      </w:r>
      <w:r w:rsidR="00DE08CE" w:rsidRPr="00C87EDE">
        <w:rPr>
          <w:rFonts w:hint="cs"/>
          <w:sz w:val="28"/>
          <w:szCs w:val="28"/>
          <w:rtl/>
        </w:rPr>
        <w:t>", ואין ספק שיחידת הסיוע היא רשות כזו.</w:t>
      </w:r>
      <w:r w:rsidR="00ED4541" w:rsidRPr="00C87EDE">
        <w:rPr>
          <w:rFonts w:hint="cs"/>
          <w:sz w:val="28"/>
          <w:szCs w:val="28"/>
          <w:rtl/>
        </w:rPr>
        <w:t xml:space="preserve"> </w:t>
      </w:r>
      <w:r w:rsidR="00C940BC">
        <w:rPr>
          <w:rFonts w:hint="cs"/>
          <w:sz w:val="28"/>
          <w:szCs w:val="28"/>
          <w:rtl/>
        </w:rPr>
        <w:t xml:space="preserve">אולם </w:t>
      </w:r>
      <w:r w:rsidR="00ED4541" w:rsidRPr="00C87EDE">
        <w:rPr>
          <w:rFonts w:hint="cs"/>
          <w:sz w:val="28"/>
          <w:szCs w:val="28"/>
          <w:rtl/>
        </w:rPr>
        <w:t>כמו כל זכאות, אין מדובר בזכאות אבסולוטית, ויתכן שהיא נסוגה מפני המחויובות של הצדדים ושל המדינה לקדם יישוב סכסוכים במשפחה שלא בדרך התדיינות משפטית.</w:t>
      </w:r>
    </w:p>
    <w:p w:rsidR="00A21066" w:rsidRPr="00C87EDE" w:rsidRDefault="00A21066" w:rsidP="00A21066">
      <w:pPr>
        <w:rPr>
          <w:sz w:val="28"/>
          <w:szCs w:val="28"/>
          <w:rtl/>
        </w:rPr>
      </w:pPr>
      <w:r w:rsidRPr="00C87EDE">
        <w:rPr>
          <w:rFonts w:hint="cs"/>
          <w:sz w:val="28"/>
          <w:szCs w:val="28"/>
          <w:rtl/>
        </w:rPr>
        <w:t>בכל הכבוד</w:t>
      </w:r>
      <w:r>
        <w:rPr>
          <w:rFonts w:hint="cs"/>
          <w:sz w:val="28"/>
          <w:szCs w:val="28"/>
          <w:rtl/>
        </w:rPr>
        <w:t xml:space="preserve"> לטענת לשכת עורכי הדין</w:t>
      </w:r>
      <w:r w:rsidRPr="00C87EDE">
        <w:rPr>
          <w:rFonts w:hint="cs"/>
          <w:sz w:val="28"/>
          <w:szCs w:val="28"/>
          <w:rtl/>
        </w:rPr>
        <w:t>, אין בסעיף 3 (ב) (4) לחוק כדי לתמוך בטענה שיש חובה לאפשר ייצוג בכל ההליך. נהפוך הוא: מדובר בעו"ד שאינו קשור למי מהצדדים, בעל הנסיון והכישורים הנחוצים לקדם את עניין יישוב הסכסוך, אשר ישתתף בפגישות המהו"ת ככל שהדבר יראה נחוץ.</w:t>
      </w:r>
    </w:p>
    <w:p w:rsidR="00DE08CE" w:rsidRPr="00C87EDE" w:rsidRDefault="00ED4541" w:rsidP="00C940BC">
      <w:pPr>
        <w:rPr>
          <w:sz w:val="28"/>
          <w:szCs w:val="28"/>
          <w:rtl/>
        </w:rPr>
      </w:pPr>
      <w:r w:rsidRPr="00C87EDE">
        <w:rPr>
          <w:rFonts w:hint="cs"/>
          <w:sz w:val="28"/>
          <w:szCs w:val="28"/>
          <w:rtl/>
        </w:rPr>
        <w:lastRenderedPageBreak/>
        <w:t xml:space="preserve">אכן, </w:t>
      </w:r>
      <w:r w:rsidR="00DE08CE" w:rsidRPr="00C87EDE">
        <w:rPr>
          <w:rFonts w:hint="cs"/>
          <w:sz w:val="28"/>
          <w:szCs w:val="28"/>
          <w:rtl/>
        </w:rPr>
        <w:t xml:space="preserve">על פני הדברים, אין בחוק סמכות למנוע מאדם להיות מיוצג בפגישת מהו"ת, ועדיף היה להמנע מאיסור </w:t>
      </w:r>
      <w:r w:rsidR="003C7E9A" w:rsidRPr="00C87EDE">
        <w:rPr>
          <w:rFonts w:hint="cs"/>
          <w:sz w:val="28"/>
          <w:szCs w:val="28"/>
          <w:rtl/>
        </w:rPr>
        <w:t>נוכחות ב"כ הצדדים</w:t>
      </w:r>
      <w:r w:rsidR="00C940BC">
        <w:rPr>
          <w:rFonts w:hint="cs"/>
          <w:sz w:val="28"/>
          <w:szCs w:val="28"/>
          <w:rtl/>
        </w:rPr>
        <w:t>,</w:t>
      </w:r>
      <w:r w:rsidR="00DE08CE" w:rsidRPr="00C87EDE">
        <w:rPr>
          <w:rFonts w:hint="cs"/>
          <w:sz w:val="28"/>
          <w:szCs w:val="28"/>
          <w:rtl/>
        </w:rPr>
        <w:t xml:space="preserve"> כמו בתקנה 5 (ב).</w:t>
      </w:r>
      <w:r w:rsidRPr="00C87EDE">
        <w:rPr>
          <w:rFonts w:hint="cs"/>
          <w:sz w:val="28"/>
          <w:szCs w:val="28"/>
          <w:rtl/>
        </w:rPr>
        <w:t xml:space="preserve"> די יהיה בהענק</w:t>
      </w:r>
      <w:r w:rsidR="003C7E9A" w:rsidRPr="00C87EDE">
        <w:rPr>
          <w:rFonts w:hint="cs"/>
          <w:sz w:val="28"/>
          <w:szCs w:val="28"/>
          <w:rtl/>
        </w:rPr>
        <w:t>ת</w:t>
      </w:r>
      <w:r w:rsidRPr="00C87EDE">
        <w:rPr>
          <w:rFonts w:hint="cs"/>
          <w:sz w:val="28"/>
          <w:szCs w:val="28"/>
          <w:rtl/>
        </w:rPr>
        <w:t xml:space="preserve"> סמכות ליחידת הסיוע להכריע בסוגיית מי ישתתף בפגישות</w:t>
      </w:r>
      <w:r w:rsidR="003C7E9A" w:rsidRPr="00C87EDE">
        <w:rPr>
          <w:rFonts w:hint="cs"/>
          <w:sz w:val="28"/>
          <w:szCs w:val="28"/>
          <w:rtl/>
        </w:rPr>
        <w:t>, כאמור בתקנה 5(ג).</w:t>
      </w:r>
    </w:p>
    <w:p w:rsidR="00F3429A" w:rsidRPr="00C87EDE" w:rsidRDefault="00F3429A" w:rsidP="003C7E9A">
      <w:pPr>
        <w:rPr>
          <w:sz w:val="28"/>
          <w:szCs w:val="28"/>
          <w:rtl/>
        </w:rPr>
      </w:pPr>
    </w:p>
    <w:p w:rsidR="00F3429A" w:rsidRPr="00C87EDE" w:rsidRDefault="00F3429A" w:rsidP="003C7E9A">
      <w:pPr>
        <w:rPr>
          <w:b/>
          <w:bCs/>
          <w:sz w:val="28"/>
          <w:szCs w:val="28"/>
          <w:rtl/>
        </w:rPr>
      </w:pPr>
      <w:r w:rsidRPr="00C87EDE">
        <w:rPr>
          <w:rFonts w:hint="cs"/>
          <w:b/>
          <w:bCs/>
          <w:sz w:val="28"/>
          <w:szCs w:val="28"/>
          <w:rtl/>
        </w:rPr>
        <w:t>סיכום</w:t>
      </w:r>
    </w:p>
    <w:p w:rsidR="00F3429A" w:rsidRPr="00C87EDE" w:rsidRDefault="00F3429A" w:rsidP="003C7E9A">
      <w:pPr>
        <w:rPr>
          <w:b/>
          <w:bCs/>
          <w:sz w:val="28"/>
          <w:szCs w:val="28"/>
          <w:rtl/>
        </w:rPr>
      </w:pPr>
    </w:p>
    <w:p w:rsidR="00F3429A" w:rsidRPr="00C87EDE" w:rsidRDefault="00F3429A" w:rsidP="00F3429A">
      <w:pPr>
        <w:rPr>
          <w:sz w:val="28"/>
          <w:szCs w:val="28"/>
          <w:rtl/>
        </w:rPr>
      </w:pPr>
      <w:r w:rsidRPr="00C87EDE">
        <w:rPr>
          <w:rFonts w:hint="cs"/>
          <w:sz w:val="28"/>
          <w:szCs w:val="28"/>
          <w:rtl/>
        </w:rPr>
        <w:t>אשמח להשתתף בדיונים בנוגע לתקנות וכן בעיצוב דרכי הפעולה על פי חוק להסדר התדיינויות בסכסוכי משפחה.</w:t>
      </w:r>
    </w:p>
    <w:p w:rsidR="00F3429A" w:rsidRPr="00C87EDE" w:rsidRDefault="00F3429A" w:rsidP="00F3429A">
      <w:pPr>
        <w:rPr>
          <w:sz w:val="28"/>
          <w:szCs w:val="28"/>
          <w:rtl/>
        </w:rPr>
      </w:pPr>
    </w:p>
    <w:p w:rsidR="00F3429A" w:rsidRPr="00C87EDE" w:rsidRDefault="00F3429A" w:rsidP="00F3429A">
      <w:pPr>
        <w:rPr>
          <w:sz w:val="28"/>
          <w:szCs w:val="28"/>
          <w:rtl/>
        </w:rPr>
      </w:pPr>
      <w:r w:rsidRPr="00C87EDE">
        <w:rPr>
          <w:rFonts w:hint="cs"/>
          <w:sz w:val="28"/>
          <w:szCs w:val="28"/>
          <w:rtl/>
        </w:rPr>
        <w:t>אייר תשע"ו מאי 2016</w:t>
      </w:r>
    </w:p>
    <w:p w:rsidR="00F3429A" w:rsidRPr="00C87EDE" w:rsidRDefault="00F3429A" w:rsidP="003C7E9A">
      <w:pPr>
        <w:rPr>
          <w:sz w:val="28"/>
          <w:szCs w:val="28"/>
          <w:rtl/>
        </w:rPr>
      </w:pPr>
    </w:p>
    <w:p w:rsidR="00F3429A" w:rsidRDefault="00F3429A" w:rsidP="003C7E9A">
      <w:pPr>
        <w:rPr>
          <w:b/>
          <w:bCs/>
          <w:sz w:val="28"/>
          <w:szCs w:val="28"/>
          <w:rtl/>
        </w:rPr>
      </w:pPr>
      <w:r w:rsidRPr="00C87EDE">
        <w:rPr>
          <w:rFonts w:hint="cs"/>
          <w:b/>
          <w:bCs/>
          <w:sz w:val="28"/>
          <w:szCs w:val="28"/>
          <w:rtl/>
        </w:rPr>
        <w:t>פיליפ מרכוס, שופט בדימוס</w:t>
      </w:r>
    </w:p>
    <w:p w:rsidR="00A21066" w:rsidRDefault="00F3429A" w:rsidP="00A21066">
      <w:pPr>
        <w:pStyle w:val="P00"/>
        <w:spacing w:before="72"/>
        <w:ind w:left="0" w:right="1134"/>
        <w:jc w:val="left"/>
        <w:rPr>
          <w:rFonts w:cs="David"/>
          <w:sz w:val="28"/>
          <w:szCs w:val="28"/>
          <w:rtl/>
        </w:rPr>
      </w:pPr>
      <w:r w:rsidRPr="00C87EDE">
        <w:rPr>
          <w:rFonts w:cs="David" w:hint="cs"/>
          <w:sz w:val="28"/>
          <w:szCs w:val="28"/>
          <w:rtl/>
        </w:rPr>
        <w:t>משפטאי</w:t>
      </w:r>
    </w:p>
    <w:p w:rsidR="00F3429A" w:rsidRPr="00C87EDE" w:rsidRDefault="00A21066" w:rsidP="00A21066">
      <w:pPr>
        <w:pStyle w:val="P00"/>
        <w:spacing w:before="72"/>
        <w:ind w:left="0" w:right="1134"/>
        <w:jc w:val="left"/>
        <w:rPr>
          <w:rFonts w:cs="David"/>
          <w:sz w:val="28"/>
          <w:szCs w:val="28"/>
          <w:rtl/>
        </w:rPr>
      </w:pPr>
      <w:r>
        <w:rPr>
          <w:rFonts w:cs="David" w:hint="cs"/>
          <w:sz w:val="28"/>
          <w:szCs w:val="28"/>
          <w:rtl/>
        </w:rPr>
        <w:t xml:space="preserve">חוקר, </w:t>
      </w:r>
      <w:r w:rsidR="00F3429A" w:rsidRPr="00C87EDE">
        <w:rPr>
          <w:rFonts w:cs="David" w:hint="cs"/>
          <w:sz w:val="28"/>
          <w:szCs w:val="28"/>
          <w:rtl/>
        </w:rPr>
        <w:t xml:space="preserve">מרצה, יועץ </w:t>
      </w:r>
      <w:r>
        <w:rPr>
          <w:rFonts w:cs="David" w:hint="cs"/>
          <w:sz w:val="28"/>
          <w:szCs w:val="28"/>
          <w:rtl/>
        </w:rPr>
        <w:t>בענייני משפחה</w:t>
      </w:r>
    </w:p>
    <w:p w:rsidR="00F3429A" w:rsidRPr="00C87EDE" w:rsidRDefault="00F3429A" w:rsidP="00F3429A">
      <w:pPr>
        <w:pStyle w:val="P00"/>
        <w:spacing w:before="72"/>
        <w:ind w:left="0" w:right="1134"/>
        <w:jc w:val="left"/>
        <w:rPr>
          <w:rFonts w:cs="David"/>
          <w:sz w:val="28"/>
          <w:szCs w:val="28"/>
          <w:rtl/>
        </w:rPr>
      </w:pPr>
    </w:p>
    <w:p w:rsidR="00F3429A" w:rsidRPr="00C87EDE" w:rsidRDefault="00F3429A" w:rsidP="00F3429A">
      <w:pPr>
        <w:pStyle w:val="P00"/>
        <w:spacing w:before="72"/>
        <w:ind w:left="0" w:right="1134"/>
        <w:jc w:val="left"/>
        <w:rPr>
          <w:rFonts w:cs="David"/>
          <w:sz w:val="28"/>
          <w:szCs w:val="28"/>
          <w:rtl/>
        </w:rPr>
      </w:pPr>
      <w:r w:rsidRPr="00C87EDE">
        <w:rPr>
          <w:rFonts w:cs="David" w:hint="cs"/>
          <w:sz w:val="28"/>
          <w:szCs w:val="28"/>
          <w:rtl/>
        </w:rPr>
        <w:t>רח' אהרון בראנד 7/1, ירושלים 9387807</w:t>
      </w:r>
    </w:p>
    <w:p w:rsidR="00F3429A" w:rsidRPr="00C87EDE" w:rsidRDefault="00F3429A" w:rsidP="00F3429A">
      <w:pPr>
        <w:pStyle w:val="P00"/>
        <w:spacing w:before="72"/>
        <w:ind w:left="0" w:right="1134"/>
        <w:jc w:val="left"/>
        <w:rPr>
          <w:rFonts w:cs="David"/>
          <w:sz w:val="28"/>
          <w:szCs w:val="28"/>
          <w:rtl/>
        </w:rPr>
      </w:pPr>
      <w:r w:rsidRPr="00C87EDE">
        <w:rPr>
          <w:rFonts w:cs="David" w:hint="cs"/>
          <w:sz w:val="28"/>
          <w:szCs w:val="28"/>
          <w:rtl/>
        </w:rPr>
        <w:t>טל: 054-44-55-703</w:t>
      </w:r>
    </w:p>
    <w:p w:rsidR="00F3429A" w:rsidRPr="00C87EDE" w:rsidRDefault="00F3429A" w:rsidP="00F3429A">
      <w:pPr>
        <w:pStyle w:val="P00"/>
        <w:spacing w:before="72"/>
        <w:ind w:left="0" w:right="1134"/>
        <w:jc w:val="left"/>
        <w:rPr>
          <w:rFonts w:cs="David"/>
          <w:sz w:val="28"/>
          <w:szCs w:val="28"/>
        </w:rPr>
      </w:pPr>
      <w:r w:rsidRPr="00C87EDE">
        <w:rPr>
          <w:rFonts w:cs="David" w:hint="cs"/>
          <w:sz w:val="28"/>
          <w:szCs w:val="28"/>
          <w:rtl/>
        </w:rPr>
        <w:t xml:space="preserve">דוא"ל: </w:t>
      </w:r>
      <w:hyperlink r:id="rId7" w:history="1">
        <w:r w:rsidRPr="00C87EDE">
          <w:rPr>
            <w:rStyle w:val="Hyperlink"/>
            <w:rFonts w:cs="David"/>
            <w:sz w:val="28"/>
            <w:szCs w:val="28"/>
          </w:rPr>
          <w:t>philipmarcusjurist@gmail.com</w:t>
        </w:r>
      </w:hyperlink>
    </w:p>
    <w:p w:rsidR="00F3429A" w:rsidRPr="00C87EDE" w:rsidRDefault="00F3429A" w:rsidP="00F3429A">
      <w:pPr>
        <w:pStyle w:val="P00"/>
        <w:spacing w:before="72"/>
        <w:ind w:left="0" w:right="1134"/>
        <w:jc w:val="left"/>
        <w:rPr>
          <w:sz w:val="28"/>
          <w:szCs w:val="28"/>
          <w:rtl/>
        </w:rPr>
      </w:pPr>
      <w:r w:rsidRPr="00C87EDE">
        <w:rPr>
          <w:rFonts w:cs="David" w:hint="cs"/>
          <w:sz w:val="28"/>
          <w:szCs w:val="28"/>
          <w:rtl/>
        </w:rPr>
        <w:t xml:space="preserve">אתר: </w:t>
      </w:r>
      <w:r w:rsidRPr="00C87EDE">
        <w:rPr>
          <w:rFonts w:cs="David"/>
          <w:sz w:val="28"/>
          <w:szCs w:val="28"/>
        </w:rPr>
        <w:t>www.philip-marcus.com</w:t>
      </w:r>
    </w:p>
    <w:p w:rsidR="00F3429A" w:rsidRPr="00C87EDE" w:rsidRDefault="00F3429A" w:rsidP="003C7E9A">
      <w:pPr>
        <w:rPr>
          <w:sz w:val="28"/>
          <w:szCs w:val="28"/>
          <w:rtl/>
        </w:rPr>
      </w:pPr>
    </w:p>
    <w:p w:rsidR="00DE08CE" w:rsidRPr="00C87EDE" w:rsidRDefault="00DE08CE" w:rsidP="00DE08CE">
      <w:pPr>
        <w:rPr>
          <w:sz w:val="28"/>
          <w:szCs w:val="28"/>
          <w:rtl/>
        </w:rPr>
      </w:pPr>
    </w:p>
    <w:p w:rsidR="00DE08CE" w:rsidRDefault="00DE08CE" w:rsidP="00DE08CE">
      <w:pPr>
        <w:rPr>
          <w:rtl/>
        </w:rPr>
      </w:pPr>
    </w:p>
    <w:p w:rsidR="00241CED" w:rsidRDefault="00241CED" w:rsidP="00825563">
      <w:pPr>
        <w:rPr>
          <w:rtl/>
        </w:rPr>
      </w:pPr>
    </w:p>
    <w:p w:rsidR="00241CED" w:rsidRPr="00241CED" w:rsidRDefault="00241CED" w:rsidP="00241CED">
      <w:pPr>
        <w:pStyle w:val="P00"/>
        <w:spacing w:before="72"/>
        <w:ind w:left="0" w:right="1134"/>
        <w:rPr>
          <w:rStyle w:val="default"/>
          <w:rFonts w:ascii="Georgia" w:hAnsi="Georgia"/>
          <w:rtl/>
        </w:rPr>
      </w:pPr>
      <w:r w:rsidRPr="00241CED">
        <w:rPr>
          <w:rStyle w:val="default"/>
          <w:rFonts w:ascii="Georgia" w:hAnsi="Georgia"/>
          <w:rtl/>
        </w:rPr>
        <w:t>.</w:t>
      </w:r>
    </w:p>
    <w:p w:rsidR="008E3A1B" w:rsidRDefault="008E3A1B" w:rsidP="008E3A1B">
      <w:pPr>
        <w:rPr>
          <w:rtl/>
        </w:rPr>
      </w:pPr>
    </w:p>
    <w:sectPr w:rsidR="008E3A1B">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7099" w:rsidRDefault="00D37099" w:rsidP="005A438A">
      <w:pPr>
        <w:spacing w:before="0"/>
      </w:pPr>
      <w:r>
        <w:separator/>
      </w:r>
    </w:p>
  </w:endnote>
  <w:endnote w:type="continuationSeparator" w:id="0">
    <w:p w:rsidR="00D37099" w:rsidRDefault="00D37099" w:rsidP="005A438A">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AFF" w:usb1="C0007841" w:usb2="00000009" w:usb3="00000000" w:csb0="000001FF" w:csb1="00000000"/>
  </w:font>
  <w:font w:name="FrankRuehl">
    <w:panose1 w:val="020E050306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7099" w:rsidRDefault="00D37099" w:rsidP="005A438A">
      <w:pPr>
        <w:spacing w:before="0"/>
      </w:pPr>
      <w:r>
        <w:separator/>
      </w:r>
    </w:p>
  </w:footnote>
  <w:footnote w:type="continuationSeparator" w:id="0">
    <w:p w:rsidR="00D37099" w:rsidRDefault="00D37099" w:rsidP="005A438A">
      <w:pPr>
        <w:spacing w:before="0"/>
      </w:pPr>
      <w:r>
        <w:continuationSeparator/>
      </w:r>
    </w:p>
  </w:footnote>
  <w:footnote w:id="1">
    <w:p w:rsidR="006256E5" w:rsidRDefault="006256E5" w:rsidP="006256E5">
      <w:pPr>
        <w:spacing w:line="276" w:lineRule="auto"/>
        <w:rPr>
          <w:sz w:val="20"/>
          <w:szCs w:val="20"/>
          <w:rtl/>
        </w:rPr>
      </w:pPr>
      <w:r w:rsidRPr="000552D8">
        <w:rPr>
          <w:rStyle w:val="a5"/>
          <w:sz w:val="20"/>
          <w:szCs w:val="20"/>
        </w:rPr>
        <w:footnoteRef/>
      </w:r>
      <w:r w:rsidRPr="000552D8">
        <w:rPr>
          <w:sz w:val="20"/>
          <w:szCs w:val="20"/>
          <w:rtl/>
        </w:rPr>
        <w:t xml:space="preserve"> </w:t>
      </w:r>
      <w:r w:rsidRPr="000552D8">
        <w:rPr>
          <w:rFonts w:hint="cs"/>
          <w:sz w:val="20"/>
          <w:szCs w:val="20"/>
          <w:rtl/>
        </w:rPr>
        <w:t xml:space="preserve">בחודש </w:t>
      </w:r>
      <w:r>
        <w:rPr>
          <w:rFonts w:hint="cs"/>
          <w:sz w:val="20"/>
          <w:szCs w:val="20"/>
          <w:rtl/>
        </w:rPr>
        <w:t xml:space="preserve">שבט תשע"ג - </w:t>
      </w:r>
      <w:r w:rsidRPr="000552D8">
        <w:rPr>
          <w:rFonts w:hint="cs"/>
          <w:sz w:val="20"/>
          <w:szCs w:val="20"/>
          <w:rtl/>
        </w:rPr>
        <w:t>ינואר 2013 הכנתי מאמר:</w:t>
      </w:r>
      <w:r>
        <w:rPr>
          <w:rFonts w:hint="cs"/>
          <w:rtl/>
        </w:rPr>
        <w:t xml:space="preserve"> </w:t>
      </w:r>
      <w:r w:rsidRPr="000552D8">
        <w:rPr>
          <w:rFonts w:hint="cs"/>
          <w:b/>
          <w:bCs/>
          <w:sz w:val="20"/>
          <w:szCs w:val="20"/>
          <w:u w:val="single"/>
          <w:rtl/>
        </w:rPr>
        <w:t>עתיד בית המשפט לענייני משפחה: פראדיגמות חדשות, תיקוני חקיקה ועוד</w:t>
      </w:r>
      <w:r>
        <w:rPr>
          <w:rFonts w:hint="cs"/>
          <w:b/>
          <w:bCs/>
          <w:sz w:val="20"/>
          <w:szCs w:val="20"/>
          <w:rtl/>
        </w:rPr>
        <w:t xml:space="preserve">, </w:t>
      </w:r>
      <w:r w:rsidRPr="003D2122">
        <w:rPr>
          <w:rFonts w:hint="cs"/>
          <w:sz w:val="20"/>
          <w:szCs w:val="20"/>
          <w:rtl/>
        </w:rPr>
        <w:t>והצגתי</w:t>
      </w:r>
      <w:r>
        <w:rPr>
          <w:sz w:val="20"/>
          <w:szCs w:val="20"/>
        </w:rPr>
        <w:t xml:space="preserve"> </w:t>
      </w:r>
      <w:r>
        <w:rPr>
          <w:rFonts w:hint="cs"/>
          <w:sz w:val="20"/>
          <w:szCs w:val="20"/>
          <w:rtl/>
        </w:rPr>
        <w:t xml:space="preserve"> אותו</w:t>
      </w:r>
      <w:r w:rsidRPr="003D2122">
        <w:rPr>
          <w:rFonts w:hint="cs"/>
          <w:sz w:val="20"/>
          <w:szCs w:val="20"/>
          <w:rtl/>
        </w:rPr>
        <w:t xml:space="preserve"> בפני גורמים בכירים במערכת המשפט. השוויתי את שיטת השיפוט בענייני משפחה בארץ עם שיטות אחרות, והצעתי הצעות מפורטות </w:t>
      </w:r>
      <w:r>
        <w:rPr>
          <w:rFonts w:hint="cs"/>
          <w:sz w:val="20"/>
          <w:szCs w:val="20"/>
          <w:rtl/>
        </w:rPr>
        <w:t>ו</w:t>
      </w:r>
      <w:r w:rsidRPr="003D2122">
        <w:rPr>
          <w:rFonts w:hint="cs"/>
          <w:sz w:val="20"/>
          <w:szCs w:val="20"/>
          <w:rtl/>
        </w:rPr>
        <w:t xml:space="preserve">השינויים הנחוצים, בחקיקה ובסדרי דין, כדי להקל על משפחות, ובעיקר על הילדים, הנקלעים לסכסוך משפחתי. ניתן לעיין במאמר באתר </w:t>
      </w:r>
      <w:hyperlink r:id="rId1" w:history="1">
        <w:r w:rsidRPr="003D2122">
          <w:rPr>
            <w:rStyle w:val="Hyperlink"/>
            <w:sz w:val="20"/>
            <w:szCs w:val="20"/>
          </w:rPr>
          <w:t>www.philip-marcus.com</w:t>
        </w:r>
      </w:hyperlink>
      <w:r w:rsidRPr="003D2122">
        <w:rPr>
          <w:sz w:val="20"/>
          <w:szCs w:val="20"/>
        </w:rPr>
        <w:t xml:space="preserve"> </w:t>
      </w:r>
      <w:r w:rsidRPr="003D2122">
        <w:rPr>
          <w:rFonts w:hint="cs"/>
          <w:sz w:val="20"/>
          <w:szCs w:val="20"/>
          <w:rtl/>
        </w:rPr>
        <w:t xml:space="preserve"> או לקבלו ממני. תשומת הלב מופנית במיוחד לסעיפים 107-110</w:t>
      </w:r>
      <w:r>
        <w:rPr>
          <w:rFonts w:hint="cs"/>
          <w:sz w:val="20"/>
          <w:szCs w:val="20"/>
          <w:rtl/>
        </w:rPr>
        <w:t xml:space="preserve">, והתיקון המוצע לתקנות סדר הדין האזרחי, הצשמ"ד-1984, בהוספת תקנה 258ה(1), שבהם הצעתי שיטה דומה מאוד לשיטת יישוב סכסוך שבהצעת חוק הנוכחית. שם התבססתי בין היתר על מסקנות </w:t>
      </w:r>
      <w:r w:rsidRPr="00DF6E77">
        <w:rPr>
          <w:rFonts w:hint="cs"/>
          <w:sz w:val="20"/>
          <w:szCs w:val="20"/>
          <w:rtl/>
        </w:rPr>
        <w:t xml:space="preserve">שבדו"ח המשלים של הוועדה לבחינת ההיבטים המשפטיים של האחריות ההורית בגירושין, (ועדת שניט), אשר הוגשו לשר המשפטים בחודש אלול תשע"א </w:t>
      </w:r>
      <w:r w:rsidRPr="00DF6E77">
        <w:rPr>
          <w:sz w:val="20"/>
          <w:szCs w:val="20"/>
          <w:rtl/>
        </w:rPr>
        <w:t>–</w:t>
      </w:r>
      <w:r w:rsidRPr="00DF6E77">
        <w:rPr>
          <w:rFonts w:hint="cs"/>
          <w:sz w:val="20"/>
          <w:szCs w:val="20"/>
          <w:rtl/>
        </w:rPr>
        <w:t xml:space="preserve"> ספטמבר 2011</w:t>
      </w:r>
      <w:r>
        <w:rPr>
          <w:rFonts w:hint="cs"/>
          <w:sz w:val="20"/>
          <w:szCs w:val="20"/>
          <w:rtl/>
        </w:rPr>
        <w:t xml:space="preserve">. </w:t>
      </w:r>
    </w:p>
    <w:p w:rsidR="006256E5" w:rsidRPr="001268BA" w:rsidRDefault="006256E5" w:rsidP="006256E5">
      <w:pPr>
        <w:spacing w:line="276" w:lineRule="auto"/>
        <w:rPr>
          <w:b/>
          <w:bCs/>
          <w:sz w:val="48"/>
          <w:szCs w:val="48"/>
          <w:u w:val="single"/>
          <w:rtl/>
        </w:rPr>
      </w:pPr>
      <w:r>
        <w:rPr>
          <w:rFonts w:hint="cs"/>
          <w:sz w:val="20"/>
          <w:szCs w:val="20"/>
          <w:rtl/>
        </w:rPr>
        <w:t xml:space="preserve">כמו כן בחודש אלול תשע"ד אוגוסט 2014 הגשתי לשרת המשפטים נייר עמדה בנוגע להצעת החוק להסדר התדיינות בסכסוכי משפחה, התשע"ד-2014. </w:t>
      </w:r>
    </w:p>
    <w:p w:rsidR="006256E5" w:rsidRDefault="006256E5" w:rsidP="006256E5">
      <w:pPr>
        <w:pStyle w:val="a3"/>
      </w:pPr>
    </w:p>
  </w:footnote>
  <w:footnote w:id="2">
    <w:p w:rsidR="00C87EDE" w:rsidRDefault="00C87EDE" w:rsidP="00C87EDE">
      <w:pPr>
        <w:pStyle w:val="a3"/>
      </w:pPr>
      <w:r>
        <w:rPr>
          <w:rStyle w:val="a5"/>
        </w:rPr>
        <w:footnoteRef/>
      </w:r>
      <w:r>
        <w:rPr>
          <w:rtl/>
        </w:rPr>
        <w:t xml:space="preserve"> </w:t>
      </w:r>
      <w:r>
        <w:rPr>
          <w:rFonts w:hint="cs"/>
          <w:rtl/>
        </w:rPr>
        <w:t>באוסטרליה, לדוגמה, הצדדים מחויבים לעבור תהליך של יעוץ, שבו נחשפים לאפשרויות ליישוב סכסוך ללא התדיינות, לפני הגשת הליכים משפטיים וכתנאי לפתיחת תיק. מספר התיקים הנפתחים בבית המשפט ירד בשליש ב-5 השנים הראשונות להפעלת התהליך.</w:t>
      </w:r>
    </w:p>
  </w:footnote>
  <w:footnote w:id="3">
    <w:p w:rsidR="00C8422C" w:rsidRDefault="00C8422C" w:rsidP="007B300E">
      <w:pPr>
        <w:autoSpaceDE w:val="0"/>
        <w:autoSpaceDN w:val="0"/>
        <w:bidi w:val="0"/>
        <w:adjustRightInd w:val="0"/>
        <w:spacing w:before="0"/>
        <w:jc w:val="right"/>
      </w:pPr>
      <w:r w:rsidRPr="00C8422C">
        <w:rPr>
          <w:rFonts w:hint="cs"/>
          <w:sz w:val="20"/>
          <w:szCs w:val="20"/>
          <w:rtl/>
        </w:rPr>
        <w:t>2</w:t>
      </w:r>
      <w:r>
        <w:rPr>
          <w:rFonts w:hint="cs"/>
          <w:rtl/>
        </w:rPr>
        <w:t xml:space="preserve">. </w:t>
      </w:r>
      <w:r w:rsidRPr="00C8422C">
        <w:rPr>
          <w:rFonts w:hint="cs"/>
          <w:sz w:val="20"/>
          <w:szCs w:val="20"/>
          <w:rtl/>
        </w:rPr>
        <w:t xml:space="preserve">במאמרי </w:t>
      </w:r>
      <w:r w:rsidRPr="006256E5">
        <w:rPr>
          <w:rFonts w:hint="cs"/>
          <w:b/>
          <w:bCs/>
          <w:sz w:val="20"/>
          <w:szCs w:val="20"/>
          <w:rtl/>
        </w:rPr>
        <w:t>מחויבויות הוריות: ניסוח הפראדיגמה החדשה ליחסי הורים-ילדים</w:t>
      </w:r>
      <w:r w:rsidRPr="00C8422C">
        <w:rPr>
          <w:rFonts w:hint="cs"/>
          <w:sz w:val="20"/>
          <w:szCs w:val="20"/>
          <w:rtl/>
        </w:rPr>
        <w:t xml:space="preserve"> (רפואה ומשפט, גליון 48, אוקטובר 2015, 121-136</w:t>
      </w:r>
      <w:r w:rsidR="007B300E">
        <w:rPr>
          <w:rFonts w:hint="cs"/>
          <w:sz w:val="20"/>
          <w:szCs w:val="20"/>
          <w:rtl/>
        </w:rPr>
        <w:t>)</w:t>
      </w:r>
      <w:r w:rsidRPr="00C8422C">
        <w:rPr>
          <w:rFonts w:hint="cs"/>
          <w:sz w:val="20"/>
          <w:szCs w:val="20"/>
          <w:rtl/>
        </w:rPr>
        <w:t xml:space="preserve"> אני מותח ביקורת על המונחים משמורת, החזקה </w:t>
      </w:r>
      <w:r w:rsidR="007B300E">
        <w:rPr>
          <w:rFonts w:hint="cs"/>
          <w:sz w:val="20"/>
          <w:szCs w:val="20"/>
          <w:rtl/>
        </w:rPr>
        <w:t>ו</w:t>
      </w:r>
      <w:r w:rsidRPr="00C8422C">
        <w:rPr>
          <w:rFonts w:hint="cs"/>
          <w:sz w:val="20"/>
          <w:szCs w:val="20"/>
          <w:rtl/>
        </w:rPr>
        <w:t>כוי"ב</w:t>
      </w:r>
      <w:r>
        <w:rPr>
          <w:rFonts w:hint="cs"/>
          <w:sz w:val="20"/>
          <w:szCs w:val="20"/>
          <w:rtl/>
        </w:rPr>
        <w:t xml:space="preserve">. אינני נסוג מהביקורת, אך נייר עמדה זו נועדה להוות </w:t>
      </w:r>
      <w:r w:rsidRPr="007B300E">
        <w:rPr>
          <w:rFonts w:hint="cs"/>
          <w:sz w:val="20"/>
          <w:szCs w:val="20"/>
          <w:rtl/>
        </w:rPr>
        <w:t>הערות על התקנות כפי שנוסחו</w:t>
      </w:r>
      <w:r w:rsidRPr="00C8422C">
        <w:rPr>
          <w:rFonts w:hint="cs"/>
          <w:sz w:val="20"/>
          <w:szCs w:val="20"/>
          <w:u w:val="single"/>
          <w:rtl/>
        </w:rPr>
        <w:t>.</w:t>
      </w:r>
    </w:p>
  </w:footnote>
  <w:footnote w:id="4">
    <w:p w:rsidR="00CB063D" w:rsidRDefault="00CB063D" w:rsidP="00ED4541">
      <w:pPr>
        <w:pStyle w:val="a3"/>
      </w:pPr>
      <w:r>
        <w:rPr>
          <w:rStyle w:val="a5"/>
        </w:rPr>
        <w:footnoteRef/>
      </w:r>
      <w:r>
        <w:rPr>
          <w:rtl/>
        </w:rPr>
        <w:t xml:space="preserve"> </w:t>
      </w:r>
      <w:r>
        <w:rPr>
          <w:rFonts w:hint="cs"/>
          <w:rtl/>
        </w:rPr>
        <w:t>ראה לצורך השוואה סעיף 6א לחוק זכויות החולה, התשנ"ו-1996, המאפשר לחולה להיות מלווה באדם אחר, אלא אם כן סבר המטפל שנוכחות המלווה תפגע בבריאות המטופל, המלווה</w:t>
      </w:r>
      <w:r w:rsidR="00ED4541">
        <w:rPr>
          <w:rFonts w:hint="cs"/>
          <w:rtl/>
        </w:rPr>
        <w:t xml:space="preserve"> או אחרים, או באיכות הטיפול, כוי"ב.</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67B"/>
    <w:rsid w:val="000C3517"/>
    <w:rsid w:val="00141D19"/>
    <w:rsid w:val="00147BB6"/>
    <w:rsid w:val="00167358"/>
    <w:rsid w:val="001D1377"/>
    <w:rsid w:val="00220BDA"/>
    <w:rsid w:val="00241CED"/>
    <w:rsid w:val="002D4992"/>
    <w:rsid w:val="00310D14"/>
    <w:rsid w:val="003C7E9A"/>
    <w:rsid w:val="0051667B"/>
    <w:rsid w:val="005A438A"/>
    <w:rsid w:val="005C302B"/>
    <w:rsid w:val="005E5D03"/>
    <w:rsid w:val="006256E5"/>
    <w:rsid w:val="006F755A"/>
    <w:rsid w:val="00712FC9"/>
    <w:rsid w:val="007B300E"/>
    <w:rsid w:val="00825563"/>
    <w:rsid w:val="00882C57"/>
    <w:rsid w:val="008C014A"/>
    <w:rsid w:val="008E2779"/>
    <w:rsid w:val="008E3A1B"/>
    <w:rsid w:val="009067EC"/>
    <w:rsid w:val="00960B9F"/>
    <w:rsid w:val="00A21066"/>
    <w:rsid w:val="00AF0078"/>
    <w:rsid w:val="00C8422C"/>
    <w:rsid w:val="00C87EDE"/>
    <w:rsid w:val="00C940BC"/>
    <w:rsid w:val="00CB063D"/>
    <w:rsid w:val="00D14022"/>
    <w:rsid w:val="00D37099"/>
    <w:rsid w:val="00DE08CE"/>
    <w:rsid w:val="00ED4541"/>
    <w:rsid w:val="00F0343D"/>
    <w:rsid w:val="00F3429A"/>
    <w:rsid w:val="00F41A8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F4FE70-2224-418B-B4B8-316509D73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438A"/>
    <w:pPr>
      <w:bidi/>
      <w:spacing w:before="72" w:after="0" w:line="240" w:lineRule="auto"/>
      <w:jc w:val="both"/>
    </w:pPr>
    <w:rPr>
      <w:rFonts w:ascii="Georgia" w:hAnsi="Georgia" w:cs="David"/>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5A438A"/>
    <w:rPr>
      <w:rFonts w:ascii="Times New Roman" w:hAnsi="Times New Roman" w:cs="Times New Roman"/>
      <w:sz w:val="20"/>
      <w:szCs w:val="26"/>
    </w:rPr>
  </w:style>
  <w:style w:type="character" w:styleId="Hyperlink">
    <w:name w:val="Hyperlink"/>
    <w:rsid w:val="005A438A"/>
    <w:rPr>
      <w:color w:val="0000FF"/>
      <w:u w:val="single"/>
    </w:rPr>
  </w:style>
  <w:style w:type="paragraph" w:styleId="a3">
    <w:name w:val="footnote text"/>
    <w:basedOn w:val="a"/>
    <w:link w:val="a4"/>
    <w:uiPriority w:val="99"/>
    <w:semiHidden/>
    <w:unhideWhenUsed/>
    <w:rsid w:val="005A438A"/>
    <w:pPr>
      <w:spacing w:before="0"/>
    </w:pPr>
    <w:rPr>
      <w:sz w:val="20"/>
      <w:szCs w:val="20"/>
    </w:rPr>
  </w:style>
  <w:style w:type="character" w:customStyle="1" w:styleId="a4">
    <w:name w:val="טקסט הערת שוליים תו"/>
    <w:basedOn w:val="a0"/>
    <w:link w:val="a3"/>
    <w:uiPriority w:val="99"/>
    <w:semiHidden/>
    <w:rsid w:val="005A438A"/>
    <w:rPr>
      <w:rFonts w:ascii="Georgia" w:hAnsi="Georgia" w:cs="David"/>
      <w:sz w:val="20"/>
      <w:szCs w:val="20"/>
    </w:rPr>
  </w:style>
  <w:style w:type="character" w:styleId="a5">
    <w:name w:val="footnote reference"/>
    <w:basedOn w:val="a0"/>
    <w:uiPriority w:val="99"/>
    <w:semiHidden/>
    <w:unhideWhenUsed/>
    <w:rsid w:val="005A438A"/>
    <w:rPr>
      <w:vertAlign w:val="superscript"/>
    </w:rPr>
  </w:style>
  <w:style w:type="paragraph" w:customStyle="1" w:styleId="P00">
    <w:name w:val="P00"/>
    <w:rsid w:val="00241CED"/>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paragraph" w:customStyle="1" w:styleId="medium-header">
    <w:name w:val="medium-header"/>
    <w:basedOn w:val="P00"/>
    <w:rsid w:val="002D4992"/>
    <w:pPr>
      <w:keepNext/>
      <w:keepLines/>
      <w:tabs>
        <w:tab w:val="clear" w:pos="6259"/>
      </w:tabs>
      <w:spacing w:before="72"/>
      <w:jc w:val="center"/>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hilipmarcusjurist@gmail.com" TargetMode="Externa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philip-marcu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FE70D2-CD65-4CC3-9F20-C8A342700C12}"/>
</file>

<file path=customXml/itemProps2.xml><?xml version="1.0" encoding="utf-8"?>
<ds:datastoreItem xmlns:ds="http://schemas.openxmlformats.org/officeDocument/2006/customXml" ds:itemID="{24A1AFF1-1045-4DC2-9D0A-1ACDE37FEF25}"/>
</file>

<file path=customXml/itemProps3.xml><?xml version="1.0" encoding="utf-8"?>
<ds:datastoreItem xmlns:ds="http://schemas.openxmlformats.org/officeDocument/2006/customXml" ds:itemID="{5950EAF5-A2AA-4D5B-82B5-59389E86F7F6}"/>
</file>

<file path=customXml/itemProps4.xml><?xml version="1.0" encoding="utf-8"?>
<ds:datastoreItem xmlns:ds="http://schemas.openxmlformats.org/officeDocument/2006/customXml" ds:itemID="{B9673858-A8F8-4EFC-9F59-FAC18823557A}"/>
</file>

<file path=docProps/app.xml><?xml version="1.0" encoding="utf-8"?>
<Properties xmlns="http://schemas.openxmlformats.org/officeDocument/2006/extended-properties" xmlns:vt="http://schemas.openxmlformats.org/officeDocument/2006/docPropsVTypes">
  <Template>Normal</Template>
  <TotalTime>2</TotalTime>
  <Pages>5</Pages>
  <Words>1150</Words>
  <Characters>5752</Characters>
  <Application>Microsoft Office Word</Application>
  <DocSecurity>4</DocSecurity>
  <Lines>47</Lines>
  <Paragraphs>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dc:creator>
  <cp:keywords/>
  <dc:description/>
  <cp:lastModifiedBy>אתי דנן</cp:lastModifiedBy>
  <cp:revision>2</cp:revision>
  <cp:lastPrinted>2016-05-11T07:08:00Z</cp:lastPrinted>
  <dcterms:created xsi:type="dcterms:W3CDTF">2016-05-11T08:44:00Z</dcterms:created>
  <dcterms:modified xsi:type="dcterms:W3CDTF">2016-05-11T08:44:00Z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579314</vt:r8>
  </property>
</Properties>
</file>