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0413" w:rsidRPr="00465F20" w:rsidRDefault="00565E71" w:rsidP="00360413">
      <w:pPr>
        <w:autoSpaceDE w:val="0"/>
        <w:autoSpaceDN w:val="0"/>
        <w:jc w:val="right"/>
        <w:rPr>
          <w:rFonts w:eastAsia="Times New Roman" w:cs="David"/>
          <w:rtl/>
          <w:lang w:eastAsia="he-IL"/>
        </w:rPr>
      </w:pPr>
      <w:r>
        <w:rPr>
          <w:rFonts w:eastAsia="Times New Roman" w:cs="David" w:hint="cs"/>
          <w:rtl/>
          <w:lang w:eastAsia="he-IL"/>
        </w:rPr>
        <w:t>י"ד באייר</w:t>
      </w:r>
      <w:r w:rsidR="00360413">
        <w:rPr>
          <w:rFonts w:eastAsia="Times New Roman" w:cs="David" w:hint="cs"/>
          <w:rtl/>
          <w:lang w:eastAsia="he-IL"/>
        </w:rPr>
        <w:t xml:space="preserve"> </w:t>
      </w:r>
      <w:r w:rsidR="00360413" w:rsidRPr="00465F20">
        <w:rPr>
          <w:rFonts w:eastAsia="Times New Roman" w:cs="David"/>
          <w:rtl/>
          <w:lang w:eastAsia="he-IL"/>
        </w:rPr>
        <w:t>תשע"</w:t>
      </w:r>
      <w:r w:rsidR="00360413">
        <w:rPr>
          <w:rFonts w:eastAsia="Times New Roman" w:cs="David" w:hint="cs"/>
          <w:rtl/>
          <w:lang w:eastAsia="he-IL"/>
        </w:rPr>
        <w:t>ו</w:t>
      </w:r>
    </w:p>
    <w:p w:rsidR="00360413" w:rsidRPr="00465F20" w:rsidRDefault="00565E71" w:rsidP="00360413">
      <w:pPr>
        <w:autoSpaceDE w:val="0"/>
        <w:autoSpaceDN w:val="0"/>
        <w:jc w:val="right"/>
        <w:rPr>
          <w:rFonts w:eastAsia="Times New Roman" w:cs="David"/>
          <w:rtl/>
          <w:lang w:eastAsia="he-IL"/>
        </w:rPr>
      </w:pPr>
      <w:r>
        <w:rPr>
          <w:rFonts w:eastAsia="Times New Roman" w:cs="David" w:hint="cs"/>
          <w:rtl/>
          <w:lang w:eastAsia="he-IL"/>
        </w:rPr>
        <w:t xml:space="preserve">22 במאי </w:t>
      </w:r>
      <w:r w:rsidR="00360413">
        <w:rPr>
          <w:rFonts w:eastAsia="Times New Roman" w:cs="David" w:hint="cs"/>
          <w:rtl/>
          <w:lang w:eastAsia="he-IL"/>
        </w:rPr>
        <w:t>2016</w:t>
      </w:r>
    </w:p>
    <w:p w:rsidR="00360413" w:rsidRPr="009B6F7A" w:rsidRDefault="00360413" w:rsidP="00360413">
      <w:pPr>
        <w:autoSpaceDE w:val="0"/>
        <w:autoSpaceDN w:val="0"/>
        <w:jc w:val="both"/>
        <w:rPr>
          <w:rFonts w:eastAsia="Times New Roman" w:cs="David"/>
          <w:rtl/>
          <w:lang w:eastAsia="he-IL"/>
        </w:rPr>
      </w:pPr>
      <w:r w:rsidRPr="009B6F7A">
        <w:rPr>
          <w:rFonts w:eastAsia="Times New Roman" w:cs="David"/>
          <w:u w:val="single"/>
          <w:rtl/>
          <w:lang w:eastAsia="he-IL"/>
        </w:rPr>
        <w:t>אל</w:t>
      </w:r>
      <w:r w:rsidRPr="009B6F7A">
        <w:rPr>
          <w:rFonts w:eastAsia="Times New Roman" w:cs="David"/>
          <w:rtl/>
          <w:lang w:eastAsia="he-IL"/>
        </w:rPr>
        <w:t>: חברי ועדת החוקה, חוק ומשפט</w:t>
      </w:r>
    </w:p>
    <w:p w:rsidR="00360413" w:rsidRDefault="00360413" w:rsidP="00360413">
      <w:pPr>
        <w:autoSpaceDE w:val="0"/>
        <w:autoSpaceDN w:val="0"/>
        <w:jc w:val="both"/>
        <w:rPr>
          <w:rFonts w:eastAsia="Times New Roman" w:cs="David"/>
          <w:rtl/>
          <w:lang w:eastAsia="he-IL"/>
        </w:rPr>
      </w:pPr>
      <w:r w:rsidRPr="009B6F7A">
        <w:rPr>
          <w:rFonts w:eastAsia="Times New Roman" w:cs="David"/>
          <w:u w:val="single"/>
          <w:rtl/>
          <w:lang w:eastAsia="he-IL"/>
        </w:rPr>
        <w:t>מאת</w:t>
      </w:r>
      <w:r w:rsidRPr="009B6F7A">
        <w:rPr>
          <w:rFonts w:eastAsia="Times New Roman" w:cs="David"/>
          <w:rtl/>
          <w:lang w:eastAsia="he-IL"/>
        </w:rPr>
        <w:t>: הייעוץ המשפטי לוועדה</w:t>
      </w:r>
    </w:p>
    <w:p w:rsidR="00360413" w:rsidRDefault="00360413" w:rsidP="00360413">
      <w:pPr>
        <w:spacing w:line="360" w:lineRule="auto"/>
        <w:jc w:val="center"/>
        <w:rPr>
          <w:rFonts w:ascii="David" w:hAnsi="David" w:cs="David"/>
          <w:b/>
          <w:bCs/>
          <w:rtl/>
        </w:rPr>
      </w:pPr>
    </w:p>
    <w:p w:rsidR="00360413" w:rsidRDefault="00360413" w:rsidP="00360413">
      <w:pPr>
        <w:spacing w:line="360" w:lineRule="auto"/>
        <w:jc w:val="center"/>
        <w:rPr>
          <w:rFonts w:ascii="David" w:hAnsi="David" w:cs="David"/>
          <w:b/>
          <w:bCs/>
          <w:rtl/>
        </w:rPr>
      </w:pPr>
      <w:r w:rsidRPr="007C1296">
        <w:rPr>
          <w:rFonts w:ascii="David" w:hAnsi="David" w:cs="David"/>
          <w:b/>
          <w:bCs/>
          <w:rtl/>
        </w:rPr>
        <w:t xml:space="preserve">הצעת חוק </w:t>
      </w:r>
      <w:r>
        <w:rPr>
          <w:rFonts w:ascii="David" w:hAnsi="David" w:cs="David" w:hint="cs"/>
          <w:b/>
          <w:bCs/>
          <w:rtl/>
        </w:rPr>
        <w:t>לתיקון תקנות ההגנה (שעת חירום) (ביטול תקנות), התשע"ג-2013  (מ-782)</w:t>
      </w:r>
    </w:p>
    <w:p w:rsidR="00360413" w:rsidRDefault="00360413" w:rsidP="00565E71">
      <w:pPr>
        <w:spacing w:line="360" w:lineRule="auto"/>
        <w:jc w:val="center"/>
        <w:rPr>
          <w:rFonts w:ascii="David" w:hAnsi="David" w:cs="David"/>
          <w:b/>
          <w:bCs/>
          <w:rtl/>
        </w:rPr>
      </w:pPr>
      <w:r>
        <w:rPr>
          <w:rFonts w:ascii="David" w:hAnsi="David" w:cs="David" w:hint="cs"/>
          <w:b/>
          <w:bCs/>
          <w:rtl/>
        </w:rPr>
        <w:t xml:space="preserve">מסמך רקע לדיון הקבוע ליום </w:t>
      </w:r>
      <w:r w:rsidR="00565E71">
        <w:rPr>
          <w:rFonts w:ascii="David" w:hAnsi="David" w:cs="David" w:hint="cs"/>
          <w:b/>
          <w:bCs/>
          <w:rtl/>
        </w:rPr>
        <w:t>23.5.16</w:t>
      </w:r>
    </w:p>
    <w:p w:rsidR="00E36126" w:rsidRDefault="00E36126" w:rsidP="00360413">
      <w:pPr>
        <w:spacing w:line="360" w:lineRule="auto"/>
        <w:jc w:val="center"/>
        <w:rPr>
          <w:rFonts w:ascii="David" w:hAnsi="David" w:cs="David"/>
          <w:b/>
          <w:bCs/>
          <w:rtl/>
        </w:rPr>
      </w:pPr>
    </w:p>
    <w:p w:rsidR="009730FA" w:rsidRDefault="00E36126" w:rsidP="00B978EF">
      <w:pPr>
        <w:spacing w:line="360" w:lineRule="auto"/>
        <w:jc w:val="both"/>
        <w:rPr>
          <w:rFonts w:ascii="David" w:hAnsi="David" w:cs="David"/>
          <w:rtl/>
        </w:rPr>
      </w:pPr>
      <w:r>
        <w:rPr>
          <w:rFonts w:ascii="David" w:hAnsi="David" w:cs="David" w:hint="cs"/>
          <w:rtl/>
        </w:rPr>
        <w:t xml:space="preserve">הצעת החוק הממשלתית מבקשת לבטל מספר תקנות מתקנות ההגנה (שעת חירום), 1945 (להלן </w:t>
      </w:r>
      <w:r>
        <w:rPr>
          <w:rFonts w:ascii="David" w:hAnsi="David" w:cs="David"/>
          <w:rtl/>
        </w:rPr>
        <w:t>–</w:t>
      </w:r>
      <w:r>
        <w:rPr>
          <w:rFonts w:ascii="David" w:hAnsi="David" w:cs="David" w:hint="cs"/>
          <w:rtl/>
        </w:rPr>
        <w:t xml:space="preserve"> תקנות ההגנה), ככל שיש להן תחליף בחקיקה ישראלית. </w:t>
      </w:r>
      <w:r w:rsidR="009730FA" w:rsidRPr="00BF2E27">
        <w:rPr>
          <w:rFonts w:hAnsi="David" w:cs="David" w:hint="cs"/>
          <w:color w:val="000000"/>
          <w:rtl/>
        </w:rPr>
        <w:t>תקנות</w:t>
      </w:r>
      <w:r w:rsidR="009730FA" w:rsidRPr="00BF2E27">
        <w:rPr>
          <w:rFonts w:hAnsi="David" w:cs="David"/>
          <w:color w:val="000000"/>
          <w:rtl/>
        </w:rPr>
        <w:t xml:space="preserve"> </w:t>
      </w:r>
      <w:r w:rsidR="009730FA" w:rsidRPr="00BF2E27">
        <w:rPr>
          <w:rFonts w:hAnsi="David" w:cs="David" w:hint="cs"/>
          <w:color w:val="000000"/>
          <w:rtl/>
        </w:rPr>
        <w:t>ההגנה</w:t>
      </w:r>
      <w:r w:rsidR="009730FA" w:rsidRPr="00BF2E27">
        <w:rPr>
          <w:rFonts w:hAnsi="David" w:cs="David"/>
          <w:color w:val="000000"/>
          <w:rtl/>
        </w:rPr>
        <w:t xml:space="preserve"> </w:t>
      </w:r>
      <w:r w:rsidR="009730FA">
        <w:rPr>
          <w:rFonts w:ascii="David" w:hAnsi="David" w:cs="David" w:hint="cs"/>
          <w:rtl/>
        </w:rPr>
        <w:t>הותקנו על ידי השלטון הבריטי</w:t>
      </w:r>
      <w:r w:rsidR="009730FA" w:rsidRPr="00BF2E27">
        <w:rPr>
          <w:rFonts w:hAnsi="David" w:cs="David"/>
          <w:color w:val="000000"/>
          <w:rtl/>
        </w:rPr>
        <w:t xml:space="preserve">, </w:t>
      </w:r>
      <w:r w:rsidR="009730FA">
        <w:rPr>
          <w:rFonts w:hAnsi="David" w:cs="David" w:hint="cs"/>
          <w:color w:val="000000"/>
          <w:rtl/>
        </w:rPr>
        <w:t>וב</w:t>
      </w:r>
      <w:r w:rsidR="009730FA" w:rsidRPr="00BF2E27">
        <w:rPr>
          <w:rFonts w:hAnsi="David" w:cs="David" w:hint="cs"/>
          <w:color w:val="000000"/>
          <w:rtl/>
        </w:rPr>
        <w:t>הקמת</w:t>
      </w:r>
      <w:r w:rsidR="009730FA" w:rsidRPr="00BF2E27">
        <w:rPr>
          <w:rFonts w:hAnsi="David" w:cs="David"/>
          <w:color w:val="000000"/>
          <w:rtl/>
        </w:rPr>
        <w:t xml:space="preserve"> </w:t>
      </w:r>
      <w:r w:rsidR="009730FA" w:rsidRPr="00BF2E27">
        <w:rPr>
          <w:rFonts w:hAnsi="David" w:cs="David" w:hint="cs"/>
          <w:color w:val="000000"/>
          <w:rtl/>
        </w:rPr>
        <w:t>המדינה</w:t>
      </w:r>
      <w:r w:rsidR="009730FA" w:rsidRPr="00BF2E27">
        <w:rPr>
          <w:rFonts w:hAnsi="David" w:cs="David"/>
          <w:color w:val="000000"/>
          <w:rtl/>
        </w:rPr>
        <w:t xml:space="preserve"> </w:t>
      </w:r>
      <w:r w:rsidR="009730FA" w:rsidRPr="00BF2E27">
        <w:rPr>
          <w:rFonts w:hAnsi="David" w:cs="David" w:hint="cs"/>
          <w:color w:val="000000"/>
          <w:rtl/>
        </w:rPr>
        <w:t>הפכ</w:t>
      </w:r>
      <w:r w:rsidR="00F35092">
        <w:rPr>
          <w:rFonts w:hAnsi="David" w:cs="David" w:hint="cs"/>
          <w:color w:val="000000"/>
          <w:rtl/>
        </w:rPr>
        <w:t>ו</w:t>
      </w:r>
      <w:r w:rsidR="00B978EF">
        <w:rPr>
          <w:rFonts w:hAnsi="David" w:cs="David" w:hint="cs"/>
          <w:color w:val="000000"/>
          <w:rtl/>
        </w:rPr>
        <w:t>,</w:t>
      </w:r>
      <w:r w:rsidR="009730FA" w:rsidRPr="00BF2E27">
        <w:rPr>
          <w:rFonts w:hAnsi="David" w:cs="David"/>
          <w:color w:val="000000"/>
          <w:rtl/>
        </w:rPr>
        <w:t xml:space="preserve"> </w:t>
      </w:r>
      <w:r w:rsidR="009730FA" w:rsidRPr="00BF2E27">
        <w:rPr>
          <w:rFonts w:hAnsi="David" w:cs="David" w:hint="cs"/>
          <w:color w:val="000000"/>
          <w:rtl/>
        </w:rPr>
        <w:t>מכוח</w:t>
      </w:r>
      <w:r w:rsidR="009730FA" w:rsidRPr="00BF2E27">
        <w:rPr>
          <w:rFonts w:hAnsi="David" w:cs="David"/>
          <w:color w:val="000000"/>
          <w:rtl/>
        </w:rPr>
        <w:t xml:space="preserve"> </w:t>
      </w:r>
      <w:r w:rsidR="009730FA" w:rsidRPr="00BF2E27">
        <w:rPr>
          <w:rFonts w:hAnsi="David" w:cs="David" w:hint="cs"/>
          <w:color w:val="000000"/>
          <w:rtl/>
        </w:rPr>
        <w:t>הוראת</w:t>
      </w:r>
      <w:r w:rsidR="009730FA" w:rsidRPr="00BF2E27">
        <w:rPr>
          <w:rFonts w:hAnsi="David" w:cs="David"/>
          <w:color w:val="000000"/>
          <w:rtl/>
        </w:rPr>
        <w:t xml:space="preserve"> </w:t>
      </w:r>
      <w:r w:rsidR="009730FA" w:rsidRPr="00BF2E27">
        <w:rPr>
          <w:rFonts w:hAnsi="David" w:cs="David" w:hint="cs"/>
          <w:color w:val="000000"/>
          <w:rtl/>
        </w:rPr>
        <w:t>סעיף</w:t>
      </w:r>
      <w:r w:rsidR="009730FA" w:rsidRPr="00BF2E27">
        <w:rPr>
          <w:rFonts w:hAnsi="David" w:cs="David"/>
          <w:color w:val="000000"/>
          <w:rtl/>
        </w:rPr>
        <w:t xml:space="preserve"> 11 </w:t>
      </w:r>
      <w:r w:rsidR="009730FA" w:rsidRPr="00BF2E27">
        <w:rPr>
          <w:rFonts w:hAnsi="David" w:cs="David" w:hint="cs"/>
          <w:color w:val="000000"/>
          <w:rtl/>
        </w:rPr>
        <w:t>לפקודת</w:t>
      </w:r>
      <w:r w:rsidR="009730FA" w:rsidRPr="00BF2E27">
        <w:rPr>
          <w:rFonts w:hAnsi="David" w:cs="David"/>
          <w:color w:val="000000"/>
          <w:rtl/>
        </w:rPr>
        <w:t xml:space="preserve"> </w:t>
      </w:r>
      <w:r w:rsidR="009730FA" w:rsidRPr="00BF2E27">
        <w:rPr>
          <w:rFonts w:hAnsi="David" w:cs="David" w:hint="cs"/>
          <w:color w:val="000000"/>
          <w:rtl/>
        </w:rPr>
        <w:t>סדרי</w:t>
      </w:r>
      <w:r w:rsidR="009730FA" w:rsidRPr="00BF2E27">
        <w:rPr>
          <w:rFonts w:hAnsi="David" w:cs="David"/>
          <w:color w:val="000000"/>
          <w:rtl/>
        </w:rPr>
        <w:t xml:space="preserve"> </w:t>
      </w:r>
      <w:r w:rsidR="009730FA" w:rsidRPr="00BF2E27">
        <w:rPr>
          <w:rFonts w:hAnsi="David" w:cs="David" w:hint="cs"/>
          <w:color w:val="000000"/>
          <w:rtl/>
        </w:rPr>
        <w:t>השלטון</w:t>
      </w:r>
      <w:r w:rsidR="009730FA" w:rsidRPr="00BF2E27">
        <w:rPr>
          <w:rFonts w:hAnsi="David" w:cs="David"/>
          <w:color w:val="000000"/>
          <w:rtl/>
        </w:rPr>
        <w:t xml:space="preserve"> </w:t>
      </w:r>
      <w:bookmarkStart w:id="0" w:name="_GoBack"/>
      <w:bookmarkEnd w:id="0"/>
      <w:r w:rsidR="009730FA" w:rsidRPr="00BF2E27">
        <w:rPr>
          <w:rFonts w:hAnsi="David" w:cs="David" w:hint="cs"/>
          <w:color w:val="000000"/>
          <w:rtl/>
        </w:rPr>
        <w:t>והמשפט</w:t>
      </w:r>
      <w:r w:rsidR="009730FA" w:rsidRPr="00BF2E27">
        <w:rPr>
          <w:rFonts w:hAnsi="David" w:cs="David"/>
          <w:color w:val="000000"/>
          <w:rtl/>
        </w:rPr>
        <w:t xml:space="preserve">, </w:t>
      </w:r>
      <w:r w:rsidR="00F35092">
        <w:rPr>
          <w:rFonts w:hAnsi="David" w:cs="David" w:hint="cs"/>
          <w:color w:val="000000"/>
          <w:rtl/>
        </w:rPr>
        <w:t>ה</w:t>
      </w:r>
      <w:r w:rsidR="009730FA" w:rsidRPr="00BF2E27">
        <w:rPr>
          <w:rFonts w:hAnsi="David" w:cs="David" w:hint="cs"/>
          <w:color w:val="000000"/>
          <w:rtl/>
        </w:rPr>
        <w:t>תש</w:t>
      </w:r>
      <w:r w:rsidR="009730FA" w:rsidRPr="00BF2E27">
        <w:rPr>
          <w:rFonts w:hAnsi="David" w:cs="David"/>
          <w:color w:val="000000"/>
          <w:rtl/>
        </w:rPr>
        <w:t>"</w:t>
      </w:r>
      <w:r w:rsidR="009730FA" w:rsidRPr="00BF2E27">
        <w:rPr>
          <w:rFonts w:hAnsi="David" w:cs="David" w:hint="cs"/>
          <w:color w:val="000000"/>
          <w:rtl/>
        </w:rPr>
        <w:t>ח</w:t>
      </w:r>
      <w:r w:rsidR="00B978EF">
        <w:rPr>
          <w:rFonts w:hAnsi="David" w:cs="David"/>
          <w:color w:val="000000"/>
          <w:rtl/>
        </w:rPr>
        <w:t>-1948</w:t>
      </w:r>
      <w:r w:rsidR="00B978EF">
        <w:rPr>
          <w:rFonts w:hAnsi="David" w:cs="David" w:hint="cs"/>
          <w:color w:val="000000"/>
          <w:rtl/>
        </w:rPr>
        <w:t>,</w:t>
      </w:r>
      <w:r w:rsidR="009730FA" w:rsidRPr="00BF2E27">
        <w:rPr>
          <w:rFonts w:hAnsi="David" w:cs="David"/>
          <w:color w:val="000000"/>
          <w:rtl/>
        </w:rPr>
        <w:t xml:space="preserve"> </w:t>
      </w:r>
      <w:r w:rsidR="009730FA" w:rsidRPr="00BF2E27">
        <w:rPr>
          <w:rFonts w:hAnsi="David" w:cs="David" w:hint="cs"/>
          <w:color w:val="000000"/>
          <w:rtl/>
        </w:rPr>
        <w:t>לחלק</w:t>
      </w:r>
      <w:r w:rsidR="009730FA" w:rsidRPr="00BF2E27">
        <w:rPr>
          <w:rFonts w:hAnsi="David" w:cs="David"/>
          <w:color w:val="000000"/>
          <w:rtl/>
        </w:rPr>
        <w:t xml:space="preserve"> </w:t>
      </w:r>
      <w:r w:rsidR="009730FA" w:rsidRPr="00BF2E27">
        <w:rPr>
          <w:rFonts w:hAnsi="David" w:cs="David" w:hint="cs"/>
          <w:color w:val="000000"/>
          <w:rtl/>
        </w:rPr>
        <w:t>מן</w:t>
      </w:r>
      <w:r w:rsidR="009730FA" w:rsidRPr="00BF2E27">
        <w:rPr>
          <w:rFonts w:hAnsi="David" w:cs="David"/>
          <w:color w:val="000000"/>
          <w:rtl/>
        </w:rPr>
        <w:t xml:space="preserve"> </w:t>
      </w:r>
      <w:r w:rsidR="009730FA" w:rsidRPr="00BF2E27">
        <w:rPr>
          <w:rFonts w:hAnsi="David" w:cs="David" w:hint="cs"/>
          <w:color w:val="000000"/>
          <w:rtl/>
        </w:rPr>
        <w:t>המשפט</w:t>
      </w:r>
      <w:r w:rsidR="009730FA" w:rsidRPr="00BF2E27">
        <w:rPr>
          <w:rFonts w:hAnsi="David" w:cs="David"/>
          <w:color w:val="000000"/>
          <w:rtl/>
        </w:rPr>
        <w:t xml:space="preserve"> </w:t>
      </w:r>
      <w:r w:rsidR="009730FA" w:rsidRPr="00BF2E27">
        <w:rPr>
          <w:rFonts w:hAnsi="David" w:cs="David" w:hint="cs"/>
          <w:color w:val="000000"/>
          <w:rtl/>
        </w:rPr>
        <w:t>הישראלי</w:t>
      </w:r>
      <w:r w:rsidR="009730FA" w:rsidRPr="00BF2E27">
        <w:rPr>
          <w:rFonts w:hAnsi="David" w:cs="David"/>
          <w:color w:val="000000"/>
          <w:rtl/>
        </w:rPr>
        <w:t xml:space="preserve">. </w:t>
      </w:r>
      <w:r w:rsidR="00EA3474">
        <w:rPr>
          <w:rFonts w:ascii="David" w:hAnsi="David" w:cs="David" w:hint="cs"/>
          <w:rtl/>
        </w:rPr>
        <w:t xml:space="preserve">יש </w:t>
      </w:r>
      <w:r w:rsidR="00B978EF">
        <w:rPr>
          <w:rFonts w:ascii="David" w:hAnsi="David" w:cs="David" w:hint="cs"/>
          <w:rtl/>
        </w:rPr>
        <w:t>לציין</w:t>
      </w:r>
      <w:r w:rsidR="00EA3474">
        <w:rPr>
          <w:rFonts w:ascii="David" w:hAnsi="David" w:cs="David" w:hint="cs"/>
          <w:rtl/>
        </w:rPr>
        <w:t xml:space="preserve"> כי תקנות אלה אינן תלויות בהכרזת מצב חירום במדינה, אלא מהוות חקיקה ראשית לכל דבר ועניין.</w:t>
      </w:r>
    </w:p>
    <w:p w:rsidR="009730FA" w:rsidRDefault="009730FA" w:rsidP="009730FA">
      <w:pPr>
        <w:spacing w:line="360" w:lineRule="auto"/>
        <w:jc w:val="both"/>
        <w:rPr>
          <w:rFonts w:ascii="David" w:hAnsi="David" w:cs="David"/>
          <w:rtl/>
        </w:rPr>
      </w:pPr>
    </w:p>
    <w:p w:rsidR="009730FA" w:rsidRDefault="000A1F75" w:rsidP="00B978EF">
      <w:pPr>
        <w:spacing w:line="360" w:lineRule="auto"/>
        <w:jc w:val="both"/>
        <w:rPr>
          <w:rFonts w:ascii="David" w:hAnsi="David" w:cs="David"/>
          <w:rtl/>
        </w:rPr>
      </w:pPr>
      <w:r>
        <w:rPr>
          <w:rFonts w:ascii="David" w:hAnsi="David" w:cs="David" w:hint="cs"/>
          <w:rtl/>
        </w:rPr>
        <w:t xml:space="preserve">במשך השנים, בתי המשפט קראו למחוקק להחליף את החקיקה המנדטורית. </w:t>
      </w:r>
      <w:r w:rsidR="00F35092">
        <w:rPr>
          <w:rFonts w:ascii="David" w:hAnsi="David" w:cs="David" w:hint="cs"/>
          <w:rtl/>
        </w:rPr>
        <w:t xml:space="preserve">על </w:t>
      </w:r>
      <w:r>
        <w:rPr>
          <w:rFonts w:ascii="David" w:hAnsi="David" w:cs="David" w:hint="cs"/>
          <w:rtl/>
        </w:rPr>
        <w:t>כך</w:t>
      </w:r>
      <w:r w:rsidR="00F35092">
        <w:rPr>
          <w:rFonts w:ascii="David" w:hAnsi="David" w:cs="David" w:hint="cs"/>
          <w:rtl/>
        </w:rPr>
        <w:t xml:space="preserve"> לדוגמא,</w:t>
      </w:r>
      <w:r>
        <w:rPr>
          <w:rFonts w:ascii="David" w:hAnsi="David" w:cs="David" w:hint="cs"/>
          <w:rtl/>
        </w:rPr>
        <w:t xml:space="preserve"> כתב </w:t>
      </w:r>
      <w:r w:rsidR="009730FA">
        <w:rPr>
          <w:rFonts w:ascii="David" w:hAnsi="David" w:cs="David" w:hint="cs"/>
          <w:rtl/>
        </w:rPr>
        <w:t>השופט רובינשטיין</w:t>
      </w:r>
      <w:r>
        <w:rPr>
          <w:rFonts w:ascii="David" w:hAnsi="David" w:cs="David" w:hint="cs"/>
          <w:rtl/>
        </w:rPr>
        <w:t xml:space="preserve"> בשנה שעברה</w:t>
      </w:r>
      <w:r w:rsidR="009730FA">
        <w:rPr>
          <w:rFonts w:ascii="David" w:hAnsi="David" w:cs="David" w:hint="cs"/>
          <w:rtl/>
        </w:rPr>
        <w:t xml:space="preserve">: </w:t>
      </w:r>
    </w:p>
    <w:p w:rsidR="009730FA" w:rsidRPr="009730FA" w:rsidRDefault="009730FA" w:rsidP="009730FA">
      <w:pPr>
        <w:ind w:left="720"/>
        <w:jc w:val="both"/>
        <w:rPr>
          <w:rFonts w:ascii="David" w:hAnsi="David" w:cs="David"/>
          <w:rtl/>
        </w:rPr>
      </w:pPr>
      <w:r w:rsidRPr="009730FA">
        <w:rPr>
          <w:rFonts w:cs="David" w:hint="cs"/>
          <w:color w:val="000000"/>
          <w:spacing w:val="10"/>
          <w:rtl/>
        </w:rPr>
        <w:t>"תקנות אלה אינן לתפארת מדינת ישראל; הן יציר כפיו של השלטון המנדטורי, ושימשו בידיו כלי להתמודדותם עם מאבקו של הישוב היהודי לעצמאות. שנה זו היא שנת מלאת שבעים לתקנות אלה, והגיעה מזה עת רבה שעתן להתחלף בחקיקה ישראלית, וכך ראוי; זו תהא כפופה לביקורת שיפוטית יותר מאשר התקנות הללו, הכפופות לשמ</w:t>
      </w:r>
      <w:r w:rsidRPr="009730FA">
        <w:rPr>
          <w:rFonts w:cs="David" w:hint="cs"/>
          <w:spacing w:val="10"/>
          <w:rtl/>
        </w:rPr>
        <w:t>ירת הדינים</w:t>
      </w:r>
      <w:r w:rsidRPr="009730FA">
        <w:rPr>
          <w:rStyle w:val="apple-converted-space"/>
          <w:rFonts w:cs="David" w:hint="cs"/>
          <w:spacing w:val="10"/>
          <w:rtl/>
        </w:rPr>
        <w:t> </w:t>
      </w:r>
      <w:r w:rsidRPr="009730FA">
        <w:rPr>
          <w:rFonts w:cs="David" w:hint="cs"/>
          <w:spacing w:val="10"/>
          <w:rtl/>
        </w:rPr>
        <w:t xml:space="preserve">שבסעיף </w:t>
      </w:r>
      <w:r w:rsidR="00574ED9">
        <w:rPr>
          <w:rFonts w:cs="David" w:hint="cs"/>
          <w:spacing w:val="10"/>
          <w:rtl/>
        </w:rPr>
        <w:t xml:space="preserve"> </w:t>
      </w:r>
      <w:r w:rsidRPr="009730FA">
        <w:rPr>
          <w:rFonts w:cs="David" w:hint="cs"/>
          <w:spacing w:val="10"/>
          <w:rtl/>
        </w:rPr>
        <w:t>10</w:t>
      </w:r>
      <w:r w:rsidR="00F41972">
        <w:rPr>
          <w:rFonts w:cs="David" w:hint="cs"/>
          <w:spacing w:val="10"/>
          <w:rtl/>
        </w:rPr>
        <w:t xml:space="preserve"> </w:t>
      </w:r>
      <w:r w:rsidRPr="009730FA">
        <w:rPr>
          <w:rFonts w:cs="David" w:hint="cs"/>
          <w:spacing w:val="10"/>
          <w:rtl/>
        </w:rPr>
        <w:t>לחוק יסוד: כבוד האדם וחירותו."</w:t>
      </w:r>
      <w:r>
        <w:rPr>
          <w:rFonts w:ascii="David" w:hAnsi="David" w:cs="David" w:hint="cs"/>
          <w:rtl/>
        </w:rPr>
        <w:t xml:space="preserve"> (</w:t>
      </w:r>
      <w:r w:rsidRPr="005C64C3">
        <w:rPr>
          <w:rFonts w:cs="David" w:hint="cs"/>
          <w:rtl/>
        </w:rPr>
        <w:t>בג</w:t>
      </w:r>
      <w:r w:rsidRPr="005C64C3">
        <w:rPr>
          <w:rFonts w:cs="David"/>
          <w:rtl/>
        </w:rPr>
        <w:t>"</w:t>
      </w:r>
      <w:r w:rsidRPr="005C64C3">
        <w:rPr>
          <w:rFonts w:cs="David" w:hint="cs"/>
          <w:rtl/>
        </w:rPr>
        <w:t>ץ</w:t>
      </w:r>
      <w:r w:rsidRPr="005C64C3">
        <w:rPr>
          <w:rFonts w:cs="David"/>
          <w:rtl/>
        </w:rPr>
        <w:t xml:space="preserve"> 703/15</w:t>
      </w:r>
      <w:r w:rsidRPr="005C64C3">
        <w:rPr>
          <w:rFonts w:cs="David" w:hint="cs"/>
          <w:rtl/>
        </w:rPr>
        <w:t xml:space="preserve"> דרויש</w:t>
      </w:r>
      <w:r w:rsidRPr="005C64C3">
        <w:rPr>
          <w:rFonts w:cs="David"/>
          <w:rtl/>
        </w:rPr>
        <w:t xml:space="preserve"> </w:t>
      </w:r>
      <w:r w:rsidRPr="005C64C3">
        <w:rPr>
          <w:rFonts w:cs="David" w:hint="cs"/>
          <w:rtl/>
        </w:rPr>
        <w:t>נ</w:t>
      </w:r>
      <w:r w:rsidRPr="005C64C3">
        <w:rPr>
          <w:rFonts w:cs="David"/>
          <w:rtl/>
        </w:rPr>
        <w:t xml:space="preserve">' </w:t>
      </w:r>
      <w:r w:rsidRPr="005C64C3">
        <w:rPr>
          <w:rFonts w:cs="David" w:hint="cs"/>
          <w:rtl/>
        </w:rPr>
        <w:t>מפקד</w:t>
      </w:r>
      <w:r w:rsidRPr="005C64C3">
        <w:rPr>
          <w:rFonts w:cs="David"/>
          <w:rtl/>
        </w:rPr>
        <w:t xml:space="preserve"> </w:t>
      </w:r>
      <w:r w:rsidRPr="005C64C3">
        <w:rPr>
          <w:rFonts w:cs="David" w:hint="cs"/>
          <w:rtl/>
        </w:rPr>
        <w:t>פיקוד</w:t>
      </w:r>
      <w:r w:rsidRPr="005C64C3">
        <w:rPr>
          <w:rFonts w:cs="David"/>
          <w:rtl/>
        </w:rPr>
        <w:t xml:space="preserve"> </w:t>
      </w:r>
      <w:r w:rsidRPr="005C64C3">
        <w:rPr>
          <w:rFonts w:cs="David" w:hint="cs"/>
          <w:rtl/>
        </w:rPr>
        <w:t>העורף</w:t>
      </w:r>
      <w:r>
        <w:rPr>
          <w:rFonts w:cs="David" w:hint="cs"/>
          <w:rtl/>
        </w:rPr>
        <w:t>)</w:t>
      </w:r>
    </w:p>
    <w:p w:rsidR="00F41972" w:rsidRDefault="00F41972" w:rsidP="009730FA">
      <w:pPr>
        <w:spacing w:line="360" w:lineRule="auto"/>
        <w:jc w:val="both"/>
        <w:rPr>
          <w:rFonts w:ascii="David" w:hAnsi="David" w:cs="David"/>
          <w:rtl/>
        </w:rPr>
      </w:pPr>
    </w:p>
    <w:p w:rsidR="00F41972" w:rsidRDefault="00F41972" w:rsidP="009D1115">
      <w:pPr>
        <w:spacing w:line="360" w:lineRule="auto"/>
        <w:jc w:val="both"/>
        <w:rPr>
          <w:rFonts w:ascii="David" w:hAnsi="David" w:cs="David"/>
          <w:rtl/>
        </w:rPr>
      </w:pPr>
      <w:r>
        <w:rPr>
          <w:rFonts w:ascii="David" w:hAnsi="David" w:cs="David" w:hint="cs"/>
          <w:rtl/>
        </w:rPr>
        <w:t>בעקבות החלטת ממשלה משנת 2011, שנבעה מדיונים פנים-ממשלתיים במסגרת הצעת החוק המאבק בטרור, הוקם</w:t>
      </w:r>
      <w:r w:rsidR="000A1F75">
        <w:rPr>
          <w:rFonts w:ascii="David" w:hAnsi="David" w:cs="David" w:hint="cs"/>
          <w:rtl/>
        </w:rPr>
        <w:t xml:space="preserve"> </w:t>
      </w:r>
      <w:r>
        <w:rPr>
          <w:rFonts w:ascii="David" w:hAnsi="David" w:cs="David" w:hint="cs"/>
          <w:rtl/>
        </w:rPr>
        <w:t xml:space="preserve">צוות </w:t>
      </w:r>
      <w:r w:rsidR="000A1F75">
        <w:rPr>
          <w:rFonts w:ascii="David" w:hAnsi="David" w:cs="David" w:hint="cs"/>
          <w:rtl/>
        </w:rPr>
        <w:t xml:space="preserve">בין-משרדי לבחינת ביטולן של תקנות </w:t>
      </w:r>
      <w:r w:rsidR="008A021C">
        <w:rPr>
          <w:rFonts w:ascii="David" w:hAnsi="David" w:cs="David" w:hint="cs"/>
          <w:rtl/>
        </w:rPr>
        <w:t>ההגנה</w:t>
      </w:r>
      <w:r w:rsidR="00E36126">
        <w:rPr>
          <w:rFonts w:ascii="David" w:hAnsi="David" w:cs="David" w:hint="cs"/>
          <w:rtl/>
        </w:rPr>
        <w:t xml:space="preserve">. </w:t>
      </w:r>
      <w:r>
        <w:rPr>
          <w:rFonts w:ascii="David" w:hAnsi="David" w:cs="David" w:hint="cs"/>
          <w:rtl/>
        </w:rPr>
        <w:t xml:space="preserve">כפי שנאמר בדברי ההסבר להצעת החוק, הנחת העבודה של </w:t>
      </w:r>
      <w:r w:rsidR="00CD04D2">
        <w:rPr>
          <w:rFonts w:ascii="David" w:hAnsi="David" w:cs="David" w:hint="cs"/>
          <w:rtl/>
        </w:rPr>
        <w:t>הצוות</w:t>
      </w:r>
      <w:r>
        <w:rPr>
          <w:rFonts w:ascii="David" w:hAnsi="David" w:cs="David" w:hint="cs"/>
          <w:rtl/>
        </w:rPr>
        <w:t xml:space="preserve"> הייתה כי חלק מהוראות תקנות ההגנה משקפות "תפיסה שונה בתכלית של יחסי שלטון-פרט מאלה שראוי שישררו בין מדינה דמוקרטית ריבונית לבין אזרחיה... לרבות בתרחישי קיצון." בנוסף, חלקן מנוסחות בצורה רחבה ועמומה שאינה תואמת את המקובל בחקיקה מודרנית.</w:t>
      </w:r>
      <w:r w:rsidRPr="00F41972">
        <w:rPr>
          <w:rFonts w:ascii="David" w:hAnsi="David" w:cs="David" w:hint="cs"/>
          <w:rtl/>
        </w:rPr>
        <w:t xml:space="preserve"> </w:t>
      </w:r>
      <w:r>
        <w:rPr>
          <w:rFonts w:ascii="David" w:hAnsi="David" w:cs="David" w:hint="cs"/>
          <w:rtl/>
        </w:rPr>
        <w:t xml:space="preserve">לאחר סיום עבודתו של הצוות, הונחה על שולחן הכנסת הקודמת הצעת החוק הממשלתית לביטול </w:t>
      </w:r>
      <w:r w:rsidR="009D1115">
        <w:rPr>
          <w:rFonts w:ascii="David" w:hAnsi="David" w:cs="David" w:hint="cs"/>
          <w:rtl/>
        </w:rPr>
        <w:t>חלק מ</w:t>
      </w:r>
      <w:r>
        <w:rPr>
          <w:rFonts w:ascii="David" w:hAnsi="David" w:cs="David" w:hint="cs"/>
          <w:rtl/>
        </w:rPr>
        <w:t>תקנות</w:t>
      </w:r>
      <w:r w:rsidR="009D1115">
        <w:rPr>
          <w:rFonts w:ascii="David" w:hAnsi="David" w:cs="David" w:hint="cs"/>
          <w:rtl/>
        </w:rPr>
        <w:t xml:space="preserve"> ההגנה</w:t>
      </w:r>
      <w:r>
        <w:rPr>
          <w:rFonts w:ascii="David" w:hAnsi="David" w:cs="David" w:hint="cs"/>
          <w:rtl/>
        </w:rPr>
        <w:t>, והכנסת הנוכחית החילה על הצעת החוק דין רציפות ביום 14.12.2015.</w:t>
      </w:r>
    </w:p>
    <w:p w:rsidR="00F41972" w:rsidRDefault="00F41972" w:rsidP="008A021C">
      <w:pPr>
        <w:spacing w:line="360" w:lineRule="auto"/>
        <w:jc w:val="both"/>
        <w:rPr>
          <w:rFonts w:ascii="David" w:hAnsi="David" w:cs="David"/>
          <w:rtl/>
        </w:rPr>
      </w:pPr>
    </w:p>
    <w:p w:rsidR="004F28D5" w:rsidRDefault="00E36126" w:rsidP="008A021C">
      <w:pPr>
        <w:spacing w:line="360" w:lineRule="auto"/>
        <w:jc w:val="both"/>
        <w:rPr>
          <w:rFonts w:ascii="David" w:hAnsi="David" w:cs="David"/>
          <w:rtl/>
        </w:rPr>
      </w:pPr>
      <w:r>
        <w:rPr>
          <w:rFonts w:ascii="David" w:hAnsi="David" w:cs="David" w:hint="cs"/>
          <w:rtl/>
        </w:rPr>
        <w:t xml:space="preserve">הן </w:t>
      </w:r>
      <w:r w:rsidR="009730FA">
        <w:rPr>
          <w:rFonts w:ascii="David" w:hAnsi="David" w:cs="David" w:hint="cs"/>
          <w:rtl/>
        </w:rPr>
        <w:t>חברי הכנסת</w:t>
      </w:r>
      <w:r>
        <w:rPr>
          <w:rFonts w:ascii="David" w:hAnsi="David" w:cs="David" w:hint="cs"/>
          <w:rtl/>
        </w:rPr>
        <w:t xml:space="preserve"> והן </w:t>
      </w:r>
      <w:r w:rsidR="00B978EF">
        <w:rPr>
          <w:rFonts w:ascii="David" w:hAnsi="David" w:cs="David" w:hint="cs"/>
          <w:rtl/>
        </w:rPr>
        <w:t xml:space="preserve">נציגי </w:t>
      </w:r>
      <w:r>
        <w:rPr>
          <w:rFonts w:ascii="David" w:hAnsi="David" w:cs="David" w:hint="cs"/>
          <w:rtl/>
        </w:rPr>
        <w:t>הממשלה ביקש</w:t>
      </w:r>
      <w:r w:rsidR="001C33CC">
        <w:rPr>
          <w:rFonts w:ascii="David" w:hAnsi="David" w:cs="David" w:hint="cs"/>
          <w:rtl/>
        </w:rPr>
        <w:t>ו</w:t>
      </w:r>
      <w:r>
        <w:rPr>
          <w:rFonts w:ascii="David" w:hAnsi="David" w:cs="David" w:hint="cs"/>
          <w:rtl/>
        </w:rPr>
        <w:t xml:space="preserve"> לדון בביטול תקנות ההגנה יחד עם סיום הדיונים ב</w:t>
      </w:r>
      <w:r w:rsidR="00574ED9">
        <w:rPr>
          <w:rFonts w:ascii="David" w:hAnsi="David" w:cs="David" w:hint="cs"/>
          <w:rtl/>
        </w:rPr>
        <w:t xml:space="preserve">הצעת </w:t>
      </w:r>
      <w:r>
        <w:rPr>
          <w:rFonts w:ascii="David" w:hAnsi="David" w:cs="David" w:hint="cs"/>
          <w:rtl/>
        </w:rPr>
        <w:t xml:space="preserve">חוק המאבק בטרור, שכן סעיפים חדשים מתוך </w:t>
      </w:r>
      <w:r w:rsidR="00574ED9">
        <w:rPr>
          <w:rFonts w:ascii="David" w:hAnsi="David" w:cs="David" w:hint="cs"/>
          <w:rtl/>
        </w:rPr>
        <w:t xml:space="preserve">הצעת </w:t>
      </w:r>
      <w:r>
        <w:rPr>
          <w:rFonts w:ascii="David" w:hAnsi="David" w:cs="David" w:hint="cs"/>
          <w:rtl/>
        </w:rPr>
        <w:t>חוק המאבק בטרור אמורים להחליף חלק מהתקנות ש</w:t>
      </w:r>
      <w:r w:rsidR="00B978EF">
        <w:rPr>
          <w:rFonts w:ascii="David" w:hAnsi="David" w:cs="David" w:hint="cs"/>
          <w:rtl/>
        </w:rPr>
        <w:t>אותן מבקשים לבטל</w:t>
      </w:r>
      <w:r>
        <w:rPr>
          <w:rFonts w:ascii="David" w:hAnsi="David" w:cs="David" w:hint="cs"/>
          <w:rtl/>
        </w:rPr>
        <w:t xml:space="preserve"> (ובעיקר תקנות 74, 84, 85, 108 עד 110 ו-120).</w:t>
      </w:r>
      <w:r w:rsidR="00FD14AF">
        <w:rPr>
          <w:rFonts w:ascii="David" w:hAnsi="David" w:cs="David" w:hint="cs"/>
          <w:rtl/>
        </w:rPr>
        <w:t xml:space="preserve"> כעת, </w:t>
      </w:r>
      <w:r w:rsidR="00A80444">
        <w:rPr>
          <w:rFonts w:ascii="David" w:hAnsi="David" w:cs="David" w:hint="cs"/>
          <w:rtl/>
        </w:rPr>
        <w:t>ועדת החוקה</w:t>
      </w:r>
      <w:r w:rsidR="00FD14AF">
        <w:rPr>
          <w:rFonts w:ascii="David" w:hAnsi="David" w:cs="David" w:hint="cs"/>
          <w:rtl/>
        </w:rPr>
        <w:t xml:space="preserve"> </w:t>
      </w:r>
      <w:r w:rsidR="001C33CC">
        <w:rPr>
          <w:rFonts w:ascii="David" w:hAnsi="David" w:cs="David" w:hint="cs"/>
          <w:rtl/>
        </w:rPr>
        <w:t xml:space="preserve">עומדת </w:t>
      </w:r>
      <w:r w:rsidR="00FD14AF">
        <w:rPr>
          <w:rFonts w:ascii="David" w:hAnsi="David" w:cs="David" w:hint="cs"/>
          <w:rtl/>
        </w:rPr>
        <w:t>לקר</w:t>
      </w:r>
      <w:r w:rsidR="00A80444">
        <w:rPr>
          <w:rFonts w:ascii="David" w:hAnsi="David" w:cs="David" w:hint="cs"/>
          <w:rtl/>
        </w:rPr>
        <w:t>את סיום דיוניה ב</w:t>
      </w:r>
      <w:r w:rsidR="00574ED9">
        <w:rPr>
          <w:rFonts w:ascii="David" w:hAnsi="David" w:cs="David" w:hint="cs"/>
          <w:rtl/>
        </w:rPr>
        <w:t xml:space="preserve">הצעת </w:t>
      </w:r>
      <w:r w:rsidR="00A80444">
        <w:rPr>
          <w:rFonts w:ascii="David" w:hAnsi="David" w:cs="David" w:hint="cs"/>
          <w:rtl/>
        </w:rPr>
        <w:t>חוק המאבק בטרור</w:t>
      </w:r>
      <w:r w:rsidR="00574ED9">
        <w:rPr>
          <w:rFonts w:ascii="David" w:hAnsi="David" w:cs="David" w:hint="cs"/>
          <w:rtl/>
        </w:rPr>
        <w:t>,</w:t>
      </w:r>
      <w:r w:rsidR="00FD14AF">
        <w:rPr>
          <w:rFonts w:ascii="David" w:hAnsi="David" w:cs="David" w:hint="cs"/>
          <w:rtl/>
        </w:rPr>
        <w:t xml:space="preserve"> </w:t>
      </w:r>
      <w:r w:rsidR="00A80444">
        <w:rPr>
          <w:rFonts w:ascii="David" w:hAnsi="David" w:cs="David" w:hint="cs"/>
          <w:rtl/>
        </w:rPr>
        <w:t xml:space="preserve">לכן, </w:t>
      </w:r>
      <w:r w:rsidR="00FD14AF">
        <w:rPr>
          <w:rFonts w:ascii="David" w:hAnsi="David" w:cs="David" w:hint="cs"/>
          <w:rtl/>
        </w:rPr>
        <w:t xml:space="preserve">ככל שהוועדה </w:t>
      </w:r>
      <w:r w:rsidR="00A80444">
        <w:rPr>
          <w:rFonts w:ascii="David" w:hAnsi="David" w:cs="David" w:hint="cs"/>
          <w:rtl/>
        </w:rPr>
        <w:t>תבקש להביא את הצעת החוק לביטול</w:t>
      </w:r>
      <w:r w:rsidR="00FD14AF">
        <w:rPr>
          <w:rFonts w:ascii="David" w:hAnsi="David" w:cs="David" w:hint="cs"/>
          <w:rtl/>
        </w:rPr>
        <w:t xml:space="preserve"> תקנות ההגנה</w:t>
      </w:r>
      <w:r w:rsidR="00A80444">
        <w:rPr>
          <w:rFonts w:ascii="David" w:hAnsi="David" w:cs="David" w:hint="cs"/>
          <w:rtl/>
        </w:rPr>
        <w:t xml:space="preserve"> להצבעה במליאה</w:t>
      </w:r>
      <w:r w:rsidR="00FD14AF">
        <w:rPr>
          <w:rFonts w:ascii="David" w:hAnsi="David" w:cs="David" w:hint="cs"/>
          <w:rtl/>
        </w:rPr>
        <w:t xml:space="preserve">, נציע </w:t>
      </w:r>
      <w:r w:rsidR="000A1F75">
        <w:rPr>
          <w:rFonts w:ascii="David" w:hAnsi="David" w:cs="David" w:hint="cs"/>
          <w:rtl/>
        </w:rPr>
        <w:t xml:space="preserve">לוועדה </w:t>
      </w:r>
      <w:r w:rsidR="00FD14AF">
        <w:rPr>
          <w:rFonts w:ascii="David" w:hAnsi="David" w:cs="David" w:hint="cs"/>
          <w:rtl/>
        </w:rPr>
        <w:t>כי שתי הצעות החוק ימוזגו ויובאו ל</w:t>
      </w:r>
      <w:r w:rsidR="00740BE7">
        <w:rPr>
          <w:rFonts w:ascii="David" w:hAnsi="David" w:cs="David" w:hint="cs"/>
          <w:rtl/>
        </w:rPr>
        <w:t>הצבעה ב</w:t>
      </w:r>
      <w:r w:rsidR="00FD14AF">
        <w:rPr>
          <w:rFonts w:ascii="David" w:hAnsi="David" w:cs="David" w:hint="cs"/>
          <w:rtl/>
        </w:rPr>
        <w:t xml:space="preserve">מליאה כמקשה אחת. </w:t>
      </w:r>
    </w:p>
    <w:p w:rsidR="00FD14AF" w:rsidRDefault="00FD14AF" w:rsidP="00E36126">
      <w:pPr>
        <w:spacing w:line="360" w:lineRule="auto"/>
        <w:jc w:val="both"/>
        <w:rPr>
          <w:rFonts w:ascii="David" w:hAnsi="David" w:cs="David"/>
          <w:rtl/>
        </w:rPr>
      </w:pPr>
    </w:p>
    <w:p w:rsidR="00FD14AF" w:rsidRDefault="00FD14AF" w:rsidP="00B978EF">
      <w:pPr>
        <w:spacing w:line="360" w:lineRule="auto"/>
        <w:jc w:val="both"/>
        <w:rPr>
          <w:rFonts w:ascii="David" w:hAnsi="David" w:cs="David"/>
          <w:rtl/>
        </w:rPr>
      </w:pPr>
      <w:r>
        <w:rPr>
          <w:rFonts w:ascii="David" w:hAnsi="David" w:cs="David" w:hint="cs"/>
          <w:rtl/>
        </w:rPr>
        <w:t xml:space="preserve">נתאר </w:t>
      </w:r>
      <w:r w:rsidR="006C30AE">
        <w:rPr>
          <w:rFonts w:ascii="David" w:hAnsi="David" w:cs="David" w:hint="cs"/>
          <w:rtl/>
        </w:rPr>
        <w:t>בקצרה</w:t>
      </w:r>
      <w:r>
        <w:rPr>
          <w:rFonts w:ascii="David" w:hAnsi="David" w:cs="David" w:hint="cs"/>
          <w:rtl/>
        </w:rPr>
        <w:t xml:space="preserve"> את </w:t>
      </w:r>
      <w:r w:rsidR="00B32770">
        <w:rPr>
          <w:rFonts w:ascii="David" w:hAnsi="David" w:cs="David" w:hint="cs"/>
          <w:rtl/>
        </w:rPr>
        <w:t>הנושאים המוסדרים בתקנות</w:t>
      </w:r>
      <w:r w:rsidR="00574ED9">
        <w:rPr>
          <w:rFonts w:ascii="David" w:hAnsi="David" w:cs="David" w:hint="cs"/>
          <w:rtl/>
        </w:rPr>
        <w:t xml:space="preserve"> ההגנה</w:t>
      </w:r>
      <w:r w:rsidR="00B32770">
        <w:rPr>
          <w:rFonts w:ascii="David" w:hAnsi="David" w:cs="David" w:hint="cs"/>
          <w:rtl/>
        </w:rPr>
        <w:t xml:space="preserve"> </w:t>
      </w:r>
      <w:r>
        <w:rPr>
          <w:rFonts w:ascii="David" w:hAnsi="David" w:cs="David" w:hint="cs"/>
          <w:rtl/>
        </w:rPr>
        <w:t>שאותן מבקש</w:t>
      </w:r>
      <w:r w:rsidR="00574ED9">
        <w:rPr>
          <w:rFonts w:ascii="David" w:hAnsi="David" w:cs="David" w:hint="cs"/>
          <w:rtl/>
        </w:rPr>
        <w:t>ת הצעת החוק</w:t>
      </w:r>
      <w:r>
        <w:rPr>
          <w:rFonts w:ascii="David" w:hAnsi="David" w:cs="David" w:hint="cs"/>
          <w:rtl/>
        </w:rPr>
        <w:t xml:space="preserve"> לבטל</w:t>
      </w:r>
      <w:r w:rsidR="00740BE7">
        <w:rPr>
          <w:rFonts w:ascii="David" w:hAnsi="David" w:cs="David" w:hint="cs"/>
          <w:rtl/>
        </w:rPr>
        <w:t>,</w:t>
      </w:r>
      <w:r>
        <w:rPr>
          <w:rFonts w:ascii="David" w:hAnsi="David" w:cs="David" w:hint="cs"/>
          <w:rtl/>
        </w:rPr>
        <w:t xml:space="preserve"> וכן את </w:t>
      </w:r>
      <w:r w:rsidR="00574ED9">
        <w:rPr>
          <w:rFonts w:ascii="David" w:hAnsi="David" w:cs="David" w:hint="cs"/>
          <w:rtl/>
        </w:rPr>
        <w:t>אלו</w:t>
      </w:r>
      <w:r>
        <w:rPr>
          <w:rFonts w:ascii="David" w:hAnsi="David" w:cs="David" w:hint="cs"/>
          <w:rtl/>
        </w:rPr>
        <w:t xml:space="preserve"> שלפי ההצעה יישארו בתוקף</w:t>
      </w:r>
      <w:r w:rsidR="00A80444">
        <w:rPr>
          <w:rFonts w:ascii="David" w:hAnsi="David" w:cs="David" w:hint="cs"/>
          <w:rtl/>
        </w:rPr>
        <w:t xml:space="preserve"> (לפירוט נוסף, ר' </w:t>
      </w:r>
      <w:r w:rsidR="00011960">
        <w:rPr>
          <w:rFonts w:ascii="David" w:hAnsi="David" w:cs="David" w:hint="cs"/>
          <w:rtl/>
        </w:rPr>
        <w:t xml:space="preserve">דברי </w:t>
      </w:r>
      <w:r w:rsidR="00A80444">
        <w:rPr>
          <w:rFonts w:ascii="David" w:hAnsi="David" w:cs="David" w:hint="cs"/>
          <w:rtl/>
        </w:rPr>
        <w:t>ה</w:t>
      </w:r>
      <w:r w:rsidR="00011960">
        <w:rPr>
          <w:rFonts w:ascii="David" w:hAnsi="David" w:cs="David" w:hint="cs"/>
          <w:rtl/>
        </w:rPr>
        <w:t>הסבר להצעת החוק)</w:t>
      </w:r>
      <w:r w:rsidR="001653B1">
        <w:rPr>
          <w:rFonts w:ascii="David" w:hAnsi="David" w:cs="David" w:hint="cs"/>
          <w:rtl/>
        </w:rPr>
        <w:t xml:space="preserve">. מצ"ב נוסח משולב של תקנות ההגנה. </w:t>
      </w:r>
    </w:p>
    <w:p w:rsidR="00FD14AF" w:rsidRDefault="00FD14AF" w:rsidP="00E36126">
      <w:pPr>
        <w:spacing w:line="360" w:lineRule="auto"/>
        <w:jc w:val="both"/>
        <w:rPr>
          <w:rFonts w:ascii="David" w:hAnsi="David" w:cs="David"/>
          <w:rtl/>
        </w:rPr>
      </w:pPr>
    </w:p>
    <w:p w:rsidR="00FD14AF" w:rsidRPr="00271511" w:rsidRDefault="007E59EE" w:rsidP="00E36126">
      <w:pPr>
        <w:spacing w:line="360" w:lineRule="auto"/>
        <w:jc w:val="both"/>
        <w:rPr>
          <w:rFonts w:ascii="David" w:hAnsi="David" w:cs="David"/>
          <w:b/>
          <w:bCs/>
          <w:u w:val="single"/>
          <w:rtl/>
        </w:rPr>
      </w:pPr>
      <w:r>
        <w:rPr>
          <w:rFonts w:ascii="David" w:hAnsi="David" w:cs="David" w:hint="cs"/>
          <w:b/>
          <w:bCs/>
          <w:u w:val="single"/>
          <w:rtl/>
        </w:rPr>
        <w:t xml:space="preserve">תקנות </w:t>
      </w:r>
      <w:r w:rsidR="00574ED9">
        <w:rPr>
          <w:rFonts w:ascii="David" w:hAnsi="David" w:cs="David" w:hint="cs"/>
          <w:b/>
          <w:bCs/>
          <w:u w:val="single"/>
          <w:rtl/>
        </w:rPr>
        <w:t xml:space="preserve">ההגנה </w:t>
      </w:r>
      <w:r>
        <w:rPr>
          <w:rFonts w:ascii="David" w:hAnsi="David" w:cs="David" w:hint="cs"/>
          <w:b/>
          <w:bCs/>
          <w:u w:val="single"/>
          <w:rtl/>
        </w:rPr>
        <w:t xml:space="preserve">שאותן </w:t>
      </w:r>
      <w:r w:rsidR="00271511" w:rsidRPr="00271511">
        <w:rPr>
          <w:rFonts w:ascii="David" w:hAnsi="David" w:cs="David" w:hint="cs"/>
          <w:b/>
          <w:bCs/>
          <w:u w:val="single"/>
          <w:rtl/>
        </w:rPr>
        <w:t>מוצע לבטל:</w:t>
      </w:r>
    </w:p>
    <w:p w:rsidR="007E59EE" w:rsidRDefault="007E59EE" w:rsidP="000F4D6A">
      <w:pPr>
        <w:pStyle w:val="a3"/>
        <w:numPr>
          <w:ilvl w:val="0"/>
          <w:numId w:val="1"/>
        </w:numPr>
        <w:spacing w:line="360" w:lineRule="auto"/>
        <w:jc w:val="both"/>
        <w:rPr>
          <w:rFonts w:ascii="David" w:hAnsi="David" w:cs="David"/>
        </w:rPr>
      </w:pPr>
      <w:r w:rsidRPr="007E59EE">
        <w:rPr>
          <w:rFonts w:ascii="David" w:hAnsi="David" w:cs="David" w:hint="cs"/>
          <w:b/>
          <w:bCs/>
          <w:u w:val="single"/>
          <w:rtl/>
        </w:rPr>
        <w:t>תקנות מחלק א'</w:t>
      </w:r>
      <w:r w:rsidRPr="007E59EE">
        <w:rPr>
          <w:rFonts w:ascii="David" w:hAnsi="David" w:cs="David" w:hint="cs"/>
          <w:rtl/>
        </w:rPr>
        <w:t xml:space="preserve">: </w:t>
      </w:r>
      <w:r>
        <w:rPr>
          <w:rFonts w:ascii="David" w:hAnsi="David" w:cs="David" w:hint="cs"/>
          <w:rtl/>
        </w:rPr>
        <w:t xml:space="preserve">מוצע לבטל את </w:t>
      </w:r>
      <w:r w:rsidR="001653B1">
        <w:rPr>
          <w:rFonts w:ascii="David" w:hAnsi="David" w:cs="David" w:hint="cs"/>
          <w:rtl/>
        </w:rPr>
        <w:t>תקנה 2(3) ש</w:t>
      </w:r>
      <w:r w:rsidR="00B978EF">
        <w:rPr>
          <w:rFonts w:ascii="David" w:hAnsi="David" w:cs="David" w:hint="cs"/>
          <w:rtl/>
        </w:rPr>
        <w:t>קובעת חזקה של מחזיק בדבר; תקנות</w:t>
      </w:r>
      <w:r w:rsidR="000F4D6A">
        <w:rPr>
          <w:rFonts w:ascii="David" w:hAnsi="David" w:cs="David" w:hint="cs"/>
          <w:rtl/>
        </w:rPr>
        <w:t xml:space="preserve"> 2(4)</w:t>
      </w:r>
      <w:r w:rsidR="001653B1">
        <w:rPr>
          <w:rFonts w:ascii="David" w:hAnsi="David" w:cs="David" w:hint="cs"/>
          <w:rtl/>
        </w:rPr>
        <w:t xml:space="preserve"> ו</w:t>
      </w:r>
      <w:r w:rsidR="000F4D6A">
        <w:rPr>
          <w:rFonts w:ascii="David" w:hAnsi="David" w:cs="David" w:hint="cs"/>
          <w:rtl/>
        </w:rPr>
        <w:t>-</w:t>
      </w:r>
      <w:r w:rsidR="001653B1">
        <w:rPr>
          <w:rFonts w:ascii="David" w:hAnsi="David" w:cs="David" w:hint="cs"/>
          <w:rtl/>
        </w:rPr>
        <w:t>2א, שקובעות תחולה גיאוגרפית של התקנות; תקנות 6(3)</w:t>
      </w:r>
      <w:r w:rsidRPr="007E59EE">
        <w:rPr>
          <w:rFonts w:ascii="David" w:hAnsi="David" w:cs="David" w:hint="cs"/>
          <w:rtl/>
        </w:rPr>
        <w:t xml:space="preserve"> </w:t>
      </w:r>
      <w:r w:rsidR="001653B1">
        <w:rPr>
          <w:rFonts w:ascii="David" w:hAnsi="David" w:cs="David" w:hint="cs"/>
          <w:rtl/>
        </w:rPr>
        <w:t>ו-</w:t>
      </w:r>
      <w:r>
        <w:rPr>
          <w:rFonts w:ascii="David" w:hAnsi="David" w:cs="David" w:hint="cs"/>
          <w:rtl/>
        </w:rPr>
        <w:t>6(4)</w:t>
      </w:r>
      <w:r w:rsidR="001653B1">
        <w:rPr>
          <w:rFonts w:ascii="David" w:hAnsi="David" w:cs="David" w:hint="cs"/>
          <w:rtl/>
        </w:rPr>
        <w:t xml:space="preserve"> </w:t>
      </w:r>
      <w:r w:rsidR="000F4D6A">
        <w:rPr>
          <w:rFonts w:ascii="David" w:hAnsi="David" w:cs="David" w:hint="cs"/>
          <w:rtl/>
        </w:rPr>
        <w:t>שמעניקות</w:t>
      </w:r>
      <w:r w:rsidR="001653B1">
        <w:rPr>
          <w:rFonts w:ascii="David" w:hAnsi="David" w:cs="David" w:hint="cs"/>
          <w:rtl/>
        </w:rPr>
        <w:t xml:space="preserve"> סמכויות לממונה על המחוז (היום משרד הפנים); תקנה</w:t>
      </w:r>
      <w:r>
        <w:rPr>
          <w:rFonts w:ascii="David" w:hAnsi="David" w:cs="David" w:hint="cs"/>
          <w:rtl/>
        </w:rPr>
        <w:t xml:space="preserve"> 9(3)</w:t>
      </w:r>
      <w:r w:rsidR="001653B1">
        <w:rPr>
          <w:rFonts w:ascii="David" w:hAnsi="David" w:cs="David" w:hint="cs"/>
          <w:rtl/>
        </w:rPr>
        <w:t xml:space="preserve"> שקובעת עבירה פלילית בעניין ר</w:t>
      </w:r>
      <w:r w:rsidR="00574ED9">
        <w:rPr>
          <w:rFonts w:ascii="David" w:hAnsi="David" w:cs="David" w:hint="cs"/>
          <w:rtl/>
        </w:rPr>
        <w:t>י</w:t>
      </w:r>
      <w:r w:rsidR="001653B1">
        <w:rPr>
          <w:rFonts w:ascii="David" w:hAnsi="David" w:cs="David" w:hint="cs"/>
          <w:rtl/>
        </w:rPr>
        <w:t>שיונות ותעודות היתר;</w:t>
      </w:r>
      <w:r>
        <w:rPr>
          <w:rFonts w:ascii="David" w:hAnsi="David" w:cs="David" w:hint="cs"/>
          <w:rtl/>
        </w:rPr>
        <w:t xml:space="preserve"> </w:t>
      </w:r>
      <w:r w:rsidR="001653B1">
        <w:rPr>
          <w:rFonts w:ascii="David" w:hAnsi="David" w:cs="David" w:hint="cs"/>
          <w:rtl/>
        </w:rPr>
        <w:t xml:space="preserve">תקנה 10 בעניין הסמכות </w:t>
      </w:r>
      <w:r w:rsidR="000F4D6A">
        <w:rPr>
          <w:rFonts w:ascii="David" w:hAnsi="David" w:cs="David" w:hint="cs"/>
          <w:rtl/>
        </w:rPr>
        <w:t>להדביק</w:t>
      </w:r>
      <w:r w:rsidR="001653B1">
        <w:rPr>
          <w:rFonts w:ascii="David" w:hAnsi="David" w:cs="David" w:hint="cs"/>
          <w:rtl/>
        </w:rPr>
        <w:t xml:space="preserve"> הודעות</w:t>
      </w:r>
      <w:r w:rsidR="000F4D6A">
        <w:rPr>
          <w:rFonts w:ascii="David" w:hAnsi="David" w:cs="David" w:hint="cs"/>
          <w:rtl/>
        </w:rPr>
        <w:t xml:space="preserve"> בכל מקום</w:t>
      </w:r>
      <w:r w:rsidR="001653B1">
        <w:rPr>
          <w:rFonts w:ascii="David" w:hAnsi="David" w:cs="David" w:hint="cs"/>
          <w:rtl/>
        </w:rPr>
        <w:t xml:space="preserve">; ותקנה 11 שמכפיפה את המשטרה לרמטכ"ל </w:t>
      </w:r>
      <w:r>
        <w:rPr>
          <w:rFonts w:ascii="David" w:hAnsi="David" w:cs="David" w:hint="cs"/>
          <w:rtl/>
        </w:rPr>
        <w:t xml:space="preserve">(מוצע לבטלן </w:t>
      </w:r>
      <w:r w:rsidRPr="007E59EE">
        <w:rPr>
          <w:rFonts w:ascii="David" w:hAnsi="David" w:cs="David" w:hint="cs"/>
          <w:rtl/>
        </w:rPr>
        <w:t xml:space="preserve">נוכח הסדר </w:t>
      </w:r>
      <w:r w:rsidR="001653B1">
        <w:rPr>
          <w:rFonts w:ascii="David" w:hAnsi="David" w:cs="David" w:hint="cs"/>
          <w:rtl/>
        </w:rPr>
        <w:t>מודרני ש</w:t>
      </w:r>
      <w:r w:rsidRPr="007E59EE">
        <w:rPr>
          <w:rFonts w:ascii="David" w:hAnsi="David" w:cs="David" w:hint="cs"/>
          <w:rtl/>
        </w:rPr>
        <w:t>קיים בחו</w:t>
      </w:r>
      <w:r>
        <w:rPr>
          <w:rFonts w:ascii="David" w:hAnsi="David" w:cs="David" w:hint="cs"/>
          <w:rtl/>
        </w:rPr>
        <w:t>ק הישראלי, או העדר שימוש בסמכות);</w:t>
      </w:r>
    </w:p>
    <w:p w:rsidR="007E59EE" w:rsidRPr="007E59EE" w:rsidRDefault="007E59EE" w:rsidP="00B978EF">
      <w:pPr>
        <w:pStyle w:val="a3"/>
        <w:numPr>
          <w:ilvl w:val="0"/>
          <w:numId w:val="1"/>
        </w:numPr>
        <w:spacing w:line="360" w:lineRule="auto"/>
        <w:jc w:val="both"/>
        <w:rPr>
          <w:rFonts w:ascii="David" w:hAnsi="David" w:cs="David"/>
          <w:rtl/>
        </w:rPr>
      </w:pPr>
      <w:r>
        <w:rPr>
          <w:rFonts w:ascii="David" w:hAnsi="David" w:cs="David" w:hint="cs"/>
          <w:b/>
          <w:bCs/>
          <w:u w:val="single"/>
          <w:rtl/>
        </w:rPr>
        <w:lastRenderedPageBreak/>
        <w:t>תקנה 61</w:t>
      </w:r>
      <w:r w:rsidRPr="007E59EE">
        <w:rPr>
          <w:rFonts w:ascii="David" w:hAnsi="David" w:cs="David" w:hint="cs"/>
          <w:rtl/>
        </w:rPr>
        <w:t>:</w:t>
      </w:r>
      <w:r>
        <w:rPr>
          <w:rFonts w:ascii="David" w:hAnsi="David" w:cs="David" w:hint="cs"/>
          <w:rtl/>
        </w:rPr>
        <w:t xml:space="preserve"> </w:t>
      </w:r>
      <w:r w:rsidR="00B978EF">
        <w:rPr>
          <w:rFonts w:ascii="David" w:hAnsi="David" w:cs="David" w:hint="cs"/>
          <w:rtl/>
        </w:rPr>
        <w:t xml:space="preserve">למרות שלא מוצע לבטל את חלקים ב' ו-ג' לתקנות, שעניינם בית המשפט הצבאי (ור' להלן), </w:t>
      </w:r>
      <w:r>
        <w:rPr>
          <w:rFonts w:ascii="David" w:hAnsi="David" w:cs="David" w:hint="cs"/>
          <w:rtl/>
        </w:rPr>
        <w:t xml:space="preserve">מוצע לבטל את </w:t>
      </w:r>
      <w:r w:rsidR="00B978EF">
        <w:rPr>
          <w:rFonts w:ascii="David" w:hAnsi="David" w:cs="David" w:hint="cs"/>
          <w:rtl/>
        </w:rPr>
        <w:t>תקנה 61 שמעניקה ל</w:t>
      </w:r>
      <w:r>
        <w:rPr>
          <w:rFonts w:ascii="David" w:hAnsi="David" w:cs="David" w:hint="cs"/>
          <w:rtl/>
        </w:rPr>
        <w:t xml:space="preserve">שר הביטחון </w:t>
      </w:r>
      <w:r w:rsidR="00B978EF">
        <w:rPr>
          <w:rFonts w:ascii="David" w:hAnsi="David" w:cs="David" w:hint="cs"/>
          <w:rtl/>
        </w:rPr>
        <w:t xml:space="preserve">סמכות </w:t>
      </w:r>
      <w:r>
        <w:rPr>
          <w:rFonts w:ascii="David" w:hAnsi="David" w:cs="David" w:hint="cs"/>
          <w:rtl/>
        </w:rPr>
        <w:t>להגביל לבישה</w:t>
      </w:r>
      <w:r w:rsidR="00B26E4E">
        <w:rPr>
          <w:rFonts w:ascii="David" w:hAnsi="David" w:cs="David" w:hint="cs"/>
          <w:rtl/>
        </w:rPr>
        <w:t xml:space="preserve"> או שימה לראווה</w:t>
      </w:r>
      <w:r>
        <w:rPr>
          <w:rFonts w:ascii="David" w:hAnsi="David" w:cs="David" w:hint="cs"/>
          <w:rtl/>
        </w:rPr>
        <w:t xml:space="preserve"> של בגד או חפץ מפלה</w:t>
      </w:r>
      <w:r w:rsidR="00B978EF">
        <w:rPr>
          <w:rFonts w:ascii="David" w:hAnsi="David" w:cs="David" w:hint="cs"/>
          <w:rtl/>
        </w:rPr>
        <w:t>, ו</w:t>
      </w:r>
      <w:r w:rsidR="000F4D6A">
        <w:rPr>
          <w:rFonts w:ascii="David" w:hAnsi="David" w:cs="David" w:hint="cs"/>
          <w:rtl/>
        </w:rPr>
        <w:t xml:space="preserve">את </w:t>
      </w:r>
      <w:r w:rsidR="00B978EF">
        <w:rPr>
          <w:rFonts w:ascii="David" w:hAnsi="David" w:cs="David" w:hint="cs"/>
          <w:rtl/>
        </w:rPr>
        <w:t>העבירה שבצדה</w:t>
      </w:r>
      <w:r>
        <w:rPr>
          <w:rFonts w:ascii="David" w:hAnsi="David" w:cs="David" w:hint="cs"/>
          <w:rtl/>
        </w:rPr>
        <w:t>;</w:t>
      </w:r>
    </w:p>
    <w:p w:rsidR="00B32770" w:rsidRDefault="00B32770" w:rsidP="00B32770">
      <w:pPr>
        <w:pStyle w:val="a3"/>
        <w:numPr>
          <w:ilvl w:val="0"/>
          <w:numId w:val="1"/>
        </w:numPr>
        <w:spacing w:line="360" w:lineRule="auto"/>
        <w:jc w:val="both"/>
        <w:rPr>
          <w:rFonts w:ascii="David" w:hAnsi="David" w:cs="David"/>
        </w:rPr>
      </w:pPr>
      <w:r>
        <w:rPr>
          <w:rFonts w:ascii="David" w:hAnsi="David" w:cs="David" w:hint="cs"/>
          <w:b/>
          <w:bCs/>
          <w:u w:val="single"/>
          <w:rtl/>
        </w:rPr>
        <w:t>חיזוק ידיים ונסיון (חלק ג'א)</w:t>
      </w:r>
      <w:r>
        <w:rPr>
          <w:rFonts w:ascii="David" w:hAnsi="David" w:cs="David" w:hint="cs"/>
          <w:rtl/>
        </w:rPr>
        <w:t>:</w:t>
      </w:r>
      <w:r w:rsidR="007E59EE">
        <w:rPr>
          <w:rFonts w:ascii="David" w:hAnsi="David" w:cs="David" w:hint="cs"/>
          <w:rtl/>
        </w:rPr>
        <w:t xml:space="preserve"> מוצע לבטל את התקנות המסדירות את הדין המהותי בקשר לסיוע או שידול בעבירה (מוצע לבטל</w:t>
      </w:r>
      <w:r w:rsidR="001A567F">
        <w:rPr>
          <w:rFonts w:ascii="David" w:hAnsi="David" w:cs="David" w:hint="cs"/>
          <w:rtl/>
        </w:rPr>
        <w:t>ן</w:t>
      </w:r>
      <w:r w:rsidR="007E59EE">
        <w:rPr>
          <w:rFonts w:ascii="David" w:hAnsi="David" w:cs="David" w:hint="cs"/>
          <w:rtl/>
        </w:rPr>
        <w:t xml:space="preserve"> נוכח </w:t>
      </w:r>
      <w:r w:rsidR="00B26E4E">
        <w:rPr>
          <w:rFonts w:ascii="David" w:hAnsi="David" w:cs="David" w:hint="cs"/>
          <w:rtl/>
        </w:rPr>
        <w:t>ה</w:t>
      </w:r>
      <w:r w:rsidR="007E59EE">
        <w:rPr>
          <w:rFonts w:ascii="David" w:hAnsi="David" w:cs="David" w:hint="cs"/>
          <w:rtl/>
        </w:rPr>
        <w:t>הסדרה</w:t>
      </w:r>
      <w:r w:rsidR="00B26E4E">
        <w:rPr>
          <w:rFonts w:ascii="David" w:hAnsi="David" w:cs="David" w:hint="cs"/>
          <w:rtl/>
        </w:rPr>
        <w:t xml:space="preserve"> של הנושא</w:t>
      </w:r>
      <w:r w:rsidR="007E59EE">
        <w:rPr>
          <w:rFonts w:ascii="David" w:hAnsi="David" w:cs="David" w:hint="cs"/>
          <w:rtl/>
        </w:rPr>
        <w:t xml:space="preserve"> בחוק העונשין)</w:t>
      </w:r>
      <w:r w:rsidR="00B45AA7">
        <w:rPr>
          <w:rFonts w:ascii="David" w:hAnsi="David" w:cs="David" w:hint="cs"/>
          <w:rtl/>
        </w:rPr>
        <w:t>;</w:t>
      </w:r>
    </w:p>
    <w:p w:rsidR="007E59EE" w:rsidRPr="00B32770" w:rsidRDefault="007E59EE" w:rsidP="007E59EE">
      <w:pPr>
        <w:pStyle w:val="a3"/>
        <w:numPr>
          <w:ilvl w:val="0"/>
          <w:numId w:val="1"/>
        </w:numPr>
        <w:spacing w:line="360" w:lineRule="auto"/>
        <w:jc w:val="both"/>
        <w:rPr>
          <w:rFonts w:ascii="David" w:hAnsi="David" w:cs="David"/>
        </w:rPr>
      </w:pPr>
      <w:r>
        <w:rPr>
          <w:rFonts w:ascii="David" w:hAnsi="David" w:cs="David" w:hint="cs"/>
          <w:b/>
          <w:bCs/>
          <w:u w:val="single"/>
          <w:rtl/>
        </w:rPr>
        <w:t>סמכות שיפוט</w:t>
      </w:r>
      <w:r w:rsidRPr="007E59EE">
        <w:rPr>
          <w:rFonts w:ascii="David" w:hAnsi="David" w:cs="David" w:hint="cs"/>
          <w:rtl/>
        </w:rPr>
        <w:t>:</w:t>
      </w:r>
      <w:r>
        <w:rPr>
          <w:rFonts w:ascii="David" w:hAnsi="David" w:cs="David"/>
        </w:rPr>
        <w:t xml:space="preserve"> </w:t>
      </w:r>
      <w:r>
        <w:rPr>
          <w:rFonts w:ascii="David" w:hAnsi="David" w:cs="David" w:hint="cs"/>
          <w:rtl/>
        </w:rPr>
        <w:t>מוצע לבטל את תקנות 70 ו-71א</w:t>
      </w:r>
      <w:r w:rsidR="00B978EF">
        <w:rPr>
          <w:rFonts w:ascii="David" w:hAnsi="David" w:cs="David" w:hint="cs"/>
          <w:rtl/>
        </w:rPr>
        <w:t xml:space="preserve"> בחלק ד'</w:t>
      </w:r>
      <w:r>
        <w:rPr>
          <w:rFonts w:ascii="David" w:hAnsi="David" w:cs="David" w:hint="cs"/>
          <w:rtl/>
        </w:rPr>
        <w:t>, שמסדירות את האפשרות לשנות את מקום המשפט או את הערכאה השיפוטית במקרים מסוימים (מוצע לבטלן נוכח הסדרים כל</w:t>
      </w:r>
      <w:r w:rsidR="00B978EF">
        <w:rPr>
          <w:rFonts w:ascii="David" w:hAnsi="David" w:cs="David" w:hint="cs"/>
          <w:rtl/>
        </w:rPr>
        <w:t>ל</w:t>
      </w:r>
      <w:r>
        <w:rPr>
          <w:rFonts w:ascii="David" w:hAnsi="David" w:cs="David" w:hint="cs"/>
          <w:rtl/>
        </w:rPr>
        <w:t>יים בחקיקה הישראלית בדבר סמכות שיפוט מקומית ועניינית);</w:t>
      </w:r>
    </w:p>
    <w:p w:rsidR="00B32770" w:rsidRPr="00B32770" w:rsidRDefault="00F03012" w:rsidP="001A567F">
      <w:pPr>
        <w:pStyle w:val="a3"/>
        <w:numPr>
          <w:ilvl w:val="0"/>
          <w:numId w:val="1"/>
        </w:numPr>
        <w:spacing w:line="360" w:lineRule="auto"/>
        <w:jc w:val="both"/>
        <w:rPr>
          <w:rFonts w:ascii="David" w:hAnsi="David" w:cs="David"/>
        </w:rPr>
      </w:pPr>
      <w:r>
        <w:rPr>
          <w:rFonts w:ascii="David" w:hAnsi="David" w:cs="David" w:hint="cs"/>
          <w:b/>
          <w:bCs/>
          <w:u w:val="single"/>
          <w:rtl/>
        </w:rPr>
        <w:t xml:space="preserve">הוראות כלליות </w:t>
      </w:r>
      <w:r w:rsidR="00B32770">
        <w:rPr>
          <w:rFonts w:ascii="David" w:hAnsi="David" w:cs="David" w:hint="cs"/>
          <w:b/>
          <w:bCs/>
          <w:u w:val="single"/>
          <w:rtl/>
        </w:rPr>
        <w:t>בחלק ה'</w:t>
      </w:r>
      <w:r w:rsidR="007E59EE">
        <w:rPr>
          <w:rFonts w:ascii="David" w:hAnsi="David" w:cs="David" w:hint="cs"/>
          <w:rtl/>
        </w:rPr>
        <w:t xml:space="preserve">: </w:t>
      </w:r>
      <w:r>
        <w:rPr>
          <w:rFonts w:ascii="David" w:hAnsi="David" w:cs="David" w:hint="cs"/>
          <w:rtl/>
        </w:rPr>
        <w:t>מוצע לבטל את תקנות 73, 78, 78א, 78ב ו</w:t>
      </w:r>
      <w:r w:rsidR="00B26E4E">
        <w:rPr>
          <w:rFonts w:ascii="David" w:hAnsi="David" w:cs="David" w:hint="cs"/>
          <w:rtl/>
        </w:rPr>
        <w:t>-</w:t>
      </w:r>
      <w:r>
        <w:rPr>
          <w:rFonts w:ascii="David" w:hAnsi="David" w:cs="David" w:hint="cs"/>
          <w:rtl/>
        </w:rPr>
        <w:t xml:space="preserve">78ג, שעניינן הוראות שונות </w:t>
      </w:r>
      <w:r w:rsidR="001A567F">
        <w:rPr>
          <w:rFonts w:ascii="David" w:hAnsi="David" w:cs="David" w:hint="cs"/>
          <w:rtl/>
        </w:rPr>
        <w:t>לגבי</w:t>
      </w:r>
      <w:r>
        <w:rPr>
          <w:rFonts w:ascii="David" w:hAnsi="David" w:cs="David" w:hint="cs"/>
          <w:rtl/>
        </w:rPr>
        <w:t xml:space="preserve"> אחריות פלילית וקביעת מקומות לריצוי עונשי מאסר, </w:t>
      </w:r>
      <w:r w:rsidR="00B26E4E">
        <w:rPr>
          <w:rFonts w:ascii="David" w:hAnsi="David" w:cs="David" w:hint="cs"/>
          <w:rtl/>
        </w:rPr>
        <w:t>מאחר שקיימת לכך</w:t>
      </w:r>
      <w:r w:rsidR="00B45AA7">
        <w:rPr>
          <w:rFonts w:ascii="David" w:hAnsi="David" w:cs="David" w:hint="cs"/>
          <w:rtl/>
        </w:rPr>
        <w:t xml:space="preserve"> הסדרה חלופית בדין הישראלי;</w:t>
      </w:r>
      <w:r>
        <w:rPr>
          <w:rFonts w:ascii="David" w:hAnsi="David" w:cs="David" w:hint="cs"/>
          <w:rtl/>
        </w:rPr>
        <w:t xml:space="preserve"> </w:t>
      </w:r>
    </w:p>
    <w:p w:rsidR="00B32770" w:rsidRDefault="00B32770" w:rsidP="00B32770">
      <w:pPr>
        <w:pStyle w:val="a3"/>
        <w:numPr>
          <w:ilvl w:val="0"/>
          <w:numId w:val="1"/>
        </w:numPr>
        <w:spacing w:line="360" w:lineRule="auto"/>
        <w:jc w:val="both"/>
        <w:rPr>
          <w:rFonts w:ascii="David" w:hAnsi="David" w:cs="David"/>
        </w:rPr>
      </w:pPr>
      <w:r>
        <w:rPr>
          <w:rFonts w:ascii="David" w:hAnsi="David" w:cs="David" w:hint="cs"/>
          <w:b/>
          <w:bCs/>
          <w:u w:val="single"/>
          <w:rtl/>
        </w:rPr>
        <w:t>פיקוח על כלי-רכב מנו</w:t>
      </w:r>
      <w:r w:rsidR="008A021C">
        <w:rPr>
          <w:rFonts w:ascii="David" w:hAnsi="David" w:cs="David" w:hint="cs"/>
          <w:b/>
          <w:bCs/>
          <w:u w:val="single"/>
          <w:rtl/>
        </w:rPr>
        <w:t>ע</w:t>
      </w:r>
      <w:r>
        <w:rPr>
          <w:rFonts w:ascii="David" w:hAnsi="David" w:cs="David" w:hint="cs"/>
          <w:b/>
          <w:bCs/>
          <w:u w:val="single"/>
          <w:rtl/>
        </w:rPr>
        <w:t>יים (חלק ו')</w:t>
      </w:r>
      <w:r>
        <w:rPr>
          <w:rFonts w:ascii="David" w:hAnsi="David" w:cs="David" w:hint="cs"/>
          <w:rtl/>
        </w:rPr>
        <w:t>:</w:t>
      </w:r>
      <w:r w:rsidR="00F03012">
        <w:rPr>
          <w:rFonts w:ascii="David" w:hAnsi="David" w:cs="David" w:hint="cs"/>
          <w:rtl/>
        </w:rPr>
        <w:t xml:space="preserve"> מוצע לבטל את חלק ו'</w:t>
      </w:r>
      <w:r w:rsidR="001A567F">
        <w:rPr>
          <w:rFonts w:ascii="David" w:hAnsi="David" w:cs="David" w:hint="cs"/>
          <w:rtl/>
        </w:rPr>
        <w:t xml:space="preserve"> לתקנות</w:t>
      </w:r>
      <w:r w:rsidR="00F03012">
        <w:rPr>
          <w:rFonts w:ascii="David" w:hAnsi="David" w:cs="David" w:hint="cs"/>
          <w:rtl/>
        </w:rPr>
        <w:t xml:space="preserve">, שעניינו הגבלת תנועה של כלי רכב בשעת חירום. יוער כי תקנה 122א, שלא מוצע לבטלה, </w:t>
      </w:r>
      <w:r w:rsidR="00B26E4E">
        <w:rPr>
          <w:rFonts w:ascii="David" w:hAnsi="David" w:cs="David" w:hint="cs"/>
          <w:rtl/>
        </w:rPr>
        <w:t>מסמיכה את המשטרה</w:t>
      </w:r>
      <w:r w:rsidR="00B45AA7">
        <w:rPr>
          <w:rFonts w:ascii="David" w:hAnsi="David" w:cs="David" w:hint="cs"/>
          <w:rtl/>
        </w:rPr>
        <w:t xml:space="preserve"> להגביל</w:t>
      </w:r>
      <w:r w:rsidR="00B26E4E">
        <w:rPr>
          <w:rFonts w:ascii="David" w:hAnsi="David" w:cs="David" w:hint="cs"/>
          <w:rtl/>
        </w:rPr>
        <w:t xml:space="preserve"> את</w:t>
      </w:r>
      <w:r w:rsidR="00B45AA7">
        <w:rPr>
          <w:rFonts w:ascii="David" w:hAnsi="David" w:cs="David" w:hint="cs"/>
          <w:rtl/>
        </w:rPr>
        <w:t xml:space="preserve"> תנוע</w:t>
      </w:r>
      <w:r w:rsidR="00B26E4E">
        <w:rPr>
          <w:rFonts w:ascii="David" w:hAnsi="David" w:cs="David" w:hint="cs"/>
          <w:rtl/>
        </w:rPr>
        <w:t>ת התעבורה</w:t>
      </w:r>
      <w:r w:rsidR="00B45AA7">
        <w:rPr>
          <w:rFonts w:ascii="David" w:hAnsi="David" w:cs="David" w:hint="cs"/>
          <w:rtl/>
        </w:rPr>
        <w:t>;</w:t>
      </w:r>
    </w:p>
    <w:p w:rsidR="00B32770" w:rsidRDefault="00B32770" w:rsidP="006C30AE">
      <w:pPr>
        <w:pStyle w:val="a3"/>
        <w:numPr>
          <w:ilvl w:val="0"/>
          <w:numId w:val="1"/>
        </w:numPr>
        <w:spacing w:line="360" w:lineRule="auto"/>
        <w:jc w:val="both"/>
        <w:rPr>
          <w:rFonts w:ascii="David" w:hAnsi="David" w:cs="David"/>
        </w:rPr>
      </w:pPr>
      <w:r>
        <w:rPr>
          <w:rFonts w:ascii="David" w:hAnsi="David" w:cs="David" w:hint="cs"/>
          <w:b/>
          <w:bCs/>
          <w:u w:val="single"/>
          <w:rtl/>
        </w:rPr>
        <w:t>התאחדות בלתי מותרת (חלק ז')</w:t>
      </w:r>
      <w:r w:rsidRPr="00B32770">
        <w:rPr>
          <w:rFonts w:ascii="David" w:hAnsi="David" w:cs="David" w:hint="cs"/>
          <w:rtl/>
        </w:rPr>
        <w:t>:</w:t>
      </w:r>
      <w:r>
        <w:rPr>
          <w:rFonts w:ascii="David" w:hAnsi="David" w:cs="David"/>
        </w:rPr>
        <w:t xml:space="preserve"> </w:t>
      </w:r>
      <w:r>
        <w:rPr>
          <w:rFonts w:ascii="David" w:hAnsi="David" w:cs="David" w:hint="cs"/>
          <w:rtl/>
        </w:rPr>
        <w:t xml:space="preserve"> </w:t>
      </w:r>
      <w:r w:rsidR="00F03012">
        <w:rPr>
          <w:rFonts w:ascii="David" w:hAnsi="David" w:cs="David" w:hint="cs"/>
          <w:rtl/>
        </w:rPr>
        <w:t xml:space="preserve">מוצע לבטל את </w:t>
      </w:r>
      <w:r>
        <w:rPr>
          <w:rFonts w:ascii="David" w:hAnsi="David" w:cs="David" w:hint="cs"/>
          <w:rtl/>
        </w:rPr>
        <w:t xml:space="preserve">תקנות 84 ו-85 </w:t>
      </w:r>
      <w:r w:rsidR="00F03012">
        <w:rPr>
          <w:rFonts w:ascii="David" w:hAnsi="David" w:cs="David" w:hint="cs"/>
          <w:rtl/>
        </w:rPr>
        <w:t xml:space="preserve">שמסדירות את העבירות הקשורות לארגוני טרור, שכן הן </w:t>
      </w:r>
      <w:r w:rsidR="006C30AE">
        <w:rPr>
          <w:rFonts w:ascii="David" w:hAnsi="David" w:cs="David" w:hint="cs"/>
          <w:rtl/>
        </w:rPr>
        <w:t>י</w:t>
      </w:r>
      <w:r>
        <w:rPr>
          <w:rFonts w:ascii="David" w:hAnsi="David" w:cs="David" w:hint="cs"/>
          <w:rtl/>
        </w:rPr>
        <w:t xml:space="preserve">וחלפו בהסדרים </w:t>
      </w:r>
      <w:r w:rsidR="00F03012">
        <w:rPr>
          <w:rFonts w:ascii="David" w:hAnsi="David" w:cs="David" w:hint="cs"/>
          <w:rtl/>
        </w:rPr>
        <w:t>חדשים ו</w:t>
      </w:r>
      <w:r w:rsidR="00B45AA7">
        <w:rPr>
          <w:rFonts w:ascii="David" w:hAnsi="David" w:cs="David" w:hint="cs"/>
          <w:rtl/>
        </w:rPr>
        <w:t>מפורטים בחוק המאבק בטרור;</w:t>
      </w:r>
    </w:p>
    <w:p w:rsidR="00C95FF0" w:rsidRDefault="00C95FF0" w:rsidP="004107DF">
      <w:pPr>
        <w:pStyle w:val="a3"/>
        <w:numPr>
          <w:ilvl w:val="0"/>
          <w:numId w:val="1"/>
        </w:numPr>
        <w:spacing w:line="360" w:lineRule="auto"/>
        <w:jc w:val="both"/>
        <w:rPr>
          <w:rFonts w:ascii="David" w:hAnsi="David" w:cs="David"/>
        </w:rPr>
      </w:pPr>
      <w:r>
        <w:rPr>
          <w:rFonts w:ascii="David" w:hAnsi="David" w:cs="David" w:hint="cs"/>
          <w:b/>
          <w:bCs/>
          <w:u w:val="single"/>
          <w:rtl/>
        </w:rPr>
        <w:t>תקנות מחלק ח'</w:t>
      </w:r>
      <w:r w:rsidR="004107DF">
        <w:rPr>
          <w:rFonts w:ascii="David" w:hAnsi="David" w:cs="David" w:hint="cs"/>
          <w:b/>
          <w:bCs/>
          <w:u w:val="single"/>
          <w:rtl/>
        </w:rPr>
        <w:t xml:space="preserve"> - צנזורה</w:t>
      </w:r>
      <w:r w:rsidRPr="00C95FF0">
        <w:rPr>
          <w:rFonts w:ascii="David" w:hAnsi="David" w:cs="David" w:hint="cs"/>
          <w:rtl/>
        </w:rPr>
        <w:t>:</w:t>
      </w:r>
      <w:r>
        <w:rPr>
          <w:rFonts w:ascii="David" w:hAnsi="David" w:cs="David"/>
        </w:rPr>
        <w:t xml:space="preserve"> </w:t>
      </w:r>
      <w:r w:rsidR="004107DF">
        <w:rPr>
          <w:rFonts w:ascii="David" w:hAnsi="David" w:cs="David" w:hint="cs"/>
          <w:rtl/>
        </w:rPr>
        <w:t xml:space="preserve">למרות שלא מוצע לבטל את התקנות שמהוות את הבסיס החוקי לצנזורה הצבאית, כן </w:t>
      </w:r>
      <w:r>
        <w:rPr>
          <w:rFonts w:ascii="David" w:hAnsi="David" w:cs="David" w:hint="cs"/>
          <w:rtl/>
        </w:rPr>
        <w:t xml:space="preserve">מוצע לבטל את תקנה 94 </w:t>
      </w:r>
      <w:r w:rsidR="00B26E4E">
        <w:rPr>
          <w:rFonts w:ascii="David" w:hAnsi="David" w:cs="David" w:hint="cs"/>
          <w:rtl/>
        </w:rPr>
        <w:t>ש</w:t>
      </w:r>
      <w:r>
        <w:rPr>
          <w:rFonts w:ascii="David" w:hAnsi="David" w:cs="David" w:hint="cs"/>
          <w:rtl/>
        </w:rPr>
        <w:t>עניי</w:t>
      </w:r>
      <w:r w:rsidR="00B26E4E">
        <w:rPr>
          <w:rFonts w:ascii="David" w:hAnsi="David" w:cs="David" w:hint="cs"/>
          <w:rtl/>
        </w:rPr>
        <w:t>נה</w:t>
      </w:r>
      <w:r>
        <w:rPr>
          <w:rFonts w:ascii="David" w:hAnsi="David" w:cs="David" w:hint="cs"/>
          <w:rtl/>
        </w:rPr>
        <w:t xml:space="preserve"> תעודות היתר לעיתונים, </w:t>
      </w:r>
      <w:r w:rsidR="00B712CF">
        <w:rPr>
          <w:rFonts w:ascii="David" w:hAnsi="David" w:cs="David" w:hint="cs"/>
          <w:rtl/>
        </w:rPr>
        <w:t xml:space="preserve">את </w:t>
      </w:r>
      <w:r>
        <w:rPr>
          <w:rFonts w:ascii="David" w:hAnsi="David" w:cs="David" w:hint="cs"/>
          <w:rtl/>
        </w:rPr>
        <w:t xml:space="preserve">תקנה 95 </w:t>
      </w:r>
      <w:r w:rsidR="00B26E4E">
        <w:rPr>
          <w:rFonts w:ascii="David" w:hAnsi="David" w:cs="David" w:hint="cs"/>
          <w:rtl/>
        </w:rPr>
        <w:t>ש</w:t>
      </w:r>
      <w:r>
        <w:rPr>
          <w:rFonts w:ascii="David" w:hAnsi="David" w:cs="David" w:hint="cs"/>
          <w:rtl/>
        </w:rPr>
        <w:t>עניי</w:t>
      </w:r>
      <w:r w:rsidR="00B26E4E">
        <w:rPr>
          <w:rFonts w:ascii="David" w:hAnsi="David" w:cs="David" w:hint="cs"/>
          <w:rtl/>
        </w:rPr>
        <w:t>נה</w:t>
      </w:r>
      <w:r>
        <w:rPr>
          <w:rFonts w:ascii="David" w:hAnsi="David" w:cs="David" w:hint="cs"/>
          <w:rtl/>
        </w:rPr>
        <w:t xml:space="preserve"> הודעות רשמיות, ו</w:t>
      </w:r>
      <w:r w:rsidR="00B712CF">
        <w:rPr>
          <w:rFonts w:ascii="David" w:hAnsi="David" w:cs="David" w:hint="cs"/>
          <w:rtl/>
        </w:rPr>
        <w:t xml:space="preserve">את </w:t>
      </w:r>
      <w:r>
        <w:rPr>
          <w:rFonts w:ascii="David" w:hAnsi="David" w:cs="David" w:hint="cs"/>
          <w:rtl/>
        </w:rPr>
        <w:t xml:space="preserve">תקנה 96 </w:t>
      </w:r>
      <w:r w:rsidR="00B26E4E">
        <w:rPr>
          <w:rFonts w:ascii="David" w:hAnsi="David" w:cs="David" w:hint="cs"/>
          <w:rtl/>
        </w:rPr>
        <w:t>ש</w:t>
      </w:r>
      <w:r>
        <w:rPr>
          <w:rFonts w:ascii="David" w:hAnsi="David" w:cs="David" w:hint="cs"/>
          <w:rtl/>
        </w:rPr>
        <w:t>עניי</w:t>
      </w:r>
      <w:r w:rsidR="00B26E4E">
        <w:rPr>
          <w:rFonts w:ascii="David" w:hAnsi="David" w:cs="David" w:hint="cs"/>
          <w:rtl/>
        </w:rPr>
        <w:t>נה</w:t>
      </w:r>
      <w:r>
        <w:rPr>
          <w:rFonts w:ascii="David" w:hAnsi="David" w:cs="David" w:hint="cs"/>
          <w:rtl/>
        </w:rPr>
        <w:t xml:space="preserve"> הדפסת חומר מדיני, </w:t>
      </w:r>
      <w:r w:rsidR="00B26E4E">
        <w:rPr>
          <w:rFonts w:ascii="David" w:hAnsi="David" w:cs="David" w:hint="cs"/>
          <w:rtl/>
        </w:rPr>
        <w:t>מכיוון ש</w:t>
      </w:r>
      <w:r>
        <w:rPr>
          <w:rFonts w:ascii="David" w:hAnsi="David" w:cs="David" w:hint="cs"/>
          <w:rtl/>
        </w:rPr>
        <w:t>לא נעשה בה</w:t>
      </w:r>
      <w:r w:rsidR="00B712CF">
        <w:rPr>
          <w:rFonts w:ascii="David" w:hAnsi="David" w:cs="David" w:hint="cs"/>
          <w:rtl/>
        </w:rPr>
        <w:t>ן</w:t>
      </w:r>
      <w:r>
        <w:rPr>
          <w:rFonts w:ascii="David" w:hAnsi="David" w:cs="David" w:hint="cs"/>
          <w:rtl/>
        </w:rPr>
        <w:t xml:space="preserve"> שימוש היום. שאר התקנות בחלק ח', </w:t>
      </w:r>
      <w:r w:rsidR="00B45AA7">
        <w:rPr>
          <w:rFonts w:ascii="David" w:hAnsi="David" w:cs="David" w:hint="cs"/>
          <w:rtl/>
        </w:rPr>
        <w:t>שעניינו הצנזורה, יישארו בתוקפן;</w:t>
      </w:r>
    </w:p>
    <w:p w:rsidR="004107DF" w:rsidRDefault="00C95FF0" w:rsidP="006C30AE">
      <w:pPr>
        <w:pStyle w:val="a3"/>
        <w:numPr>
          <w:ilvl w:val="0"/>
          <w:numId w:val="1"/>
        </w:numPr>
        <w:spacing w:line="360" w:lineRule="auto"/>
        <w:jc w:val="both"/>
        <w:rPr>
          <w:rFonts w:ascii="David" w:hAnsi="David" w:cs="David"/>
        </w:rPr>
      </w:pPr>
      <w:r w:rsidRPr="004107DF">
        <w:rPr>
          <w:rFonts w:ascii="David" w:hAnsi="David" w:cs="David" w:hint="cs"/>
          <w:b/>
          <w:bCs/>
          <w:u w:val="single"/>
          <w:rtl/>
        </w:rPr>
        <w:t>החרמת רכוש של יחידים</w:t>
      </w:r>
      <w:r w:rsidRPr="004107DF">
        <w:rPr>
          <w:rFonts w:ascii="David" w:hAnsi="David" w:cs="David" w:hint="cs"/>
          <w:rtl/>
        </w:rPr>
        <w:t xml:space="preserve">: מוצע לבטל את תקנה 120, המסדירה את הסמכות להחרים רכוש של יחידים. הסדר חילופי </w:t>
      </w:r>
      <w:r w:rsidRPr="004107DF">
        <w:rPr>
          <w:rFonts w:ascii="David" w:hAnsi="David" w:cs="David"/>
          <w:rtl/>
        </w:rPr>
        <w:t>–</w:t>
      </w:r>
      <w:r w:rsidRPr="004107DF">
        <w:rPr>
          <w:rFonts w:ascii="David" w:hAnsi="David" w:cs="David" w:hint="cs"/>
          <w:rtl/>
        </w:rPr>
        <w:t xml:space="preserve"> של חילוט מינהלי </w:t>
      </w:r>
      <w:r w:rsidRPr="004107DF">
        <w:rPr>
          <w:rFonts w:ascii="David" w:hAnsi="David" w:cs="David"/>
          <w:rtl/>
        </w:rPr>
        <w:t>–</w:t>
      </w:r>
      <w:r w:rsidR="00B45AA7">
        <w:rPr>
          <w:rFonts w:ascii="David" w:hAnsi="David" w:cs="David" w:hint="cs"/>
          <w:rtl/>
        </w:rPr>
        <w:t xml:space="preserve"> יחוקק כחלק מהחוק למאבק בטרור;</w:t>
      </w:r>
    </w:p>
    <w:p w:rsidR="004107DF" w:rsidRPr="004107DF" w:rsidRDefault="004107DF" w:rsidP="006C30AE">
      <w:pPr>
        <w:pStyle w:val="a3"/>
        <w:numPr>
          <w:ilvl w:val="0"/>
          <w:numId w:val="1"/>
        </w:numPr>
        <w:spacing w:line="360" w:lineRule="auto"/>
        <w:jc w:val="both"/>
        <w:rPr>
          <w:rFonts w:ascii="David" w:hAnsi="David" w:cs="David"/>
        </w:rPr>
      </w:pPr>
      <w:r w:rsidRPr="000F4D6A">
        <w:rPr>
          <w:rFonts w:ascii="David" w:hAnsi="David" w:cs="David" w:hint="cs"/>
          <w:b/>
          <w:bCs/>
          <w:u w:val="single"/>
          <w:rtl/>
        </w:rPr>
        <w:t xml:space="preserve">תקנה 121 </w:t>
      </w:r>
      <w:r w:rsidRPr="000F4D6A">
        <w:rPr>
          <w:rFonts w:ascii="David" w:hAnsi="David" w:cs="David"/>
          <w:b/>
          <w:bCs/>
          <w:u w:val="single"/>
          <w:rtl/>
        </w:rPr>
        <w:t>–</w:t>
      </w:r>
      <w:r w:rsidRPr="000F4D6A">
        <w:rPr>
          <w:rFonts w:ascii="David" w:hAnsi="David" w:cs="David" w:hint="cs"/>
          <w:b/>
          <w:bCs/>
          <w:u w:val="single"/>
          <w:rtl/>
        </w:rPr>
        <w:t xml:space="preserve"> </w:t>
      </w:r>
      <w:r w:rsidRPr="000F4D6A">
        <w:rPr>
          <w:rFonts w:asciiTheme="minorHAnsi" w:hAnsiTheme="minorHAnsi" w:cs="David" w:hint="cs"/>
          <w:b/>
          <w:bCs/>
          <w:u w:val="single"/>
          <w:rtl/>
        </w:rPr>
        <w:t>הארחת כפייה של משטרה בשטחים</w:t>
      </w:r>
      <w:r>
        <w:rPr>
          <w:rFonts w:asciiTheme="minorHAnsi" w:hAnsiTheme="minorHAnsi" w:cs="David" w:hint="cs"/>
          <w:rtl/>
        </w:rPr>
        <w:t xml:space="preserve">: מוצע לבטל את תקנה 121, </w:t>
      </w:r>
      <w:r w:rsidR="004873B7">
        <w:rPr>
          <w:rFonts w:asciiTheme="minorHAnsi" w:hAnsiTheme="minorHAnsi" w:cs="David" w:hint="cs"/>
          <w:rtl/>
        </w:rPr>
        <w:t>אשר מסמיכה את המפקד הצבאי לשלוח משטרה לאזור מסוים, ולדרוש מהאוכל</w:t>
      </w:r>
      <w:r w:rsidR="00B45AA7">
        <w:rPr>
          <w:rFonts w:asciiTheme="minorHAnsi" w:hAnsiTheme="minorHAnsi" w:cs="David" w:hint="cs"/>
          <w:rtl/>
        </w:rPr>
        <w:t>וס</w:t>
      </w:r>
      <w:r w:rsidR="00B712CF">
        <w:rPr>
          <w:rFonts w:asciiTheme="minorHAnsi" w:hAnsiTheme="minorHAnsi" w:cs="David" w:hint="cs"/>
          <w:rtl/>
        </w:rPr>
        <w:t>י</w:t>
      </w:r>
      <w:r w:rsidR="00B45AA7">
        <w:rPr>
          <w:rFonts w:asciiTheme="minorHAnsi" w:hAnsiTheme="minorHAnsi" w:cs="David" w:hint="cs"/>
          <w:rtl/>
        </w:rPr>
        <w:t>יה לספק למשטרה אכסון ומזון;</w:t>
      </w:r>
    </w:p>
    <w:p w:rsidR="00C95FF0" w:rsidRPr="004107DF" w:rsidRDefault="00C95FF0" w:rsidP="00BE2731">
      <w:pPr>
        <w:pStyle w:val="a3"/>
        <w:numPr>
          <w:ilvl w:val="0"/>
          <w:numId w:val="1"/>
        </w:numPr>
        <w:spacing w:line="360" w:lineRule="auto"/>
        <w:jc w:val="both"/>
        <w:rPr>
          <w:rFonts w:ascii="David" w:hAnsi="David" w:cs="David"/>
        </w:rPr>
      </w:pPr>
      <w:r w:rsidRPr="004107DF">
        <w:rPr>
          <w:rFonts w:ascii="David" w:hAnsi="David" w:cs="David" w:hint="cs"/>
          <w:b/>
          <w:bCs/>
          <w:u w:val="single"/>
          <w:rtl/>
        </w:rPr>
        <w:t xml:space="preserve">תקנות מחלק י"ג </w:t>
      </w:r>
      <w:r w:rsidRPr="004107DF">
        <w:rPr>
          <w:rFonts w:ascii="David" w:hAnsi="David" w:cs="David"/>
          <w:b/>
          <w:bCs/>
          <w:u w:val="single"/>
          <w:rtl/>
        </w:rPr>
        <w:t>–</w:t>
      </w:r>
      <w:r w:rsidRPr="004107DF">
        <w:rPr>
          <w:rFonts w:ascii="David" w:hAnsi="David" w:cs="David" w:hint="cs"/>
          <w:b/>
          <w:bCs/>
          <w:u w:val="single"/>
          <w:rtl/>
        </w:rPr>
        <w:t xml:space="preserve"> תנועות בני אד</w:t>
      </w:r>
      <w:r w:rsidRPr="004107DF">
        <w:rPr>
          <w:rFonts w:asciiTheme="minorHAnsi" w:hAnsiTheme="minorHAnsi" w:cs="David" w:hint="cs"/>
          <w:b/>
          <w:bCs/>
          <w:u w:val="single"/>
          <w:rtl/>
        </w:rPr>
        <w:t>ם</w:t>
      </w:r>
      <w:r w:rsidRPr="004107DF">
        <w:rPr>
          <w:rFonts w:asciiTheme="minorHAnsi" w:hAnsiTheme="minorHAnsi" w:cs="David" w:hint="cs"/>
          <w:rtl/>
        </w:rPr>
        <w:t xml:space="preserve">: </w:t>
      </w:r>
      <w:r w:rsidR="007A3CE7" w:rsidRPr="004107DF">
        <w:rPr>
          <w:rFonts w:ascii="David" w:hAnsi="David" w:cs="David" w:hint="cs"/>
          <w:rtl/>
        </w:rPr>
        <w:t xml:space="preserve">מוצע לבטל </w:t>
      </w:r>
      <w:r w:rsidR="008A021C">
        <w:rPr>
          <w:rFonts w:ascii="David" w:hAnsi="David" w:cs="David" w:hint="cs"/>
          <w:rtl/>
        </w:rPr>
        <w:t>את</w:t>
      </w:r>
      <w:r w:rsidR="002812F4">
        <w:rPr>
          <w:rFonts w:ascii="David" w:hAnsi="David" w:cs="David" w:hint="cs"/>
          <w:rtl/>
        </w:rPr>
        <w:t xml:space="preserve"> תקנה</w:t>
      </w:r>
      <w:r w:rsidR="004873B7">
        <w:rPr>
          <w:rFonts w:ascii="David" w:hAnsi="David" w:cs="David" w:hint="cs"/>
          <w:rtl/>
        </w:rPr>
        <w:t xml:space="preserve"> 122(ב)</w:t>
      </w:r>
      <w:r w:rsidR="00B712CF">
        <w:rPr>
          <w:rFonts w:ascii="David" w:hAnsi="David" w:cs="David" w:hint="cs"/>
          <w:rtl/>
        </w:rPr>
        <w:t xml:space="preserve">, הקובעת </w:t>
      </w:r>
      <w:r w:rsidR="00B45AA7">
        <w:rPr>
          <w:rFonts w:ascii="David" w:hAnsi="David" w:cs="David" w:hint="cs"/>
          <w:rtl/>
        </w:rPr>
        <w:t>סמכות לדרוש מבעלי כלי רכב</w:t>
      </w:r>
      <w:r w:rsidR="00B712CF">
        <w:rPr>
          <w:rFonts w:ascii="David" w:hAnsi="David" w:cs="David" w:hint="cs"/>
          <w:rtl/>
        </w:rPr>
        <w:t xml:space="preserve"> להשתמש</w:t>
      </w:r>
      <w:r w:rsidR="00B45AA7">
        <w:rPr>
          <w:rFonts w:ascii="David" w:hAnsi="David" w:cs="David" w:hint="cs"/>
          <w:rtl/>
        </w:rPr>
        <w:t xml:space="preserve"> ב</w:t>
      </w:r>
      <w:r w:rsidR="00B712CF">
        <w:rPr>
          <w:rFonts w:ascii="David" w:hAnsi="David" w:cs="David" w:hint="cs"/>
          <w:rtl/>
        </w:rPr>
        <w:t>הם</w:t>
      </w:r>
      <w:r w:rsidR="00B45AA7">
        <w:rPr>
          <w:rFonts w:ascii="David" w:hAnsi="David" w:cs="David" w:hint="cs"/>
          <w:rtl/>
        </w:rPr>
        <w:t xml:space="preserve"> כדי להוביל סחורות</w:t>
      </w:r>
      <w:r w:rsidR="00B712CF">
        <w:rPr>
          <w:rFonts w:ascii="David" w:hAnsi="David" w:cs="David" w:hint="cs"/>
          <w:rtl/>
        </w:rPr>
        <w:t>;</w:t>
      </w:r>
      <w:r w:rsidR="004873B7">
        <w:rPr>
          <w:rFonts w:ascii="David" w:hAnsi="David" w:cs="David" w:hint="cs"/>
          <w:rtl/>
        </w:rPr>
        <w:t xml:space="preserve"> </w:t>
      </w:r>
      <w:r w:rsidR="00B45AA7">
        <w:rPr>
          <w:rFonts w:ascii="David" w:hAnsi="David" w:cs="David" w:hint="cs"/>
          <w:rtl/>
        </w:rPr>
        <w:t xml:space="preserve">תקנה </w:t>
      </w:r>
      <w:r w:rsidR="004873B7">
        <w:rPr>
          <w:rFonts w:ascii="David" w:hAnsi="David" w:cs="David" w:hint="cs"/>
          <w:rtl/>
        </w:rPr>
        <w:t>123</w:t>
      </w:r>
      <w:r w:rsidR="00B712CF">
        <w:rPr>
          <w:rFonts w:ascii="David" w:hAnsi="David" w:cs="David" w:hint="cs"/>
          <w:rtl/>
        </w:rPr>
        <w:t>, הקובעת</w:t>
      </w:r>
      <w:r w:rsidR="00B45AA7">
        <w:rPr>
          <w:rFonts w:ascii="David" w:hAnsi="David" w:cs="David" w:hint="cs"/>
          <w:rtl/>
        </w:rPr>
        <w:t xml:space="preserve"> סמכות ל</w:t>
      </w:r>
      <w:r w:rsidR="00B712CF">
        <w:rPr>
          <w:rFonts w:ascii="David" w:hAnsi="David" w:cs="David" w:hint="cs"/>
          <w:rtl/>
        </w:rPr>
        <w:t>דרוש</w:t>
      </w:r>
      <w:r w:rsidR="00B45AA7">
        <w:rPr>
          <w:rFonts w:ascii="David" w:hAnsi="David" w:cs="David" w:hint="cs"/>
          <w:rtl/>
        </w:rPr>
        <w:t xml:space="preserve"> מאנשים להסיר מחסומים בדרך</w:t>
      </w:r>
      <w:r w:rsidR="002812F4">
        <w:rPr>
          <w:rFonts w:ascii="David" w:hAnsi="David" w:cs="David" w:hint="cs"/>
          <w:rtl/>
        </w:rPr>
        <w:t xml:space="preserve"> הפוגעים בשימוש הנאות באותה דרך;</w:t>
      </w:r>
      <w:r w:rsidR="00B45AA7">
        <w:rPr>
          <w:rFonts w:ascii="David" w:hAnsi="David" w:cs="David" w:hint="cs"/>
          <w:rtl/>
        </w:rPr>
        <w:t xml:space="preserve"> </w:t>
      </w:r>
      <w:r w:rsidR="007A3CE7" w:rsidRPr="004107DF">
        <w:rPr>
          <w:rFonts w:ascii="David" w:hAnsi="David" w:cs="David" w:hint="cs"/>
          <w:rtl/>
        </w:rPr>
        <w:t xml:space="preserve">שלא נעשה בהן שימוש. </w:t>
      </w:r>
      <w:r w:rsidR="004873B7">
        <w:rPr>
          <w:rFonts w:ascii="David" w:hAnsi="David" w:cs="David" w:hint="cs"/>
          <w:rtl/>
        </w:rPr>
        <w:t>בנוסף, מוצע לבטל את תקנה 127, שעניינה עבירה של השגת גבול ושוטטות. אולם, מוצע לקבוע כי על אף שהתקנה תבוטל, יהיה ניתן לעשות שימוש במספר סמכויות הקבועות בתקנות שהפעלתן מותנית בכך שנעברה עבירה לפי תקנות ההגנה. נתייחס לעניין זה בהמשך</w:t>
      </w:r>
      <w:r w:rsidR="00B45AA7">
        <w:rPr>
          <w:rFonts w:ascii="David" w:hAnsi="David" w:cs="David" w:hint="cs"/>
          <w:rtl/>
        </w:rPr>
        <w:t xml:space="preserve">. שאר </w:t>
      </w:r>
      <w:r w:rsidR="00B45AA7" w:rsidRPr="004107DF">
        <w:rPr>
          <w:rFonts w:ascii="David" w:hAnsi="David" w:cs="David" w:hint="cs"/>
          <w:rtl/>
        </w:rPr>
        <w:t>הסמכויות</w:t>
      </w:r>
      <w:r w:rsidR="002812F4">
        <w:rPr>
          <w:rFonts w:ascii="David" w:hAnsi="David" w:cs="David" w:hint="cs"/>
          <w:rtl/>
        </w:rPr>
        <w:t xml:space="preserve"> הקבועות</w:t>
      </w:r>
      <w:r w:rsidR="00B45AA7">
        <w:rPr>
          <w:rFonts w:ascii="David" w:hAnsi="David" w:cs="David" w:hint="cs"/>
          <w:rtl/>
        </w:rPr>
        <w:t xml:space="preserve"> פרק זה יישארו בתוקף;</w:t>
      </w:r>
    </w:p>
    <w:p w:rsidR="00CA4D86" w:rsidRPr="00CA4D86" w:rsidRDefault="00CA4D86" w:rsidP="006C30AE">
      <w:pPr>
        <w:pStyle w:val="a3"/>
        <w:numPr>
          <w:ilvl w:val="0"/>
          <w:numId w:val="1"/>
        </w:numPr>
        <w:spacing w:line="360" w:lineRule="auto"/>
        <w:jc w:val="both"/>
        <w:rPr>
          <w:rFonts w:ascii="David" w:hAnsi="David" w:cs="David"/>
        </w:rPr>
      </w:pPr>
      <w:r>
        <w:rPr>
          <w:rFonts w:ascii="David" w:hAnsi="David" w:cs="David" w:hint="cs"/>
          <w:b/>
          <w:bCs/>
          <w:u w:val="single"/>
          <w:rtl/>
        </w:rPr>
        <w:t>פיקוח על סימנים של כלי רכב (חלק י"ג א')</w:t>
      </w:r>
      <w:r w:rsidR="007A3CE7">
        <w:rPr>
          <w:rFonts w:ascii="David" w:hAnsi="David" w:cs="David" w:hint="cs"/>
          <w:b/>
          <w:bCs/>
          <w:u w:val="single"/>
          <w:rtl/>
        </w:rPr>
        <w:t>:</w:t>
      </w:r>
      <w:r w:rsidR="007A3CE7">
        <w:rPr>
          <w:rFonts w:ascii="David" w:hAnsi="David" w:cs="David" w:hint="cs"/>
          <w:rtl/>
        </w:rPr>
        <w:t xml:space="preserve"> מוצע לבטל את חלק זה, שכן יש</w:t>
      </w:r>
      <w:r w:rsidR="00B45AA7">
        <w:rPr>
          <w:rFonts w:ascii="David" w:hAnsi="David" w:cs="David" w:hint="cs"/>
          <w:rtl/>
        </w:rPr>
        <w:t xml:space="preserve"> לו הסדר חילופי בחקיקה </w:t>
      </w:r>
      <w:r w:rsidR="002812F4">
        <w:rPr>
          <w:rFonts w:ascii="David" w:hAnsi="David" w:cs="David" w:hint="cs"/>
          <w:rtl/>
        </w:rPr>
        <w:t>ה</w:t>
      </w:r>
      <w:r w:rsidR="00B45AA7">
        <w:rPr>
          <w:rFonts w:ascii="David" w:hAnsi="David" w:cs="David" w:hint="cs"/>
          <w:rtl/>
        </w:rPr>
        <w:t>ישראלית;</w:t>
      </w:r>
    </w:p>
    <w:p w:rsidR="00CA4D86" w:rsidRDefault="007A3CE7" w:rsidP="004873B7">
      <w:pPr>
        <w:pStyle w:val="a3"/>
        <w:numPr>
          <w:ilvl w:val="0"/>
          <w:numId w:val="1"/>
        </w:numPr>
        <w:spacing w:line="360" w:lineRule="auto"/>
        <w:jc w:val="both"/>
        <w:rPr>
          <w:rFonts w:ascii="David" w:hAnsi="David" w:cs="David"/>
        </w:rPr>
      </w:pPr>
      <w:r>
        <w:rPr>
          <w:rFonts w:ascii="David" w:hAnsi="David" w:cs="David" w:hint="cs"/>
          <w:b/>
          <w:bCs/>
          <w:u w:val="single"/>
          <w:rtl/>
        </w:rPr>
        <w:t xml:space="preserve">תקנות מחלק י"ד </w:t>
      </w:r>
      <w:r w:rsidRPr="00C95FF0">
        <w:rPr>
          <w:rFonts w:ascii="David" w:hAnsi="David" w:cs="David"/>
          <w:b/>
          <w:bCs/>
          <w:u w:val="single"/>
          <w:rtl/>
        </w:rPr>
        <w:t>–</w:t>
      </w:r>
      <w:r w:rsidRPr="00C95FF0">
        <w:rPr>
          <w:rFonts w:ascii="David" w:hAnsi="David" w:cs="David" w:hint="cs"/>
          <w:b/>
          <w:bCs/>
          <w:u w:val="single"/>
          <w:rtl/>
        </w:rPr>
        <w:t xml:space="preserve"> </w:t>
      </w:r>
      <w:r w:rsidR="00AA1822" w:rsidRPr="007A3CE7">
        <w:rPr>
          <w:rFonts w:ascii="David" w:hAnsi="David" w:cs="David" w:hint="cs"/>
          <w:b/>
          <w:bCs/>
          <w:u w:val="single"/>
          <w:rtl/>
        </w:rPr>
        <w:t>הוראות שונות</w:t>
      </w:r>
      <w:r w:rsidR="004873B7">
        <w:rPr>
          <w:rFonts w:ascii="David" w:hAnsi="David" w:cs="David" w:hint="cs"/>
          <w:rtl/>
        </w:rPr>
        <w:t>: מוצע לבטל את תקנה 128, בעניין סגירת משרד הדואר; תקנה 131, הקובעת עבירה של התערבות והפרעה לגורמי ביטחון; תקנה 133(1) שקובעת הסדרים בעניין חקירת מקרה מוות; תקנה 134</w:t>
      </w:r>
      <w:r w:rsidR="004873B7" w:rsidRPr="000D67C4">
        <w:rPr>
          <w:rFonts w:ascii="David" w:hAnsi="David" w:cs="David" w:hint="cs"/>
          <w:b/>
          <w:bCs/>
          <w:rtl/>
        </w:rPr>
        <w:t xml:space="preserve"> </w:t>
      </w:r>
      <w:r w:rsidR="004873B7">
        <w:rPr>
          <w:rFonts w:ascii="David" w:hAnsi="David" w:cs="David" w:hint="cs"/>
          <w:rtl/>
        </w:rPr>
        <w:t>שקובעת עבירות של הטעייה; תקנות 135 ו-135א שמסמיכות את המפקד הצבאי להגביל מכירת אלכוהול לגורמי ביטחון ולהגביל כניסה של חיילים למקומות מסוימים (כגון מקומות בילוי או לינה); תקנה 137א עד 137ג, שעניינן עבירות וסמכויות שונות הקשורות לכלי-יריה ותחמושת; תקנה 139 (למעט לעניין הסמכויות, כמתואר להלן), הקובעת עבירה של פגיעה ברכוש ציבורי; תקנה 139א בעניין סמכות להורות על ביצוע תיקוני בדק במבנים; תקנה 140 (למעט לעניין הס</w:t>
      </w:r>
      <w:r w:rsidR="002812F4">
        <w:rPr>
          <w:rFonts w:ascii="David" w:hAnsi="David" w:cs="David" w:hint="cs"/>
          <w:rtl/>
        </w:rPr>
        <w:t>מ</w:t>
      </w:r>
      <w:r w:rsidR="004873B7">
        <w:rPr>
          <w:rFonts w:ascii="David" w:hAnsi="David" w:cs="David" w:hint="cs"/>
          <w:rtl/>
        </w:rPr>
        <w:t xml:space="preserve">כויות), הקובעת עבירה של הפרעה לגורמי ביטחון; תקנות 141 עד 143ג, הקובעות עבירות של הדחת אדם מלמלא את תפקידו, עבירה של  "תעמולה" </w:t>
      </w:r>
      <w:r w:rsidR="004873B7">
        <w:rPr>
          <w:rFonts w:ascii="David" w:hAnsi="David" w:cs="David" w:hint="cs"/>
          <w:rtl/>
        </w:rPr>
        <w:lastRenderedPageBreak/>
        <w:t>אסורה, עבירות נשק, עבירה של הימלטות ממשמ</w:t>
      </w:r>
      <w:r w:rsidR="002812F4">
        <w:rPr>
          <w:rFonts w:ascii="David" w:hAnsi="David" w:cs="David" w:hint="cs"/>
          <w:rtl/>
        </w:rPr>
        <w:t>ו</w:t>
      </w:r>
      <w:r w:rsidR="004873B7">
        <w:rPr>
          <w:rFonts w:ascii="David" w:hAnsi="David" w:cs="David" w:hint="cs"/>
          <w:rtl/>
        </w:rPr>
        <w:t xml:space="preserve">רת, עבירה של אי-הזדהות בפני גורמי ביטחון, ועבירה של איומים; תקנה 143ד (למעט לעניין </w:t>
      </w:r>
      <w:r w:rsidR="002812F4">
        <w:rPr>
          <w:rFonts w:ascii="David" w:hAnsi="David" w:cs="David" w:hint="cs"/>
          <w:rtl/>
        </w:rPr>
        <w:t>ה</w:t>
      </w:r>
      <w:r w:rsidR="004873B7">
        <w:rPr>
          <w:rFonts w:ascii="David" w:hAnsi="David" w:cs="David" w:hint="cs"/>
          <w:rtl/>
        </w:rPr>
        <w:t>סמכויות), בעניין עבירה בגין החזקת מכשיר מסירה אלחוטי; תקנה 146 הקובעת עבירה של מסירת ידיעות כוזבות וזיופים; תקנה 146א שמסמיכה פקיד מורשה לדרוש מכל חיל למסור לו מידע ולהתייצב בפני גורמים מסוימים; תקנה 147 בעניין נטילת אמצעי זיהוי מאדם הנתון במשמורת; ותקנה 147א שמסדירה את זכות הערר</w:t>
      </w:r>
      <w:r w:rsidR="00B45AA7">
        <w:rPr>
          <w:rFonts w:ascii="David" w:hAnsi="David" w:cs="David" w:hint="cs"/>
          <w:rtl/>
        </w:rPr>
        <w:t xml:space="preserve"> על החרמת רכוש לפי תקנות ההגנה;</w:t>
      </w:r>
    </w:p>
    <w:p w:rsidR="00B32770" w:rsidRPr="004873B7" w:rsidRDefault="004873B7" w:rsidP="004873B7">
      <w:pPr>
        <w:pStyle w:val="a3"/>
        <w:numPr>
          <w:ilvl w:val="0"/>
          <w:numId w:val="1"/>
        </w:numPr>
        <w:spacing w:line="360" w:lineRule="auto"/>
        <w:jc w:val="both"/>
        <w:rPr>
          <w:rFonts w:ascii="David" w:hAnsi="David" w:cs="David"/>
          <w:b/>
          <w:bCs/>
          <w:u w:val="single"/>
          <w:rtl/>
        </w:rPr>
      </w:pPr>
      <w:r>
        <w:rPr>
          <w:rFonts w:ascii="David" w:hAnsi="David" w:cs="David" w:hint="cs"/>
          <w:b/>
          <w:bCs/>
          <w:u w:val="single"/>
          <w:rtl/>
        </w:rPr>
        <w:t>שטחים נתונים לשליטה (חלק ט"ו):</w:t>
      </w:r>
      <w:r>
        <w:rPr>
          <w:rFonts w:ascii="David" w:hAnsi="David" w:cs="David" w:hint="cs"/>
          <w:rtl/>
        </w:rPr>
        <w:t xml:space="preserve"> מוצע לבטל את חלק ט"ו לתקנות, שמסדיר ניהול של שטח שהוכרז כשטח הנתון לשליטה. </w:t>
      </w:r>
    </w:p>
    <w:p w:rsidR="004873B7" w:rsidRDefault="004873B7" w:rsidP="00B32770">
      <w:pPr>
        <w:spacing w:line="360" w:lineRule="auto"/>
        <w:jc w:val="both"/>
        <w:rPr>
          <w:rFonts w:ascii="David" w:hAnsi="David" w:cs="David"/>
          <w:rtl/>
        </w:rPr>
      </w:pPr>
    </w:p>
    <w:p w:rsidR="00011960" w:rsidRDefault="00011960" w:rsidP="00E36126">
      <w:pPr>
        <w:spacing w:line="360" w:lineRule="auto"/>
        <w:jc w:val="both"/>
        <w:rPr>
          <w:rFonts w:ascii="David" w:hAnsi="David" w:cs="David"/>
          <w:rtl/>
        </w:rPr>
      </w:pPr>
    </w:p>
    <w:p w:rsidR="00271511" w:rsidRDefault="007E59EE" w:rsidP="00B45AA7">
      <w:pPr>
        <w:spacing w:line="360" w:lineRule="auto"/>
        <w:jc w:val="both"/>
        <w:rPr>
          <w:rFonts w:ascii="David" w:hAnsi="David" w:cs="David"/>
          <w:rtl/>
        </w:rPr>
      </w:pPr>
      <w:r>
        <w:rPr>
          <w:rFonts w:ascii="David" w:hAnsi="David" w:cs="David" w:hint="cs"/>
          <w:b/>
          <w:bCs/>
          <w:u w:val="single"/>
          <w:rtl/>
        </w:rPr>
        <w:t xml:space="preserve">תקנות שאותן </w:t>
      </w:r>
      <w:r w:rsidR="00B45AA7" w:rsidRPr="007E59EE">
        <w:rPr>
          <w:rFonts w:ascii="David" w:hAnsi="David" w:cs="David" w:hint="cs"/>
          <w:b/>
          <w:bCs/>
          <w:highlight w:val="lightGray"/>
          <w:u w:val="single"/>
          <w:rtl/>
        </w:rPr>
        <w:t>לא</w:t>
      </w:r>
      <w:r w:rsidR="00B45AA7">
        <w:rPr>
          <w:rFonts w:ascii="David" w:hAnsi="David" w:cs="David" w:hint="cs"/>
          <w:b/>
          <w:bCs/>
          <w:u w:val="single"/>
          <w:rtl/>
        </w:rPr>
        <w:t xml:space="preserve"> </w:t>
      </w:r>
      <w:r w:rsidR="00271511">
        <w:rPr>
          <w:rFonts w:ascii="David" w:hAnsi="David" w:cs="David" w:hint="cs"/>
          <w:b/>
          <w:bCs/>
          <w:u w:val="single"/>
          <w:rtl/>
        </w:rPr>
        <w:t xml:space="preserve">מוצע לבטל: </w:t>
      </w:r>
    </w:p>
    <w:p w:rsidR="00271511" w:rsidRPr="00271511" w:rsidRDefault="00120D07" w:rsidP="00E61539">
      <w:pPr>
        <w:spacing w:line="360" w:lineRule="auto"/>
        <w:jc w:val="both"/>
        <w:rPr>
          <w:rFonts w:ascii="David" w:hAnsi="David" w:cs="David"/>
          <w:rtl/>
        </w:rPr>
      </w:pPr>
      <w:r>
        <w:rPr>
          <w:rFonts w:ascii="David" w:hAnsi="David" w:cs="David" w:hint="cs"/>
          <w:rtl/>
        </w:rPr>
        <w:t>מוצע שלא לבטל תקנות שקובעות הסדרים כלליים,</w:t>
      </w:r>
      <w:r w:rsidR="00C004CF">
        <w:rPr>
          <w:rFonts w:ascii="David" w:hAnsi="David" w:cs="David" w:hint="cs"/>
          <w:rtl/>
        </w:rPr>
        <w:t xml:space="preserve"> וכן הסדרים פרטניים שאין להם תחליף בחקיקה ה</w:t>
      </w:r>
      <w:r w:rsidR="002812F4">
        <w:rPr>
          <w:rFonts w:ascii="David" w:hAnsi="David" w:cs="David" w:hint="cs"/>
          <w:rtl/>
        </w:rPr>
        <w:t>ישראלית ה</w:t>
      </w:r>
      <w:r w:rsidR="00C004CF">
        <w:rPr>
          <w:rFonts w:ascii="David" w:hAnsi="David" w:cs="David" w:hint="cs"/>
          <w:rtl/>
        </w:rPr>
        <w:t>מודרנית,</w:t>
      </w:r>
      <w:r>
        <w:rPr>
          <w:rFonts w:ascii="David" w:hAnsi="David" w:cs="David" w:hint="cs"/>
          <w:rtl/>
        </w:rPr>
        <w:t xml:space="preserve"> כפי שמפורט בדברי ההסבר. </w:t>
      </w:r>
      <w:r w:rsidR="00E61539">
        <w:rPr>
          <w:rFonts w:ascii="David" w:hAnsi="David" w:cs="David" w:hint="cs"/>
          <w:rtl/>
        </w:rPr>
        <w:t>בנוסף,</w:t>
      </w:r>
      <w:r>
        <w:rPr>
          <w:rFonts w:ascii="David" w:hAnsi="David" w:cs="David" w:hint="cs"/>
          <w:rtl/>
        </w:rPr>
        <w:t xml:space="preserve"> מוצע להשאיר בתוקף את התקנות המסדירות את הנושאים שלהלן:</w:t>
      </w:r>
    </w:p>
    <w:p w:rsidR="0016356B" w:rsidRDefault="006C30AE" w:rsidP="006C30AE">
      <w:pPr>
        <w:pStyle w:val="a3"/>
        <w:numPr>
          <w:ilvl w:val="0"/>
          <w:numId w:val="1"/>
        </w:numPr>
        <w:spacing w:line="360" w:lineRule="auto"/>
        <w:jc w:val="both"/>
        <w:rPr>
          <w:rFonts w:ascii="David" w:hAnsi="David" w:cs="David"/>
        </w:rPr>
      </w:pPr>
      <w:r w:rsidRPr="006C30AE">
        <w:rPr>
          <w:rFonts w:ascii="David" w:hAnsi="David" w:cs="David" w:hint="cs"/>
          <w:b/>
          <w:bCs/>
          <w:u w:val="single"/>
          <w:rtl/>
        </w:rPr>
        <w:t>צווי צמצום</w:t>
      </w:r>
      <w:r w:rsidRPr="006C30AE">
        <w:rPr>
          <w:rFonts w:ascii="David" w:hAnsi="David" w:cs="David" w:hint="cs"/>
          <w:rtl/>
        </w:rPr>
        <w:t xml:space="preserve">: </w:t>
      </w:r>
    </w:p>
    <w:p w:rsidR="006C30AE" w:rsidRPr="006C30AE" w:rsidRDefault="006C30AE" w:rsidP="00E61539">
      <w:pPr>
        <w:pStyle w:val="a3"/>
        <w:spacing w:line="360" w:lineRule="auto"/>
        <w:jc w:val="both"/>
        <w:rPr>
          <w:rFonts w:ascii="David" w:hAnsi="David" w:cs="David"/>
        </w:rPr>
      </w:pPr>
      <w:r w:rsidRPr="006C30AE">
        <w:rPr>
          <w:rFonts w:ascii="David" w:hAnsi="David" w:cs="David" w:hint="cs"/>
          <w:rtl/>
        </w:rPr>
        <w:t>בהצעה הממשלתית מוצע לבטל את חלק י'</w:t>
      </w:r>
      <w:r w:rsidR="00E1039E">
        <w:rPr>
          <w:rFonts w:ascii="David" w:hAnsi="David" w:cs="David" w:hint="cs"/>
          <w:rtl/>
        </w:rPr>
        <w:t xml:space="preserve"> לתקנות</w:t>
      </w:r>
      <w:r w:rsidRPr="006C30AE">
        <w:rPr>
          <w:rFonts w:ascii="David" w:hAnsi="David" w:cs="David" w:hint="cs"/>
          <w:rtl/>
        </w:rPr>
        <w:t xml:space="preserve"> (תקנות 108, 109, 110, ו-113), שעניינו סמכות המפקד הצבאי להטיל מגבלות על אדם באמצעות צווי צמצום או השגחה, מטעמים של "שלומו של הציבור, הגנתה של ישראל, קיומו של הסדר הציבורי או דיכויים של התקוממות, מרד או מהומה". בסעיף 120 להצעת חוק המאבק בטרור מוצע לקבוע הסדר דומה בחקיקה, אך </w:t>
      </w:r>
      <w:r w:rsidR="00E61539">
        <w:rPr>
          <w:rFonts w:ascii="David" w:hAnsi="David" w:cs="David" w:hint="cs"/>
          <w:rtl/>
        </w:rPr>
        <w:t>ועדת החוקה</w:t>
      </w:r>
      <w:r w:rsidRPr="006C30AE">
        <w:rPr>
          <w:rFonts w:ascii="David" w:hAnsi="David" w:cs="David" w:hint="cs"/>
          <w:rtl/>
        </w:rPr>
        <w:t xml:space="preserve"> החליטה </w:t>
      </w:r>
      <w:r w:rsidRPr="009D1115">
        <w:rPr>
          <w:rFonts w:ascii="David" w:hAnsi="David" w:cs="David" w:hint="cs"/>
          <w:u w:val="single"/>
          <w:rtl/>
        </w:rPr>
        <w:t>לפצל</w:t>
      </w:r>
      <w:r w:rsidRPr="006C30AE">
        <w:rPr>
          <w:rFonts w:ascii="David" w:hAnsi="David" w:cs="David" w:hint="cs"/>
          <w:rtl/>
        </w:rPr>
        <w:t xml:space="preserve"> את סעיף 120 להצעת החוק, ולדון בנושא זה בהמשך. </w:t>
      </w:r>
      <w:r w:rsidR="00E61539">
        <w:rPr>
          <w:rFonts w:ascii="David" w:hAnsi="David" w:cs="David" w:hint="cs"/>
          <w:rtl/>
        </w:rPr>
        <w:t>בהמשך להחלטה זו</w:t>
      </w:r>
      <w:r w:rsidRPr="006C30AE">
        <w:rPr>
          <w:rFonts w:ascii="David" w:hAnsi="David" w:cs="David" w:hint="cs"/>
          <w:rtl/>
        </w:rPr>
        <w:t xml:space="preserve">, הממשלה מבקשת </w:t>
      </w:r>
      <w:r w:rsidR="00E61539" w:rsidRPr="006C30AE">
        <w:rPr>
          <w:rFonts w:ascii="David" w:hAnsi="David" w:cs="David" w:hint="cs"/>
          <w:rtl/>
        </w:rPr>
        <w:t xml:space="preserve">כעת </w:t>
      </w:r>
      <w:r w:rsidRPr="00740BE7">
        <w:rPr>
          <w:rFonts w:ascii="David" w:hAnsi="David" w:cs="David" w:hint="cs"/>
          <w:u w:val="single"/>
          <w:rtl/>
        </w:rPr>
        <w:t>שלא לבטל</w:t>
      </w:r>
      <w:r w:rsidRPr="006C30AE">
        <w:rPr>
          <w:rFonts w:ascii="David" w:hAnsi="David" w:cs="David" w:hint="cs"/>
          <w:rtl/>
        </w:rPr>
        <w:t xml:space="preserve"> את חלק י' לתקנות ההגנה.</w:t>
      </w:r>
      <w:r w:rsidR="00E61539">
        <w:rPr>
          <w:rFonts w:ascii="David" w:hAnsi="David" w:cs="David" w:hint="cs"/>
          <w:rtl/>
        </w:rPr>
        <w:t xml:space="preserve"> ועדת החוקה עתידה לדון בנושא זה לעומק בזמן הקרוב, ולקבוע הסדר חילופי בחקיקה</w:t>
      </w:r>
      <w:r w:rsidR="000F4D6A">
        <w:rPr>
          <w:rFonts w:ascii="David" w:hAnsi="David" w:cs="David" w:hint="cs"/>
          <w:rtl/>
        </w:rPr>
        <w:t xml:space="preserve"> חדשה</w:t>
      </w:r>
      <w:r w:rsidR="00E61539">
        <w:rPr>
          <w:rFonts w:ascii="David" w:hAnsi="David" w:cs="David" w:hint="cs"/>
          <w:rtl/>
        </w:rPr>
        <w:t>, ולכן ראוי לדון בביטול תקנות אלה במסגרת אותו דיון.</w:t>
      </w:r>
    </w:p>
    <w:p w:rsidR="00011960" w:rsidRDefault="00011960" w:rsidP="00011960">
      <w:pPr>
        <w:pStyle w:val="a3"/>
        <w:numPr>
          <w:ilvl w:val="0"/>
          <w:numId w:val="1"/>
        </w:numPr>
        <w:spacing w:line="360" w:lineRule="auto"/>
        <w:jc w:val="both"/>
        <w:rPr>
          <w:rFonts w:ascii="David" w:hAnsi="David" w:cs="David"/>
        </w:rPr>
      </w:pPr>
      <w:r w:rsidRPr="00011960">
        <w:rPr>
          <w:rFonts w:ascii="David" w:hAnsi="David" w:cs="David" w:hint="cs"/>
          <w:b/>
          <w:bCs/>
          <w:u w:val="single"/>
          <w:rtl/>
        </w:rPr>
        <w:t>בתי משפט צבאיים</w:t>
      </w:r>
      <w:r>
        <w:rPr>
          <w:rFonts w:ascii="David" w:hAnsi="David" w:cs="David" w:hint="cs"/>
          <w:rtl/>
        </w:rPr>
        <w:t>:</w:t>
      </w:r>
    </w:p>
    <w:p w:rsidR="00E61539" w:rsidRDefault="00CD04D2" w:rsidP="00CD04D2">
      <w:pPr>
        <w:pStyle w:val="a3"/>
        <w:spacing w:line="360" w:lineRule="auto"/>
        <w:jc w:val="both"/>
        <w:rPr>
          <w:rFonts w:ascii="David" w:hAnsi="David" w:cs="David"/>
          <w:rtl/>
        </w:rPr>
      </w:pPr>
      <w:r>
        <w:rPr>
          <w:rFonts w:ascii="David" w:hAnsi="David" w:cs="David" w:hint="cs"/>
          <w:rtl/>
        </w:rPr>
        <w:t>ב</w:t>
      </w:r>
      <w:r w:rsidR="00271511" w:rsidRPr="00011960">
        <w:rPr>
          <w:rFonts w:ascii="David" w:hAnsi="David" w:cs="David" w:hint="cs"/>
          <w:rtl/>
        </w:rPr>
        <w:t>חלק ב' וחלק ג' של תקנות ההגנה</w:t>
      </w:r>
      <w:r w:rsidR="00E61539">
        <w:rPr>
          <w:rFonts w:ascii="David" w:hAnsi="David" w:cs="David" w:hint="cs"/>
          <w:rtl/>
        </w:rPr>
        <w:t xml:space="preserve"> </w:t>
      </w:r>
      <w:r>
        <w:rPr>
          <w:rFonts w:ascii="David" w:hAnsi="David" w:cs="David" w:hint="cs"/>
          <w:rtl/>
        </w:rPr>
        <w:t xml:space="preserve">נקבע </w:t>
      </w:r>
      <w:r w:rsidR="00E61539">
        <w:rPr>
          <w:rFonts w:ascii="David" w:hAnsi="David" w:cs="David" w:hint="cs"/>
          <w:rtl/>
        </w:rPr>
        <w:t>כי לרמטכ"ל יש סמכות להקים בתי משפט צבאיים</w:t>
      </w:r>
      <w:r w:rsidR="00BE2731">
        <w:rPr>
          <w:rFonts w:ascii="David" w:hAnsi="David" w:cs="David" w:hint="cs"/>
          <w:rtl/>
        </w:rPr>
        <w:t xml:space="preserve"> בישראל</w:t>
      </w:r>
      <w:r w:rsidR="00E61539">
        <w:rPr>
          <w:rFonts w:ascii="David" w:hAnsi="David" w:cs="David" w:hint="cs"/>
          <w:rtl/>
        </w:rPr>
        <w:t>, בהם י</w:t>
      </w:r>
      <w:r w:rsidR="00E1039E">
        <w:rPr>
          <w:rFonts w:ascii="David" w:hAnsi="David" w:cs="David" w:hint="cs"/>
          <w:rtl/>
        </w:rPr>
        <w:t>י</w:t>
      </w:r>
      <w:r w:rsidR="00E61539">
        <w:rPr>
          <w:rFonts w:ascii="David" w:hAnsi="David" w:cs="David" w:hint="cs"/>
          <w:rtl/>
        </w:rPr>
        <w:t>שבו קצינים כשופטים, במינוי של הרמטכ"ל. התקנות קובעות סדרי דין והוראות מהותיות ששונ</w:t>
      </w:r>
      <w:r w:rsidR="002812F4">
        <w:rPr>
          <w:rFonts w:ascii="David" w:hAnsi="David" w:cs="David" w:hint="cs"/>
          <w:rtl/>
        </w:rPr>
        <w:t>ות</w:t>
      </w:r>
      <w:r w:rsidR="00E61539">
        <w:rPr>
          <w:rFonts w:ascii="David" w:hAnsi="David" w:cs="David" w:hint="cs"/>
          <w:rtl/>
        </w:rPr>
        <w:t xml:space="preserve"> מהוראות הדין הפלילי בישראל וכן רשימה של עבירות שעליהן נדונים בבית משפט צבאי בלבד. לפי ההצעה הממשלתית, מוצע להשאיר את </w:t>
      </w:r>
      <w:r>
        <w:rPr>
          <w:rFonts w:ascii="David" w:hAnsi="David" w:cs="David" w:hint="cs"/>
          <w:rtl/>
        </w:rPr>
        <w:t xml:space="preserve">פרקים </w:t>
      </w:r>
      <w:r w:rsidR="00E61539">
        <w:rPr>
          <w:rFonts w:ascii="David" w:hAnsi="David" w:cs="David" w:hint="cs"/>
          <w:rtl/>
        </w:rPr>
        <w:t>אל</w:t>
      </w:r>
      <w:r>
        <w:rPr>
          <w:rFonts w:ascii="David" w:hAnsi="David" w:cs="David" w:hint="cs"/>
          <w:rtl/>
        </w:rPr>
        <w:t>ו</w:t>
      </w:r>
      <w:r w:rsidR="00E61539">
        <w:rPr>
          <w:rFonts w:ascii="David" w:hAnsi="David" w:cs="David" w:hint="cs"/>
          <w:rtl/>
        </w:rPr>
        <w:t xml:space="preserve"> בתוקף</w:t>
      </w:r>
      <w:r w:rsidRPr="00CD04D2">
        <w:rPr>
          <w:rFonts w:ascii="David" w:hAnsi="David" w:cs="David" w:hint="cs"/>
          <w:rtl/>
        </w:rPr>
        <w:t xml:space="preserve"> </w:t>
      </w:r>
      <w:r>
        <w:rPr>
          <w:rFonts w:ascii="David" w:hAnsi="David" w:cs="David" w:hint="cs"/>
          <w:rtl/>
        </w:rPr>
        <w:t>(</w:t>
      </w:r>
      <w:r w:rsidRPr="00011960">
        <w:rPr>
          <w:rFonts w:ascii="David" w:hAnsi="David" w:cs="David" w:hint="cs"/>
          <w:rtl/>
        </w:rPr>
        <w:t xml:space="preserve">למעט תקנה 61 </w:t>
      </w:r>
      <w:r>
        <w:rPr>
          <w:rFonts w:ascii="David" w:hAnsi="David" w:cs="David" w:hint="cs"/>
          <w:rtl/>
        </w:rPr>
        <w:t xml:space="preserve">בעניין סמכות שר הביטחון לאסור על לבישה של בגד, </w:t>
      </w:r>
      <w:r w:rsidRPr="00011960">
        <w:rPr>
          <w:rFonts w:ascii="David" w:hAnsi="David" w:cs="David" w:hint="cs"/>
          <w:rtl/>
        </w:rPr>
        <w:t>שאותה מבקשים לבטל)</w:t>
      </w:r>
      <w:r w:rsidR="00E61539">
        <w:rPr>
          <w:rFonts w:ascii="David" w:hAnsi="David" w:cs="David" w:hint="cs"/>
          <w:rtl/>
        </w:rPr>
        <w:t xml:space="preserve">. </w:t>
      </w:r>
    </w:p>
    <w:p w:rsidR="00242679" w:rsidRPr="00011960" w:rsidRDefault="00271511" w:rsidP="009D1115">
      <w:pPr>
        <w:pStyle w:val="a3"/>
        <w:spacing w:line="360" w:lineRule="auto"/>
        <w:ind w:firstLine="720"/>
        <w:jc w:val="both"/>
        <w:rPr>
          <w:rFonts w:ascii="David" w:hAnsi="David" w:cs="David"/>
          <w:rtl/>
        </w:rPr>
      </w:pPr>
      <w:r w:rsidRPr="00011960">
        <w:rPr>
          <w:rFonts w:ascii="David" w:hAnsi="David" w:cs="David" w:hint="cs"/>
          <w:rtl/>
        </w:rPr>
        <w:t>בעבר פעלו בתי משפט צבאיים בתוך ישראל</w:t>
      </w:r>
      <w:r w:rsidR="00BE2731">
        <w:rPr>
          <w:rFonts w:ascii="David" w:hAnsi="David" w:cs="David" w:hint="cs"/>
          <w:rtl/>
        </w:rPr>
        <w:t xml:space="preserve"> מכוח תקנות ההגנה</w:t>
      </w:r>
      <w:r w:rsidRPr="00011960">
        <w:rPr>
          <w:rFonts w:ascii="David" w:hAnsi="David" w:cs="David" w:hint="cs"/>
          <w:rtl/>
        </w:rPr>
        <w:t xml:space="preserve"> (בין השנים 1967 </w:t>
      </w:r>
      <w:r w:rsidRPr="00011960">
        <w:rPr>
          <w:rFonts w:ascii="David" w:hAnsi="David" w:cs="David"/>
          <w:rtl/>
        </w:rPr>
        <w:t>–</w:t>
      </w:r>
      <w:r w:rsidRPr="00011960">
        <w:rPr>
          <w:rFonts w:ascii="David" w:hAnsi="David" w:cs="David" w:hint="cs"/>
          <w:rtl/>
        </w:rPr>
        <w:t xml:space="preserve"> 2000)</w:t>
      </w:r>
      <w:r w:rsidR="00BE2731">
        <w:rPr>
          <w:rFonts w:ascii="David" w:hAnsi="David" w:cs="David" w:hint="cs"/>
          <w:rtl/>
        </w:rPr>
        <w:t xml:space="preserve"> (וזאת בשונה מ</w:t>
      </w:r>
      <w:r w:rsidR="00BE2731" w:rsidRPr="00011960">
        <w:rPr>
          <w:rFonts w:ascii="David" w:hAnsi="David" w:cs="David" w:hint="cs"/>
          <w:rtl/>
        </w:rPr>
        <w:t xml:space="preserve">בתי משפט צבאיים </w:t>
      </w:r>
      <w:r w:rsidR="00BE2731">
        <w:rPr>
          <w:rFonts w:ascii="David" w:hAnsi="David" w:cs="David" w:hint="cs"/>
          <w:rtl/>
        </w:rPr>
        <w:t>ה</w:t>
      </w:r>
      <w:r w:rsidR="00BE2731" w:rsidRPr="00011960">
        <w:rPr>
          <w:rFonts w:ascii="David" w:hAnsi="David" w:cs="David" w:hint="cs"/>
          <w:rtl/>
        </w:rPr>
        <w:t>פועלים באזור יהודה ושומרון מכוח הדין החל שם</w:t>
      </w:r>
      <w:r w:rsidR="00BE2731">
        <w:rPr>
          <w:rFonts w:ascii="David" w:hAnsi="David" w:cs="David" w:hint="cs"/>
          <w:rtl/>
        </w:rPr>
        <w:t>)</w:t>
      </w:r>
      <w:r w:rsidRPr="00011960">
        <w:rPr>
          <w:rFonts w:ascii="David" w:hAnsi="David" w:cs="David" w:hint="cs"/>
          <w:rtl/>
        </w:rPr>
        <w:t xml:space="preserve">. בתי המשפט היו מוסמכים לדון בעבירות לפי תקנות ההגנה, ובכללן </w:t>
      </w:r>
      <w:r w:rsidR="00E61539">
        <w:rPr>
          <w:rFonts w:ascii="David" w:hAnsi="David" w:cs="David" w:hint="cs"/>
          <w:rtl/>
        </w:rPr>
        <w:t>ה</w:t>
      </w:r>
      <w:r w:rsidRPr="00011960">
        <w:rPr>
          <w:rFonts w:ascii="David" w:hAnsi="David" w:cs="David" w:hint="cs"/>
          <w:rtl/>
        </w:rPr>
        <w:t xml:space="preserve">עבירות הנמנות בחלק ג' שנדונות בבית משפט צבאי בלבד. מאז </w:t>
      </w:r>
      <w:r w:rsidR="00BE2731">
        <w:rPr>
          <w:rFonts w:ascii="David" w:hAnsi="David" w:cs="David" w:hint="cs"/>
          <w:rtl/>
        </w:rPr>
        <w:t xml:space="preserve">שנת </w:t>
      </w:r>
      <w:r w:rsidRPr="00011960">
        <w:rPr>
          <w:rFonts w:ascii="David" w:hAnsi="David" w:cs="David" w:hint="cs"/>
          <w:rtl/>
        </w:rPr>
        <w:t xml:space="preserve">2000 לא נעשה שימוש בבתי משפט צבאיים בתוך ישראל, ואף הופץ תזכיר חוק בשנת 2014 </w:t>
      </w:r>
      <w:r w:rsidR="00F14DF1" w:rsidRPr="00011960">
        <w:rPr>
          <w:rFonts w:ascii="David" w:hAnsi="David" w:cs="David" w:hint="cs"/>
          <w:rtl/>
        </w:rPr>
        <w:t>בו מוצע</w:t>
      </w:r>
      <w:r w:rsidR="00242679" w:rsidRPr="00011960">
        <w:rPr>
          <w:rFonts w:ascii="David" w:hAnsi="David" w:cs="David" w:hint="cs"/>
          <w:rtl/>
        </w:rPr>
        <w:t xml:space="preserve"> לבטל את הסמכות להק</w:t>
      </w:r>
      <w:r w:rsidR="00BE2731">
        <w:rPr>
          <w:rFonts w:ascii="David" w:hAnsi="David" w:cs="David" w:hint="cs"/>
          <w:rtl/>
        </w:rPr>
        <w:t>מ</w:t>
      </w:r>
      <w:r w:rsidR="00242679" w:rsidRPr="00011960">
        <w:rPr>
          <w:rFonts w:ascii="David" w:hAnsi="David" w:cs="David" w:hint="cs"/>
          <w:rtl/>
        </w:rPr>
        <w:t>ת בתי משפט צבאיים בישראל לפי תקנות ההגנה</w:t>
      </w:r>
      <w:r w:rsidR="002812F4">
        <w:rPr>
          <w:rFonts w:ascii="David" w:hAnsi="David" w:cs="David" w:hint="cs"/>
          <w:rtl/>
        </w:rPr>
        <w:t>.</w:t>
      </w:r>
      <w:r w:rsidR="00F14DF1" w:rsidRPr="00011960">
        <w:rPr>
          <w:rFonts w:ascii="David" w:hAnsi="David" w:cs="David" w:hint="cs"/>
          <w:rtl/>
        </w:rPr>
        <w:t xml:space="preserve"> </w:t>
      </w:r>
      <w:r w:rsidR="00242679" w:rsidRPr="00011960">
        <w:rPr>
          <w:rFonts w:ascii="David" w:hAnsi="David" w:cs="David" w:hint="cs"/>
          <w:rtl/>
        </w:rPr>
        <w:t xml:space="preserve">זאת </w:t>
      </w:r>
      <w:r w:rsidR="00F14DF1" w:rsidRPr="00011960">
        <w:rPr>
          <w:rFonts w:ascii="David" w:hAnsi="David" w:cs="David" w:hint="cs"/>
          <w:rtl/>
        </w:rPr>
        <w:t xml:space="preserve">לאחר </w:t>
      </w:r>
      <w:r w:rsidR="00242679" w:rsidRPr="00011960">
        <w:rPr>
          <w:rFonts w:ascii="David" w:hAnsi="David" w:cs="David" w:hint="cs"/>
          <w:rtl/>
        </w:rPr>
        <w:t>שנערכה בחינה מקיפה של יכולות</w:t>
      </w:r>
      <w:r w:rsidR="008779A5">
        <w:rPr>
          <w:rFonts w:ascii="David" w:hAnsi="David" w:cs="David" w:hint="cs"/>
          <w:rtl/>
        </w:rPr>
        <w:t>יה</w:t>
      </w:r>
      <w:r w:rsidR="00242679" w:rsidRPr="00011960">
        <w:rPr>
          <w:rFonts w:ascii="David" w:hAnsi="David" w:cs="David" w:hint="cs"/>
          <w:rtl/>
        </w:rPr>
        <w:t xml:space="preserve"> של המערכת האזרחית להתמודד בעתיד עם צרכי הביטחון ו</w:t>
      </w:r>
      <w:r w:rsidR="008779A5">
        <w:rPr>
          <w:rFonts w:ascii="David" w:hAnsi="David" w:cs="David" w:hint="cs"/>
          <w:rtl/>
        </w:rPr>
        <w:t xml:space="preserve">עם </w:t>
      </w:r>
      <w:r w:rsidR="00242679" w:rsidRPr="00011960">
        <w:rPr>
          <w:rFonts w:ascii="David" w:hAnsi="David" w:cs="David" w:hint="cs"/>
          <w:rtl/>
        </w:rPr>
        <w:t xml:space="preserve">מצבי חירום ביטחוניים, ככל שיהיו. כפי </w:t>
      </w:r>
      <w:r w:rsidR="00E61539">
        <w:rPr>
          <w:rFonts w:ascii="David" w:hAnsi="David" w:cs="David" w:hint="cs"/>
          <w:rtl/>
        </w:rPr>
        <w:t>שהוסבר</w:t>
      </w:r>
      <w:r w:rsidR="00242679" w:rsidRPr="00011960">
        <w:rPr>
          <w:rFonts w:ascii="David" w:hAnsi="David" w:cs="David" w:hint="cs"/>
          <w:rtl/>
        </w:rPr>
        <w:t xml:space="preserve"> בתזכיר: </w:t>
      </w:r>
    </w:p>
    <w:p w:rsidR="00FD14AF" w:rsidRDefault="00242679" w:rsidP="00E61539">
      <w:pPr>
        <w:spacing w:line="360" w:lineRule="auto"/>
        <w:ind w:left="1440"/>
        <w:jc w:val="both"/>
        <w:rPr>
          <w:rFonts w:ascii="David" w:hAnsi="David" w:cs="David"/>
          <w:rtl/>
        </w:rPr>
      </w:pPr>
      <w:r>
        <w:rPr>
          <w:rFonts w:ascii="David" w:hAnsi="David" w:cs="David" w:hint="cs"/>
          <w:rtl/>
        </w:rPr>
        <w:t>"נ</w:t>
      </w:r>
      <w:r w:rsidRPr="00242679">
        <w:rPr>
          <w:rFonts w:ascii="David" w:hAnsi="David" w:cs="David"/>
          <w:rtl/>
        </w:rPr>
        <w:t>מצא כי אין עוד מניעה לביטול של הסמכות להקמת בתי משפט צבאיים</w:t>
      </w:r>
      <w:r>
        <w:rPr>
          <w:rFonts w:ascii="David" w:hAnsi="David" w:cs="David" w:hint="cs"/>
          <w:rtl/>
        </w:rPr>
        <w:t xml:space="preserve"> </w:t>
      </w:r>
      <w:r w:rsidRPr="00242679">
        <w:rPr>
          <w:rFonts w:ascii="David" w:hAnsi="David" w:cs="David"/>
          <w:rtl/>
        </w:rPr>
        <w:t>בישראל לפי תקנות ההגנה. זאת, לאחר שהוברר כי המערכת האזרחית תוכל להתמודד, בעת הצורך, גם עם</w:t>
      </w:r>
      <w:r>
        <w:rPr>
          <w:rFonts w:ascii="David" w:hAnsi="David" w:cs="David" w:hint="cs"/>
          <w:rtl/>
        </w:rPr>
        <w:t xml:space="preserve"> </w:t>
      </w:r>
      <w:r w:rsidRPr="00242679">
        <w:rPr>
          <w:rFonts w:ascii="David" w:hAnsi="David" w:cs="David"/>
          <w:rtl/>
        </w:rPr>
        <w:t>מצבי קיצון, וכי אין הצדקה להפעיל, ולו גם בנסיבות כאלה, את מערכת בתי המשפט הצבאיים.</w:t>
      </w:r>
      <w:r>
        <w:rPr>
          <w:rFonts w:ascii="David" w:hAnsi="David" w:cs="David" w:hint="cs"/>
          <w:rtl/>
        </w:rPr>
        <w:t xml:space="preserve">... כאשר מדובר </w:t>
      </w:r>
      <w:r w:rsidRPr="00242679">
        <w:rPr>
          <w:rFonts w:ascii="David" w:hAnsi="David" w:cs="David"/>
          <w:rtl/>
        </w:rPr>
        <w:t>בהעמדה לדין גם של אזרחי ישראל, בתוך שטח ישראל, ראוי להימנע במידת האפשר מהעמדתם לדין בפני</w:t>
      </w:r>
      <w:r>
        <w:rPr>
          <w:rFonts w:ascii="David" w:hAnsi="David" w:cs="David" w:hint="cs"/>
          <w:rtl/>
        </w:rPr>
        <w:t xml:space="preserve"> </w:t>
      </w:r>
      <w:r w:rsidRPr="00242679">
        <w:rPr>
          <w:rFonts w:ascii="David" w:hAnsi="David" w:cs="David"/>
          <w:rtl/>
        </w:rPr>
        <w:t>בית משפט צבאי, ולא בפני בית משפט פלילי אזרחי. מומחיותם של בתי המשפט האזרחיים ונסיונם בנושא</w:t>
      </w:r>
      <w:r>
        <w:rPr>
          <w:rFonts w:ascii="David" w:hAnsi="David" w:cs="David" w:hint="cs"/>
          <w:rtl/>
        </w:rPr>
        <w:t xml:space="preserve"> </w:t>
      </w:r>
      <w:r w:rsidRPr="00242679">
        <w:rPr>
          <w:rFonts w:ascii="David" w:hAnsi="David" w:cs="David"/>
          <w:rtl/>
        </w:rPr>
        <w:lastRenderedPageBreak/>
        <w:t>עבירות הביטחון, אינם נופלים כיום מאלה של הערכאות הצבאיות, ולכאורה לבתי המשפט הצבאיים אין כל</w:t>
      </w:r>
      <w:r>
        <w:rPr>
          <w:rFonts w:ascii="David" w:hAnsi="David" w:cs="David" w:hint="cs"/>
          <w:rtl/>
        </w:rPr>
        <w:t xml:space="preserve"> </w:t>
      </w:r>
      <w:r w:rsidRPr="00242679">
        <w:rPr>
          <w:rFonts w:ascii="David" w:hAnsi="David" w:cs="David"/>
          <w:rtl/>
        </w:rPr>
        <w:t>יתרון במישור המשפטי או המהותי בקיום דיונים אלה.</w:t>
      </w:r>
      <w:r>
        <w:rPr>
          <w:rFonts w:ascii="David" w:hAnsi="David" w:cs="David" w:hint="cs"/>
          <w:rtl/>
        </w:rPr>
        <w:t>"</w:t>
      </w:r>
    </w:p>
    <w:p w:rsidR="00F31D2F" w:rsidRDefault="00011960" w:rsidP="00F85832">
      <w:pPr>
        <w:spacing w:line="360" w:lineRule="auto"/>
        <w:ind w:left="720"/>
        <w:jc w:val="both"/>
        <w:rPr>
          <w:rFonts w:ascii="David" w:hAnsi="David" w:cs="David"/>
          <w:rtl/>
        </w:rPr>
      </w:pPr>
      <w:r>
        <w:rPr>
          <w:rFonts w:ascii="David" w:hAnsi="David" w:cs="David" w:hint="cs"/>
          <w:rtl/>
        </w:rPr>
        <w:t xml:space="preserve">למרות האמור, </w:t>
      </w:r>
      <w:r w:rsidR="00E61539">
        <w:rPr>
          <w:rFonts w:ascii="David" w:hAnsi="David" w:cs="David" w:hint="cs"/>
          <w:rtl/>
        </w:rPr>
        <w:t>הצעת החוק לא קודמה, ו</w:t>
      </w:r>
      <w:r>
        <w:rPr>
          <w:rFonts w:ascii="David" w:hAnsi="David" w:cs="David" w:hint="cs"/>
          <w:rtl/>
        </w:rPr>
        <w:t xml:space="preserve">הממשלה מבקשת כעת </w:t>
      </w:r>
      <w:r w:rsidR="00E61539">
        <w:rPr>
          <w:rFonts w:ascii="David" w:hAnsi="David" w:cs="David" w:hint="cs"/>
          <w:rtl/>
        </w:rPr>
        <w:t xml:space="preserve">שלא </w:t>
      </w:r>
      <w:r>
        <w:rPr>
          <w:rFonts w:ascii="David" w:hAnsi="David" w:cs="David" w:hint="cs"/>
          <w:rtl/>
        </w:rPr>
        <w:t>לבטל א</w:t>
      </w:r>
      <w:r w:rsidR="00E61539">
        <w:rPr>
          <w:rFonts w:ascii="David" w:hAnsi="David" w:cs="David" w:hint="cs"/>
          <w:rtl/>
        </w:rPr>
        <w:t>ת חלק ב' וחלק ג' של תקנות ההגנה</w:t>
      </w:r>
      <w:r w:rsidR="00C004CF">
        <w:rPr>
          <w:rFonts w:ascii="David" w:hAnsi="David" w:cs="David" w:hint="cs"/>
          <w:rtl/>
        </w:rPr>
        <w:t xml:space="preserve">, </w:t>
      </w:r>
      <w:r w:rsidR="008779A5" w:rsidRPr="00BE2731">
        <w:rPr>
          <w:rFonts w:ascii="David" w:hAnsi="David" w:cs="David"/>
          <w:rtl/>
        </w:rPr>
        <w:t xml:space="preserve">שלהם נפח </w:t>
      </w:r>
      <w:r w:rsidR="00C004CF" w:rsidRPr="00BE2731">
        <w:rPr>
          <w:rFonts w:ascii="David" w:hAnsi="David" w:cs="David"/>
          <w:rtl/>
        </w:rPr>
        <w:t xml:space="preserve">גדול מאוד </w:t>
      </w:r>
      <w:r w:rsidR="008779A5" w:rsidRPr="00BE2731">
        <w:rPr>
          <w:rFonts w:ascii="David" w:hAnsi="David" w:cs="David"/>
          <w:rtl/>
        </w:rPr>
        <w:t xml:space="preserve">בתוך </w:t>
      </w:r>
      <w:r w:rsidR="00C004CF" w:rsidRPr="00BE2731">
        <w:rPr>
          <w:rFonts w:ascii="David" w:hAnsi="David" w:cs="David"/>
          <w:rtl/>
        </w:rPr>
        <w:t>תקנות ההגנה</w:t>
      </w:r>
      <w:r w:rsidR="00E61539" w:rsidRPr="00BE2731">
        <w:rPr>
          <w:rFonts w:ascii="David" w:hAnsi="David" w:cs="David"/>
          <w:rtl/>
        </w:rPr>
        <w:t>.</w:t>
      </w:r>
      <w:r>
        <w:rPr>
          <w:rFonts w:ascii="David" w:hAnsi="David" w:cs="David" w:hint="cs"/>
          <w:rtl/>
        </w:rPr>
        <w:t xml:space="preserve"> </w:t>
      </w:r>
      <w:r w:rsidR="008779A5">
        <w:rPr>
          <w:rFonts w:ascii="David" w:hAnsi="David" w:cs="David" w:hint="cs"/>
          <w:rtl/>
        </w:rPr>
        <w:t>מוצע</w:t>
      </w:r>
      <w:r>
        <w:rPr>
          <w:rFonts w:ascii="David" w:hAnsi="David" w:cs="David" w:hint="cs"/>
          <w:rtl/>
        </w:rPr>
        <w:t xml:space="preserve"> לבקש הסברים </w:t>
      </w:r>
      <w:r w:rsidR="00E61539">
        <w:rPr>
          <w:rFonts w:ascii="David" w:hAnsi="David" w:cs="David" w:hint="cs"/>
          <w:rtl/>
        </w:rPr>
        <w:t xml:space="preserve">מדוע יש הצדקה להשאיר </w:t>
      </w:r>
      <w:r w:rsidR="00CD04D2">
        <w:rPr>
          <w:rFonts w:ascii="David" w:hAnsi="David" w:cs="David" w:hint="cs"/>
          <w:rtl/>
        </w:rPr>
        <w:t>על כנו</w:t>
      </w:r>
      <w:r w:rsidR="00F85832">
        <w:rPr>
          <w:rFonts w:ascii="David" w:hAnsi="David" w:cs="David" w:hint="cs"/>
          <w:rtl/>
        </w:rPr>
        <w:t xml:space="preserve"> </w:t>
      </w:r>
      <w:r w:rsidR="00E61539">
        <w:rPr>
          <w:rFonts w:ascii="David" w:hAnsi="David" w:cs="David" w:hint="cs"/>
          <w:rtl/>
        </w:rPr>
        <w:t>את הסמכות להקי</w:t>
      </w:r>
      <w:r w:rsidR="008779A5">
        <w:rPr>
          <w:rFonts w:ascii="David" w:hAnsi="David" w:cs="David" w:hint="cs"/>
          <w:rtl/>
        </w:rPr>
        <w:t>ם</w:t>
      </w:r>
      <w:r w:rsidR="00E61539">
        <w:rPr>
          <w:rFonts w:ascii="David" w:hAnsi="David" w:cs="David" w:hint="cs"/>
          <w:rtl/>
        </w:rPr>
        <w:t xml:space="preserve"> מחדש</w:t>
      </w:r>
      <w:r w:rsidR="00F85832" w:rsidRPr="00F85832">
        <w:rPr>
          <w:rFonts w:ascii="David" w:hAnsi="David" w:cs="David" w:hint="cs"/>
          <w:rtl/>
        </w:rPr>
        <w:t xml:space="preserve"> </w:t>
      </w:r>
      <w:r w:rsidR="00F85832">
        <w:rPr>
          <w:rFonts w:ascii="David" w:hAnsi="David" w:cs="David" w:hint="cs"/>
          <w:rtl/>
        </w:rPr>
        <w:t>את בתי המשפט הצבאיים בישראל</w:t>
      </w:r>
      <w:r w:rsidR="00CD04D2">
        <w:rPr>
          <w:rFonts w:ascii="David" w:hAnsi="David" w:cs="David" w:hint="cs"/>
          <w:rtl/>
        </w:rPr>
        <w:t>, חרף הקשיים שהם מעוררים</w:t>
      </w:r>
      <w:r>
        <w:rPr>
          <w:rFonts w:ascii="David" w:hAnsi="David" w:cs="David" w:hint="cs"/>
          <w:rtl/>
        </w:rPr>
        <w:t>.</w:t>
      </w:r>
    </w:p>
    <w:p w:rsidR="00011960" w:rsidRPr="00523928" w:rsidRDefault="00011960" w:rsidP="00011960">
      <w:pPr>
        <w:pStyle w:val="a3"/>
        <w:numPr>
          <w:ilvl w:val="0"/>
          <w:numId w:val="1"/>
        </w:numPr>
        <w:spacing w:line="360" w:lineRule="auto"/>
        <w:jc w:val="both"/>
        <w:rPr>
          <w:rFonts w:ascii="David" w:hAnsi="David" w:cs="David"/>
        </w:rPr>
      </w:pPr>
      <w:r w:rsidRPr="00523928">
        <w:rPr>
          <w:rFonts w:ascii="David" w:hAnsi="David" w:cs="David" w:hint="cs"/>
          <w:b/>
          <w:bCs/>
          <w:u w:val="single"/>
          <w:rtl/>
        </w:rPr>
        <w:t>סמכויות</w:t>
      </w:r>
      <w:r w:rsidR="00E1039E" w:rsidRPr="00523928">
        <w:rPr>
          <w:rFonts w:ascii="David" w:hAnsi="David" w:cs="David" w:hint="cs"/>
          <w:rtl/>
        </w:rPr>
        <w:t>:</w:t>
      </w:r>
    </w:p>
    <w:p w:rsidR="00E1039E" w:rsidRDefault="00E1039E" w:rsidP="007235F3">
      <w:pPr>
        <w:pStyle w:val="a3"/>
        <w:spacing w:line="360" w:lineRule="auto"/>
        <w:jc w:val="both"/>
        <w:rPr>
          <w:rFonts w:ascii="David" w:hAnsi="David" w:cs="David"/>
          <w:rtl/>
        </w:rPr>
      </w:pPr>
      <w:r>
        <w:rPr>
          <w:rFonts w:ascii="David" w:hAnsi="David" w:cs="David" w:hint="cs"/>
          <w:rtl/>
        </w:rPr>
        <w:t xml:space="preserve">מוצע שלא לבטל מספר תקנות שמעניקות </w:t>
      </w:r>
      <w:r w:rsidR="00523928">
        <w:rPr>
          <w:rFonts w:ascii="David" w:hAnsi="David" w:cs="David" w:hint="cs"/>
          <w:rtl/>
        </w:rPr>
        <w:t xml:space="preserve">סמכויות </w:t>
      </w:r>
      <w:r>
        <w:rPr>
          <w:rFonts w:ascii="David" w:hAnsi="David" w:cs="David" w:hint="cs"/>
          <w:rtl/>
        </w:rPr>
        <w:t>לכוחות הביטחון שמקבילות לסמכויות</w:t>
      </w:r>
      <w:r w:rsidR="008779A5">
        <w:rPr>
          <w:rFonts w:ascii="David" w:hAnsi="David" w:cs="David" w:hint="cs"/>
          <w:rtl/>
        </w:rPr>
        <w:t xml:space="preserve"> הקיימות היום ל</w:t>
      </w:r>
      <w:r>
        <w:rPr>
          <w:rFonts w:ascii="David" w:hAnsi="David" w:cs="David" w:hint="cs"/>
          <w:rtl/>
        </w:rPr>
        <w:t>שו</w:t>
      </w:r>
      <w:r w:rsidR="00523928">
        <w:rPr>
          <w:rFonts w:ascii="David" w:hAnsi="David" w:cs="David" w:hint="cs"/>
          <w:rtl/>
        </w:rPr>
        <w:t xml:space="preserve">טרים </w:t>
      </w:r>
      <w:r w:rsidR="008779A5">
        <w:rPr>
          <w:rFonts w:ascii="David" w:hAnsi="David" w:cs="David" w:hint="cs"/>
          <w:rtl/>
        </w:rPr>
        <w:t>הקבועות</w:t>
      </w:r>
      <w:r w:rsidR="00523928">
        <w:rPr>
          <w:rFonts w:ascii="David" w:hAnsi="David" w:cs="David" w:hint="cs"/>
          <w:rtl/>
        </w:rPr>
        <w:t xml:space="preserve"> </w:t>
      </w:r>
      <w:r w:rsidR="008779A5">
        <w:rPr>
          <w:rFonts w:ascii="David" w:hAnsi="David" w:cs="David" w:hint="cs"/>
          <w:rtl/>
        </w:rPr>
        <w:t>ב</w:t>
      </w:r>
      <w:r w:rsidR="00523928">
        <w:rPr>
          <w:rFonts w:ascii="David" w:hAnsi="David" w:cs="David" w:hint="cs"/>
          <w:rtl/>
        </w:rPr>
        <w:t>פקודת סדר הדין הפלילי</w:t>
      </w:r>
      <w:r w:rsidR="008779A5">
        <w:rPr>
          <w:rFonts w:ascii="David" w:hAnsi="David" w:cs="David" w:hint="cs"/>
          <w:rtl/>
        </w:rPr>
        <w:t xml:space="preserve">. </w:t>
      </w:r>
      <w:r w:rsidR="00523928">
        <w:rPr>
          <w:rFonts w:ascii="David" w:hAnsi="David" w:cs="David" w:hint="cs"/>
          <w:rtl/>
        </w:rPr>
        <w:t xml:space="preserve">בין היתר, </w:t>
      </w:r>
      <w:r w:rsidR="00523928">
        <w:rPr>
          <w:rFonts w:ascii="David" w:hAnsi="David" w:cs="David"/>
          <w:rtl/>
        </w:rPr>
        <w:t>תקנ</w:t>
      </w:r>
      <w:r w:rsidR="00523928">
        <w:rPr>
          <w:rFonts w:ascii="David" w:hAnsi="David" w:cs="David" w:hint="cs"/>
          <w:rtl/>
        </w:rPr>
        <w:t>ה</w:t>
      </w:r>
      <w:r>
        <w:rPr>
          <w:rFonts w:ascii="David" w:hAnsi="David" w:cs="David" w:hint="cs"/>
          <w:rtl/>
        </w:rPr>
        <w:t xml:space="preserve"> </w:t>
      </w:r>
      <w:r>
        <w:rPr>
          <w:rFonts w:ascii="David" w:hAnsi="David" w:cs="David"/>
          <w:rtl/>
        </w:rPr>
        <w:t>2</w:t>
      </w:r>
      <w:r w:rsidR="00523928">
        <w:rPr>
          <w:rFonts w:ascii="David" w:hAnsi="David" w:cs="David" w:hint="cs"/>
          <w:rtl/>
        </w:rPr>
        <w:t xml:space="preserve">, </w:t>
      </w:r>
      <w:r w:rsidR="008779A5">
        <w:rPr>
          <w:rFonts w:ascii="David" w:hAnsi="David" w:cs="David" w:hint="cs"/>
          <w:rtl/>
        </w:rPr>
        <w:t>ש</w:t>
      </w:r>
      <w:r w:rsidR="00523928">
        <w:rPr>
          <w:rFonts w:ascii="David" w:hAnsi="David" w:cs="David" w:hint="cs"/>
          <w:rtl/>
        </w:rPr>
        <w:t>עניי</w:t>
      </w:r>
      <w:r w:rsidR="008779A5">
        <w:rPr>
          <w:rFonts w:ascii="David" w:hAnsi="David" w:cs="David" w:hint="cs"/>
          <w:rtl/>
        </w:rPr>
        <w:t>ה</w:t>
      </w:r>
      <w:r w:rsidR="00523928">
        <w:rPr>
          <w:rFonts w:ascii="David" w:hAnsi="David" w:cs="David" w:hint="cs"/>
          <w:rtl/>
        </w:rPr>
        <w:t xml:space="preserve"> סמכות </w:t>
      </w:r>
      <w:r w:rsidR="00466879">
        <w:rPr>
          <w:rFonts w:ascii="David" w:hAnsi="David" w:cs="David" w:hint="cs"/>
          <w:rtl/>
        </w:rPr>
        <w:t>מעצר</w:t>
      </w:r>
      <w:r>
        <w:rPr>
          <w:rFonts w:ascii="David" w:hAnsi="David" w:cs="David"/>
          <w:rtl/>
        </w:rPr>
        <w:t xml:space="preserve">, </w:t>
      </w:r>
      <w:r w:rsidR="00523928">
        <w:rPr>
          <w:rFonts w:ascii="David" w:hAnsi="David" w:cs="David" w:hint="cs"/>
          <w:rtl/>
        </w:rPr>
        <w:t xml:space="preserve">תקנות </w:t>
      </w:r>
      <w:r>
        <w:rPr>
          <w:rFonts w:ascii="David" w:hAnsi="David" w:cs="David"/>
          <w:rtl/>
        </w:rPr>
        <w:t>74 עד 77</w:t>
      </w:r>
      <w:r w:rsidR="00523928">
        <w:rPr>
          <w:rFonts w:ascii="David" w:hAnsi="David" w:cs="David" w:hint="cs"/>
          <w:rtl/>
        </w:rPr>
        <w:t xml:space="preserve"> </w:t>
      </w:r>
      <w:r w:rsidR="008779A5">
        <w:rPr>
          <w:rFonts w:ascii="David" w:hAnsi="David" w:cs="David" w:hint="cs"/>
          <w:rtl/>
        </w:rPr>
        <w:t>ש</w:t>
      </w:r>
      <w:r w:rsidR="00523928">
        <w:rPr>
          <w:rFonts w:ascii="David" w:hAnsi="David" w:cs="David" w:hint="cs"/>
          <w:rtl/>
        </w:rPr>
        <w:t xml:space="preserve">עניין </w:t>
      </w:r>
      <w:r>
        <w:rPr>
          <w:rFonts w:ascii="David" w:hAnsi="David" w:cs="David" w:hint="cs"/>
          <w:rtl/>
        </w:rPr>
        <w:t>תפיסה, החרמה, כניסה, חיפוש והעמדת כלי-רכב</w:t>
      </w:r>
      <w:r>
        <w:rPr>
          <w:rFonts w:ascii="David" w:hAnsi="David" w:cs="David"/>
          <w:rtl/>
        </w:rPr>
        <w:t xml:space="preserve">, </w:t>
      </w:r>
      <w:r w:rsidR="00523928">
        <w:rPr>
          <w:rFonts w:ascii="David" w:hAnsi="David" w:cs="David" w:hint="cs"/>
          <w:rtl/>
        </w:rPr>
        <w:t xml:space="preserve">תקנה </w:t>
      </w:r>
      <w:r>
        <w:rPr>
          <w:rFonts w:ascii="David" w:hAnsi="David" w:cs="David"/>
          <w:rtl/>
        </w:rPr>
        <w:t>119</w:t>
      </w:r>
      <w:r w:rsidR="00523928">
        <w:rPr>
          <w:rFonts w:ascii="David" w:hAnsi="David" w:cs="David" w:hint="cs"/>
          <w:rtl/>
        </w:rPr>
        <w:t xml:space="preserve"> </w:t>
      </w:r>
      <w:r w:rsidR="008779A5">
        <w:rPr>
          <w:rFonts w:ascii="David" w:hAnsi="David" w:cs="David" w:hint="cs"/>
          <w:rtl/>
        </w:rPr>
        <w:t>ש</w:t>
      </w:r>
      <w:r w:rsidR="00523928">
        <w:rPr>
          <w:rFonts w:ascii="David" w:hAnsi="David" w:cs="David" w:hint="cs"/>
          <w:rtl/>
        </w:rPr>
        <w:t>עניי</w:t>
      </w:r>
      <w:r w:rsidR="008779A5">
        <w:rPr>
          <w:rFonts w:ascii="David" w:hAnsi="David" w:cs="David" w:hint="cs"/>
          <w:rtl/>
        </w:rPr>
        <w:t>ה</w:t>
      </w:r>
      <w:r w:rsidR="00523928">
        <w:rPr>
          <w:rFonts w:ascii="David" w:hAnsi="David" w:cs="David" w:hint="cs"/>
          <w:rtl/>
        </w:rPr>
        <w:t xml:space="preserve"> החרמה והריסה של רכוש (נתייחס לתקנה זו בנפרד)</w:t>
      </w:r>
      <w:r>
        <w:rPr>
          <w:rFonts w:ascii="David" w:hAnsi="David" w:cs="David"/>
          <w:rtl/>
        </w:rPr>
        <w:t xml:space="preserve"> ו</w:t>
      </w:r>
      <w:r w:rsidR="00523928">
        <w:rPr>
          <w:rFonts w:ascii="David" w:hAnsi="David" w:cs="David" w:hint="cs"/>
          <w:rtl/>
        </w:rPr>
        <w:t>תקנה</w:t>
      </w:r>
      <w:r>
        <w:rPr>
          <w:rFonts w:ascii="David" w:hAnsi="David" w:cs="David"/>
          <w:rtl/>
        </w:rPr>
        <w:t xml:space="preserve"> 145</w:t>
      </w:r>
      <w:r w:rsidR="00523928">
        <w:rPr>
          <w:rFonts w:ascii="David" w:hAnsi="David" w:cs="David" w:hint="cs"/>
          <w:rtl/>
        </w:rPr>
        <w:t xml:space="preserve">, </w:t>
      </w:r>
      <w:r w:rsidR="008779A5">
        <w:rPr>
          <w:rFonts w:ascii="David" w:hAnsi="David" w:cs="David" w:hint="cs"/>
          <w:rtl/>
        </w:rPr>
        <w:t>ש</w:t>
      </w:r>
      <w:r w:rsidR="00523928">
        <w:rPr>
          <w:rFonts w:ascii="David" w:hAnsi="David" w:cs="David" w:hint="cs"/>
          <w:rtl/>
        </w:rPr>
        <w:t>עניי</w:t>
      </w:r>
      <w:r w:rsidR="008779A5">
        <w:rPr>
          <w:rFonts w:ascii="David" w:hAnsi="David" w:cs="David" w:hint="cs"/>
          <w:rtl/>
        </w:rPr>
        <w:t>ה</w:t>
      </w:r>
      <w:r w:rsidR="00523928">
        <w:rPr>
          <w:rFonts w:ascii="David" w:hAnsi="David" w:cs="David" w:hint="cs"/>
          <w:rtl/>
        </w:rPr>
        <w:t xml:space="preserve"> </w:t>
      </w:r>
      <w:r>
        <w:rPr>
          <w:rFonts w:ascii="David" w:hAnsi="David" w:cs="David" w:hint="cs"/>
          <w:rtl/>
        </w:rPr>
        <w:t>כניסה לקרקע ובדיקתה</w:t>
      </w:r>
      <w:r w:rsidR="00523928">
        <w:rPr>
          <w:rFonts w:ascii="David" w:hAnsi="David" w:cs="David" w:hint="cs"/>
          <w:rtl/>
        </w:rPr>
        <w:t>.</w:t>
      </w:r>
      <w:r w:rsidR="008172E8">
        <w:rPr>
          <w:rFonts w:ascii="David" w:hAnsi="David" w:cs="David" w:hint="cs"/>
          <w:rtl/>
        </w:rPr>
        <w:t xml:space="preserve"> לכן</w:t>
      </w:r>
      <w:r w:rsidR="007235F3">
        <w:rPr>
          <w:rFonts w:ascii="David" w:hAnsi="David" w:cs="David" w:hint="cs"/>
          <w:rtl/>
        </w:rPr>
        <w:t>,</w:t>
      </w:r>
      <w:r w:rsidR="008172E8">
        <w:rPr>
          <w:rFonts w:ascii="David" w:hAnsi="David" w:cs="David" w:hint="cs"/>
          <w:rtl/>
        </w:rPr>
        <w:t xml:space="preserve"> </w:t>
      </w:r>
      <w:r w:rsidR="007235F3">
        <w:rPr>
          <w:rFonts w:ascii="David" w:hAnsi="David" w:cs="David" w:hint="cs"/>
          <w:rtl/>
        </w:rPr>
        <w:t>למרות</w:t>
      </w:r>
      <w:r w:rsidR="008172E8">
        <w:rPr>
          <w:rFonts w:ascii="David" w:hAnsi="David" w:cs="David" w:hint="cs"/>
          <w:rtl/>
        </w:rPr>
        <w:t xml:space="preserve"> </w:t>
      </w:r>
      <w:r w:rsidR="005D55A8">
        <w:rPr>
          <w:rFonts w:ascii="David" w:hAnsi="David" w:cs="David" w:hint="cs"/>
          <w:rtl/>
        </w:rPr>
        <w:t>ש</w:t>
      </w:r>
      <w:r w:rsidR="008172E8">
        <w:rPr>
          <w:rFonts w:ascii="David" w:hAnsi="David" w:cs="David" w:hint="cs"/>
          <w:rtl/>
        </w:rPr>
        <w:t>הצעת החוק מבקשת לבטל את</w:t>
      </w:r>
      <w:r w:rsidR="005D55A8">
        <w:rPr>
          <w:rFonts w:ascii="David" w:hAnsi="David" w:cs="David" w:hint="cs"/>
          <w:rtl/>
        </w:rPr>
        <w:t xml:space="preserve"> העבירות הקבועות</w:t>
      </w:r>
      <w:r w:rsidR="008172E8">
        <w:rPr>
          <w:rFonts w:ascii="David" w:hAnsi="David" w:cs="David" w:hint="cs"/>
          <w:rtl/>
        </w:rPr>
        <w:t xml:space="preserve"> </w:t>
      </w:r>
      <w:r w:rsidR="00D44B2F">
        <w:rPr>
          <w:rFonts w:ascii="David" w:hAnsi="David" w:cs="David" w:hint="cs"/>
          <w:rtl/>
        </w:rPr>
        <w:t>ב</w:t>
      </w:r>
      <w:r w:rsidR="008172E8">
        <w:rPr>
          <w:rFonts w:ascii="David" w:hAnsi="David" w:cs="David"/>
          <w:rtl/>
        </w:rPr>
        <w:t>תקנות 127</w:t>
      </w:r>
      <w:r w:rsidR="008172E8">
        <w:rPr>
          <w:rFonts w:ascii="David" w:hAnsi="David" w:cs="David" w:hint="cs"/>
          <w:rtl/>
        </w:rPr>
        <w:t xml:space="preserve"> [השגת גבול ושוטטות]</w:t>
      </w:r>
      <w:r w:rsidR="008172E8">
        <w:rPr>
          <w:rFonts w:ascii="David" w:hAnsi="David" w:cs="David"/>
          <w:rtl/>
        </w:rPr>
        <w:t>, 139</w:t>
      </w:r>
      <w:r w:rsidR="008172E8">
        <w:rPr>
          <w:rFonts w:ascii="David" w:hAnsi="David" w:cs="David" w:hint="cs"/>
          <w:rtl/>
        </w:rPr>
        <w:t xml:space="preserve"> [פגיעות ברכוש]</w:t>
      </w:r>
      <w:r w:rsidR="008172E8">
        <w:rPr>
          <w:rFonts w:ascii="David" w:hAnsi="David" w:cs="David"/>
          <w:rtl/>
        </w:rPr>
        <w:t xml:space="preserve"> , 140</w:t>
      </w:r>
      <w:r w:rsidR="008172E8">
        <w:rPr>
          <w:rFonts w:ascii="David" w:hAnsi="David" w:cs="David" w:hint="cs"/>
          <w:rtl/>
        </w:rPr>
        <w:t xml:space="preserve"> [הפרעה] ו-</w:t>
      </w:r>
      <w:r w:rsidR="008172E8">
        <w:rPr>
          <w:rFonts w:ascii="David" w:hAnsi="David" w:cs="David"/>
          <w:rtl/>
        </w:rPr>
        <w:t>143</w:t>
      </w:r>
      <w:r w:rsidR="008172E8" w:rsidRPr="00FD14AF">
        <w:rPr>
          <w:rFonts w:ascii="David" w:hAnsi="David" w:cs="David"/>
          <w:rtl/>
        </w:rPr>
        <w:t>ד</w:t>
      </w:r>
      <w:r w:rsidR="008172E8">
        <w:rPr>
          <w:rFonts w:ascii="David" w:hAnsi="David" w:cs="David" w:hint="cs"/>
          <w:rtl/>
        </w:rPr>
        <w:t xml:space="preserve"> [מכשירי מסירה אלחוטיים]</w:t>
      </w:r>
      <w:r w:rsidR="008172E8" w:rsidRPr="00FD14AF">
        <w:rPr>
          <w:rFonts w:ascii="David" w:hAnsi="David" w:cs="David"/>
          <w:rtl/>
        </w:rPr>
        <w:t xml:space="preserve"> </w:t>
      </w:r>
      <w:r w:rsidR="005D55A8">
        <w:rPr>
          <w:rFonts w:ascii="David" w:hAnsi="David" w:cs="David"/>
          <w:rtl/>
        </w:rPr>
        <w:t>–</w:t>
      </w:r>
      <w:r w:rsidR="005D55A8">
        <w:rPr>
          <w:rFonts w:ascii="David" w:hAnsi="David" w:cs="David" w:hint="cs"/>
          <w:rtl/>
        </w:rPr>
        <w:t xml:space="preserve"> </w:t>
      </w:r>
      <w:r w:rsidR="00466879">
        <w:rPr>
          <w:rFonts w:ascii="David" w:hAnsi="David" w:cs="David" w:hint="cs"/>
          <w:rtl/>
        </w:rPr>
        <w:t>הכנסת</w:t>
      </w:r>
      <w:r w:rsidR="005D55A8">
        <w:rPr>
          <w:rFonts w:ascii="David" w:hAnsi="David" w:cs="David" w:hint="cs"/>
          <w:rtl/>
        </w:rPr>
        <w:t xml:space="preserve"> מתבקשת לבטלן</w:t>
      </w:r>
      <w:r w:rsidR="008172E8">
        <w:rPr>
          <w:rFonts w:ascii="David" w:hAnsi="David" w:cs="David" w:hint="cs"/>
          <w:rtl/>
        </w:rPr>
        <w:t xml:space="preserve"> </w:t>
      </w:r>
      <w:r w:rsidR="008172E8" w:rsidRPr="008172E8">
        <w:rPr>
          <w:rFonts w:ascii="David" w:hAnsi="David" w:cs="David"/>
          <w:b/>
          <w:bCs/>
          <w:u w:val="single"/>
          <w:rtl/>
        </w:rPr>
        <w:t>למעט</w:t>
      </w:r>
      <w:r w:rsidR="008172E8" w:rsidRPr="00FD14AF">
        <w:rPr>
          <w:rFonts w:ascii="David" w:hAnsi="David" w:cs="David"/>
          <w:rtl/>
        </w:rPr>
        <w:t xml:space="preserve"> לעניין הסמכויות הקבועות</w:t>
      </w:r>
      <w:r w:rsidR="008172E8">
        <w:rPr>
          <w:rFonts w:ascii="David" w:hAnsi="David" w:cs="David" w:hint="cs"/>
          <w:rtl/>
        </w:rPr>
        <w:t xml:space="preserve"> בתקנות שצוינו לעיל. משמע</w:t>
      </w:r>
      <w:r w:rsidR="005D55A8">
        <w:rPr>
          <w:rFonts w:ascii="David" w:hAnsi="David" w:cs="David" w:hint="cs"/>
          <w:rtl/>
        </w:rPr>
        <w:t xml:space="preserve">ות הדבר </w:t>
      </w:r>
      <w:r w:rsidR="005D55A8">
        <w:rPr>
          <w:rFonts w:ascii="David" w:hAnsi="David" w:cs="David"/>
          <w:rtl/>
        </w:rPr>
        <w:t>–</w:t>
      </w:r>
      <w:r w:rsidR="005D55A8">
        <w:rPr>
          <w:rFonts w:ascii="David" w:hAnsi="David" w:cs="David" w:hint="cs"/>
          <w:rtl/>
        </w:rPr>
        <w:t xml:space="preserve"> </w:t>
      </w:r>
      <w:r w:rsidR="008172E8">
        <w:rPr>
          <w:rFonts w:ascii="David" w:hAnsi="David" w:cs="David" w:hint="cs"/>
          <w:rtl/>
        </w:rPr>
        <w:t xml:space="preserve">לא ניתן יהיה להעמיד אדם לדין לפי תקנות אלה, אולם הסמכות לעצור אדם, לתפוס </w:t>
      </w:r>
      <w:r w:rsidR="005D55A8">
        <w:rPr>
          <w:rFonts w:ascii="David" w:hAnsi="David" w:cs="David" w:hint="cs"/>
          <w:rtl/>
        </w:rPr>
        <w:t xml:space="preserve">לו </w:t>
      </w:r>
      <w:r w:rsidR="008172E8">
        <w:rPr>
          <w:rFonts w:ascii="David" w:hAnsi="David" w:cs="David" w:hint="cs"/>
          <w:rtl/>
        </w:rPr>
        <w:t xml:space="preserve">רכוש, לחפש </w:t>
      </w:r>
      <w:r w:rsidR="005D55A8">
        <w:rPr>
          <w:rFonts w:ascii="David" w:hAnsi="David" w:cs="David" w:hint="cs"/>
          <w:rtl/>
        </w:rPr>
        <w:t xml:space="preserve">בכליו </w:t>
      </w:r>
      <w:r w:rsidR="008172E8">
        <w:rPr>
          <w:rFonts w:ascii="David" w:hAnsi="David" w:cs="David" w:hint="cs"/>
          <w:rtl/>
        </w:rPr>
        <w:t xml:space="preserve">ועוד, יישארו בתוקפן בהקשר של אותה עבירה. </w:t>
      </w:r>
    </w:p>
    <w:p w:rsidR="00466879" w:rsidRPr="00E1039E" w:rsidRDefault="00466879" w:rsidP="005D55A8">
      <w:pPr>
        <w:pStyle w:val="a3"/>
        <w:spacing w:line="360" w:lineRule="auto"/>
        <w:jc w:val="both"/>
        <w:rPr>
          <w:rFonts w:ascii="David" w:hAnsi="David" w:cs="David"/>
        </w:rPr>
      </w:pPr>
      <w:r>
        <w:rPr>
          <w:rFonts w:ascii="David" w:hAnsi="David" w:cs="David" w:hint="cs"/>
          <w:rtl/>
        </w:rPr>
        <w:t>יוער כי כ</w:t>
      </w:r>
      <w:r w:rsidR="007235F3">
        <w:rPr>
          <w:rFonts w:ascii="David" w:hAnsi="David" w:cs="David" w:hint="cs"/>
          <w:rtl/>
        </w:rPr>
        <w:t>ב</w:t>
      </w:r>
      <w:r>
        <w:rPr>
          <w:rFonts w:ascii="David" w:hAnsi="David" w:cs="David" w:hint="cs"/>
          <w:rtl/>
        </w:rPr>
        <w:t xml:space="preserve">מסגרת הדיונים בחוק המאבק בטרור, הוחלט כי יחוקק סעיף שמבהיר במפורש כי תקנה 74, בעניין תפיסה והחרמה, לא תהווה מסלול עוקף להוראות חוק המאבק בטרור בעניין חילוט רכוש הקשור לטרור. וככלל, יגובשו הנחיות היועץ המשפטי לממשלה שיבהירו כי ככל שנושא מוסדר בחוק המאבק בטרור, אין לעשות שימוש בהוראות תקנות ההגנה. </w:t>
      </w:r>
    </w:p>
    <w:p w:rsidR="00011960" w:rsidRPr="00011960" w:rsidRDefault="00011960" w:rsidP="00011960">
      <w:pPr>
        <w:pStyle w:val="a3"/>
        <w:numPr>
          <w:ilvl w:val="0"/>
          <w:numId w:val="1"/>
        </w:numPr>
        <w:spacing w:line="360" w:lineRule="auto"/>
        <w:jc w:val="both"/>
        <w:rPr>
          <w:rFonts w:ascii="David" w:hAnsi="David" w:cs="David"/>
        </w:rPr>
      </w:pPr>
      <w:r>
        <w:rPr>
          <w:rFonts w:ascii="David" w:hAnsi="David" w:cs="David" w:hint="cs"/>
          <w:b/>
          <w:bCs/>
          <w:u w:val="single"/>
          <w:rtl/>
        </w:rPr>
        <w:t>צנזורה</w:t>
      </w:r>
      <w:r w:rsidR="0016356B">
        <w:rPr>
          <w:rFonts w:ascii="David" w:hAnsi="David" w:cs="David" w:hint="cs"/>
          <w:rtl/>
        </w:rPr>
        <w:t>:</w:t>
      </w:r>
    </w:p>
    <w:p w:rsidR="00011960" w:rsidRDefault="00220E6D" w:rsidP="00466879">
      <w:pPr>
        <w:pStyle w:val="a3"/>
        <w:spacing w:line="360" w:lineRule="auto"/>
        <w:jc w:val="both"/>
        <w:rPr>
          <w:rFonts w:ascii="David" w:hAnsi="David" w:cs="David"/>
          <w:rtl/>
        </w:rPr>
      </w:pPr>
      <w:r>
        <w:rPr>
          <w:rFonts w:ascii="David" w:hAnsi="David" w:cs="David" w:hint="cs"/>
          <w:rtl/>
        </w:rPr>
        <w:t xml:space="preserve">מוצע שלא לבטל את </w:t>
      </w:r>
      <w:r w:rsidR="00011960">
        <w:rPr>
          <w:rFonts w:ascii="David" w:hAnsi="David" w:cs="David" w:hint="cs"/>
          <w:rtl/>
        </w:rPr>
        <w:t xml:space="preserve">חלק ח' לתקנות ההגנה (תקנות 86 עד 101) </w:t>
      </w:r>
      <w:r>
        <w:rPr>
          <w:rFonts w:ascii="David" w:hAnsi="David" w:cs="David" w:hint="cs"/>
          <w:rtl/>
        </w:rPr>
        <w:t>ש</w:t>
      </w:r>
      <w:r w:rsidR="00011960">
        <w:rPr>
          <w:rFonts w:ascii="David" w:hAnsi="David" w:cs="David" w:hint="cs"/>
          <w:rtl/>
        </w:rPr>
        <w:t>עניינו הצנזורה הצבאית, למעט</w:t>
      </w:r>
      <w:r>
        <w:rPr>
          <w:rFonts w:ascii="David" w:hAnsi="David" w:cs="David" w:hint="cs"/>
          <w:rtl/>
        </w:rPr>
        <w:t xml:space="preserve"> את תקנות</w:t>
      </w:r>
      <w:r w:rsidR="00011960">
        <w:rPr>
          <w:rFonts w:ascii="David" w:hAnsi="David" w:cs="David" w:hint="cs"/>
          <w:rtl/>
        </w:rPr>
        <w:t xml:space="preserve"> 94 עד 96, </w:t>
      </w:r>
      <w:r>
        <w:rPr>
          <w:rFonts w:ascii="David" w:hAnsi="David" w:cs="David" w:hint="cs"/>
          <w:rtl/>
        </w:rPr>
        <w:t xml:space="preserve">מהטעם </w:t>
      </w:r>
      <w:r w:rsidR="00011960">
        <w:rPr>
          <w:rFonts w:ascii="David" w:hAnsi="David" w:cs="David" w:hint="cs"/>
          <w:rtl/>
        </w:rPr>
        <w:t xml:space="preserve">שלא נעשה בהן שימוש. בדברי ההסבר נכתב כי המוסד "עדיין בעל חשיבות רבה", ולא הוסדר הסדר חילופי בחקיקה ישראלית מודרנית. </w:t>
      </w:r>
      <w:r w:rsidR="00E1039E">
        <w:rPr>
          <w:rFonts w:ascii="David" w:hAnsi="David" w:cs="David" w:hint="cs"/>
          <w:rtl/>
        </w:rPr>
        <w:t xml:space="preserve">עקב </w:t>
      </w:r>
      <w:r w:rsidR="00466879">
        <w:rPr>
          <w:rFonts w:ascii="David" w:hAnsi="David" w:cs="David" w:hint="cs"/>
          <w:rtl/>
        </w:rPr>
        <w:t>הדילמות שמעורר</w:t>
      </w:r>
      <w:r w:rsidR="00E1039E">
        <w:rPr>
          <w:rFonts w:ascii="David" w:hAnsi="David" w:cs="David" w:hint="cs"/>
          <w:rtl/>
        </w:rPr>
        <w:t xml:space="preserve"> מוסד הצנזורה היו בעבר (ובעיקר בשנות ה-90) מספר יוזמות והצעות חוק לשינוי </w:t>
      </w:r>
      <w:r w:rsidR="00466879">
        <w:rPr>
          <w:rFonts w:ascii="David" w:hAnsi="David" w:cs="David" w:hint="cs"/>
          <w:rtl/>
        </w:rPr>
        <w:t>מוסד זה</w:t>
      </w:r>
      <w:r w:rsidR="00E1039E">
        <w:rPr>
          <w:rFonts w:ascii="David" w:hAnsi="David" w:cs="David" w:hint="cs"/>
          <w:rtl/>
        </w:rPr>
        <w:t xml:space="preserve">, אולם אף אחת מאלה </w:t>
      </w:r>
      <w:r w:rsidR="005C6644">
        <w:rPr>
          <w:rFonts w:ascii="David" w:hAnsi="David" w:cs="David" w:hint="cs"/>
          <w:rtl/>
        </w:rPr>
        <w:t xml:space="preserve">לא </w:t>
      </w:r>
      <w:r w:rsidR="00E1039E">
        <w:rPr>
          <w:rFonts w:ascii="David" w:hAnsi="David" w:cs="David" w:hint="cs"/>
          <w:rtl/>
        </w:rPr>
        <w:t>נשא</w:t>
      </w:r>
      <w:r w:rsidR="005C6644">
        <w:rPr>
          <w:rFonts w:ascii="David" w:hAnsi="David" w:cs="David" w:hint="cs"/>
          <w:rtl/>
        </w:rPr>
        <w:t>ה</w:t>
      </w:r>
      <w:r w:rsidR="00E1039E">
        <w:rPr>
          <w:rFonts w:ascii="David" w:hAnsi="David" w:cs="David" w:hint="cs"/>
          <w:rtl/>
        </w:rPr>
        <w:t xml:space="preserve"> פרי. לכן, ללא הסדר חילופי, הממשלה מבקשת שלא לבטל את חלק ח'.</w:t>
      </w:r>
    </w:p>
    <w:p w:rsidR="0016356B" w:rsidRPr="008479F8" w:rsidRDefault="008479F8" w:rsidP="0016356B">
      <w:pPr>
        <w:pStyle w:val="a3"/>
        <w:numPr>
          <w:ilvl w:val="0"/>
          <w:numId w:val="1"/>
        </w:numPr>
        <w:spacing w:line="360" w:lineRule="auto"/>
        <w:jc w:val="both"/>
        <w:rPr>
          <w:rFonts w:ascii="David" w:hAnsi="David" w:cs="David"/>
        </w:rPr>
      </w:pPr>
      <w:r>
        <w:rPr>
          <w:rFonts w:ascii="David" w:hAnsi="David" w:cs="David" w:hint="cs"/>
          <w:b/>
          <w:bCs/>
          <w:u w:val="single"/>
          <w:rtl/>
        </w:rPr>
        <w:t>הריסת בתים</w:t>
      </w:r>
      <w:r w:rsidR="0016356B" w:rsidRPr="008479F8">
        <w:rPr>
          <w:rFonts w:ascii="David" w:hAnsi="David" w:cs="David" w:hint="cs"/>
          <w:rtl/>
        </w:rPr>
        <w:t>:</w:t>
      </w:r>
    </w:p>
    <w:p w:rsidR="00096D9C" w:rsidRDefault="0016356B" w:rsidP="00CD04D2">
      <w:pPr>
        <w:pStyle w:val="a3"/>
        <w:spacing w:line="360" w:lineRule="auto"/>
        <w:jc w:val="both"/>
        <w:rPr>
          <w:rFonts w:ascii="David" w:hAnsi="David" w:cs="David"/>
          <w:rtl/>
        </w:rPr>
      </w:pPr>
      <w:r>
        <w:rPr>
          <w:rFonts w:ascii="David" w:hAnsi="David" w:cs="David" w:hint="cs"/>
          <w:rtl/>
        </w:rPr>
        <w:t>מוצ</w:t>
      </w:r>
      <w:r w:rsidR="00CD04D2">
        <w:rPr>
          <w:rFonts w:ascii="David" w:hAnsi="David" w:cs="David" w:hint="cs"/>
          <w:rtl/>
        </w:rPr>
        <w:t>ע</w:t>
      </w:r>
      <w:r>
        <w:rPr>
          <w:rFonts w:ascii="David" w:hAnsi="David" w:cs="David" w:hint="cs"/>
          <w:rtl/>
        </w:rPr>
        <w:t xml:space="preserve"> להשאיר בתוקף את תקנה 119, </w:t>
      </w:r>
      <w:r w:rsidR="00F85CBB">
        <w:rPr>
          <w:rFonts w:ascii="David" w:hAnsi="David" w:cs="David" w:hint="cs"/>
          <w:rtl/>
        </w:rPr>
        <w:t xml:space="preserve">המעניקה סמכות למפקד הצבאי להורות על החרמה והריסה של רכוש, ואשר משמשת היום כמקור סמכות להריסת בתים של </w:t>
      </w:r>
      <w:r w:rsidR="00096D9C">
        <w:rPr>
          <w:rFonts w:ascii="David" w:hAnsi="David" w:cs="David" w:hint="cs"/>
          <w:rtl/>
        </w:rPr>
        <w:t>מחבלים שביצעו מעשי טרור, כאמצעי הרתעתי.</w:t>
      </w:r>
    </w:p>
    <w:p w:rsidR="001C0EEB" w:rsidRPr="007235F3" w:rsidRDefault="00CD35DF" w:rsidP="00E54966">
      <w:pPr>
        <w:pStyle w:val="a3"/>
        <w:spacing w:line="360" w:lineRule="auto"/>
        <w:jc w:val="both"/>
        <w:rPr>
          <w:rFonts w:ascii="David" w:hAnsi="David" w:cs="David"/>
          <w:rtl/>
        </w:rPr>
      </w:pPr>
      <w:r>
        <w:rPr>
          <w:rFonts w:ascii="David" w:hAnsi="David" w:cs="David" w:hint="cs"/>
          <w:rtl/>
        </w:rPr>
        <w:t>בשנים האחרונות</w:t>
      </w:r>
      <w:r w:rsidR="003264D2">
        <w:rPr>
          <w:rFonts w:ascii="David" w:hAnsi="David" w:cs="David" w:hint="cs"/>
          <w:rtl/>
        </w:rPr>
        <w:t xml:space="preserve"> הנושא של השימוש ה</w:t>
      </w:r>
      <w:r w:rsidR="009B1D4F">
        <w:rPr>
          <w:rFonts w:ascii="David" w:hAnsi="David" w:cs="David" w:hint="cs"/>
          <w:rtl/>
        </w:rPr>
        <w:t xml:space="preserve">סמכות לפי תקנה 119 עלה לדיון ציבורי ושיפוטי, בעקבות ההחלטה של המדינה לחזור ולעשות שימוש בסמכות לאחר כעשור בו השימוש נפסק. </w:t>
      </w:r>
      <w:r w:rsidR="00C004CF" w:rsidRPr="007235F3">
        <w:rPr>
          <w:rFonts w:ascii="David" w:hAnsi="David" w:cs="David"/>
          <w:rtl/>
        </w:rPr>
        <w:t xml:space="preserve">כיום, </w:t>
      </w:r>
      <w:r w:rsidR="008479F8" w:rsidRPr="007235F3">
        <w:rPr>
          <w:rFonts w:ascii="David" w:hAnsi="David" w:cs="David"/>
          <w:rtl/>
        </w:rPr>
        <w:t xml:space="preserve">ההלכה הפסוקה מאת בית המשפט העליון היא </w:t>
      </w:r>
      <w:r w:rsidR="00B84D96" w:rsidRPr="007235F3">
        <w:rPr>
          <w:rFonts w:ascii="David" w:hAnsi="David" w:cs="David"/>
          <w:rtl/>
        </w:rPr>
        <w:t xml:space="preserve">כי למפקד הצבאי יש סמכות לפעול לפי תקנה 119, </w:t>
      </w:r>
      <w:r w:rsidR="00CD04D2">
        <w:rPr>
          <w:rFonts w:ascii="David" w:hAnsi="David" w:cs="David" w:hint="cs"/>
          <w:rtl/>
        </w:rPr>
        <w:t>כאשר</w:t>
      </w:r>
      <w:r w:rsidR="00B84D96" w:rsidRPr="007235F3">
        <w:rPr>
          <w:rFonts w:ascii="David" w:hAnsi="David" w:cs="David"/>
          <w:rtl/>
        </w:rPr>
        <w:t xml:space="preserve"> מידתיות ה</w:t>
      </w:r>
      <w:r w:rsidR="003264D2">
        <w:rPr>
          <w:rFonts w:ascii="David" w:hAnsi="David" w:cs="David" w:hint="cs"/>
          <w:rtl/>
        </w:rPr>
        <w:t>פעלת הסמכות</w:t>
      </w:r>
      <w:r w:rsidR="00B84D96" w:rsidRPr="007235F3">
        <w:rPr>
          <w:rFonts w:ascii="David" w:hAnsi="David" w:cs="David"/>
          <w:rtl/>
        </w:rPr>
        <w:t xml:space="preserve"> עומדת לביקורת שיפוטית בכל מקרה, בהתאם לנסיבות</w:t>
      </w:r>
      <w:r w:rsidR="001C0EEB" w:rsidRPr="007235F3">
        <w:rPr>
          <w:rFonts w:ascii="David" w:hAnsi="David" w:cs="David"/>
          <w:rtl/>
        </w:rPr>
        <w:t xml:space="preserve">. כפי </w:t>
      </w:r>
      <w:r w:rsidR="00E54966">
        <w:rPr>
          <w:rFonts w:ascii="David" w:hAnsi="David" w:cs="David" w:hint="cs"/>
          <w:rtl/>
        </w:rPr>
        <w:t>שקבעה</w:t>
      </w:r>
      <w:r w:rsidR="001C0EEB" w:rsidRPr="007235F3">
        <w:rPr>
          <w:rFonts w:ascii="David" w:hAnsi="David" w:cs="David"/>
          <w:rtl/>
        </w:rPr>
        <w:t xml:space="preserve"> הנשיאה נאור בדנג"צ 360/15</w:t>
      </w:r>
      <w:r w:rsidR="004E726A" w:rsidRPr="007235F3">
        <w:rPr>
          <w:rFonts w:ascii="David" w:hAnsi="David" w:cs="David"/>
          <w:rtl/>
        </w:rPr>
        <w:t>:</w:t>
      </w:r>
    </w:p>
    <w:p w:rsidR="001C0EEB" w:rsidRPr="00756869" w:rsidRDefault="001C0EEB" w:rsidP="00E54966">
      <w:pPr>
        <w:pStyle w:val="a3"/>
        <w:ind w:left="1440"/>
        <w:jc w:val="both"/>
        <w:rPr>
          <w:rFonts w:ascii="David" w:hAnsi="David" w:cs="David"/>
          <w:rtl/>
        </w:rPr>
      </w:pPr>
      <w:r w:rsidRPr="00756869">
        <w:rPr>
          <w:rFonts w:ascii="Garamond" w:hAnsi="Garamond" w:cs="David" w:hint="cs"/>
          <w:color w:val="000000"/>
          <w:spacing w:val="10"/>
          <w:rtl/>
        </w:rPr>
        <w:t>"</w:t>
      </w:r>
      <w:r w:rsidRPr="00756869">
        <w:rPr>
          <w:rFonts w:cs="David" w:hint="cs"/>
          <w:color w:val="000000"/>
          <w:spacing w:val="10"/>
          <w:rtl/>
        </w:rPr>
        <w:t>אין ספק שהסוגיה של הריסת בתים מעוררת "שאלות קשות" ואף לעתים "דילמה מוסרית" (פס' ט"ז לפסק</w:t>
      </w:r>
      <w:r w:rsidRPr="00756869">
        <w:rPr>
          <w:rFonts w:ascii="Garamond" w:hAnsi="Garamond" w:cs="David" w:hint="cs"/>
          <w:color w:val="000000"/>
          <w:vertAlign w:val="superscript"/>
        </w:rPr>
        <w:t>-</w:t>
      </w:r>
      <w:r w:rsidRPr="00756869">
        <w:rPr>
          <w:rFonts w:cs="David" w:hint="cs"/>
          <w:color w:val="000000"/>
          <w:spacing w:val="10"/>
          <w:rtl/>
        </w:rPr>
        <w:t>דינו של השופט</w:t>
      </w:r>
      <w:r w:rsidRPr="00756869">
        <w:rPr>
          <w:rStyle w:val="apple-converted-space"/>
          <w:rFonts w:cs="David" w:hint="cs"/>
          <w:color w:val="000000"/>
          <w:spacing w:val="10"/>
          <w:rtl/>
        </w:rPr>
        <w:t> </w:t>
      </w:r>
      <w:r w:rsidRPr="00756869">
        <w:rPr>
          <w:rFonts w:cs="David" w:hint="cs"/>
          <w:color w:val="000000"/>
          <w:rtl/>
        </w:rPr>
        <w:t>א' רובינשטיין</w:t>
      </w:r>
      <w:r>
        <w:rPr>
          <w:rFonts w:cs="David" w:hint="cs"/>
          <w:color w:val="000000"/>
          <w:spacing w:val="10"/>
          <w:rtl/>
        </w:rPr>
        <w:t xml:space="preserve"> [</w:t>
      </w:r>
      <w:r w:rsidRPr="00523928">
        <w:rPr>
          <w:rFonts w:cs="David"/>
          <w:color w:val="000000"/>
          <w:spacing w:val="10"/>
          <w:rtl/>
        </w:rPr>
        <w:t>בבג"ץ 8091/14</w:t>
      </w:r>
      <w:r>
        <w:rPr>
          <w:rFonts w:cs="David" w:hint="cs"/>
          <w:color w:val="000000"/>
          <w:spacing w:val="10"/>
          <w:rtl/>
        </w:rPr>
        <w:t xml:space="preserve">].) </w:t>
      </w:r>
      <w:r w:rsidRPr="00756869">
        <w:rPr>
          <w:rFonts w:cs="David" w:hint="cs"/>
          <w:color w:val="000000"/>
          <w:spacing w:val="10"/>
          <w:rtl/>
        </w:rPr>
        <w:t>לנוכח האמור ובשים לב לפגיעה הקשה שגורמת הריסתו של בית לזכויותיהם של המתגוררים בו, נקבע בפסיקה כי יש לעשות זאת במשורה (</w:t>
      </w:r>
      <w:r w:rsidR="00E54966">
        <w:rPr>
          <w:rFonts w:cs="David" w:hint="cs"/>
          <w:color w:val="000000"/>
          <w:spacing w:val="10"/>
          <w:rtl/>
        </w:rPr>
        <w:t>...</w:t>
      </w:r>
      <w:r w:rsidRPr="00756869">
        <w:rPr>
          <w:rFonts w:cs="David" w:hint="cs"/>
          <w:color w:val="000000"/>
          <w:spacing w:val="10"/>
          <w:rtl/>
        </w:rPr>
        <w:t>), במקרים שבהם תכלית ההרתעה אכן מוגשמת ובכפוף לדרישת המידתיות</w:t>
      </w:r>
      <w:r w:rsidR="00E54966">
        <w:rPr>
          <w:rFonts w:cs="David" w:hint="cs"/>
          <w:color w:val="000000"/>
          <w:spacing w:val="10"/>
          <w:rtl/>
        </w:rPr>
        <w:t>..</w:t>
      </w:r>
      <w:r w:rsidR="00B27E27">
        <w:rPr>
          <w:rFonts w:cs="David" w:hint="cs"/>
          <w:color w:val="000000"/>
          <w:spacing w:val="10"/>
          <w:rtl/>
        </w:rPr>
        <w:t>.</w:t>
      </w:r>
      <w:r w:rsidRPr="00756869">
        <w:rPr>
          <w:rFonts w:cs="David" w:hint="cs"/>
          <w:color w:val="000000"/>
          <w:spacing w:val="10"/>
          <w:rtl/>
        </w:rPr>
        <w:t>"</w:t>
      </w:r>
    </w:p>
    <w:p w:rsidR="005C6644" w:rsidRDefault="005C6644" w:rsidP="001C0EEB">
      <w:pPr>
        <w:pStyle w:val="a3"/>
        <w:spacing w:line="360" w:lineRule="auto"/>
        <w:jc w:val="both"/>
        <w:rPr>
          <w:rFonts w:ascii="David" w:hAnsi="David" w:cs="David"/>
          <w:rtl/>
        </w:rPr>
      </w:pPr>
    </w:p>
    <w:p w:rsidR="008479F8" w:rsidRDefault="00B84D96" w:rsidP="00B27E27">
      <w:pPr>
        <w:pStyle w:val="a3"/>
        <w:spacing w:line="360" w:lineRule="auto"/>
        <w:jc w:val="both"/>
        <w:rPr>
          <w:rFonts w:ascii="David" w:hAnsi="David" w:cs="David"/>
          <w:rtl/>
        </w:rPr>
      </w:pPr>
      <w:r>
        <w:rPr>
          <w:rFonts w:ascii="David" w:hAnsi="David" w:cs="David" w:hint="cs"/>
          <w:rtl/>
        </w:rPr>
        <w:t xml:space="preserve"> (</w:t>
      </w:r>
      <w:r w:rsidR="001C0EEB">
        <w:rPr>
          <w:rFonts w:ascii="David" w:hAnsi="David" w:cs="David" w:hint="cs"/>
          <w:rtl/>
        </w:rPr>
        <w:t>ו</w:t>
      </w:r>
      <w:r>
        <w:rPr>
          <w:rFonts w:ascii="David" w:hAnsi="David" w:cs="David" w:hint="cs"/>
          <w:rtl/>
        </w:rPr>
        <w:t xml:space="preserve">ר' </w:t>
      </w:r>
      <w:r w:rsidR="005C6644">
        <w:rPr>
          <w:rFonts w:ascii="David" w:hAnsi="David" w:cs="David" w:hint="cs"/>
          <w:rtl/>
        </w:rPr>
        <w:t xml:space="preserve">גם </w:t>
      </w:r>
      <w:r>
        <w:rPr>
          <w:rFonts w:ascii="David" w:hAnsi="David" w:cs="David" w:hint="cs"/>
          <w:rtl/>
        </w:rPr>
        <w:t>לדוגמא פסק הדין ב</w:t>
      </w:r>
      <w:r w:rsidRPr="00B84D96">
        <w:rPr>
          <w:rFonts w:ascii="David" w:hAnsi="David" w:cs="David"/>
          <w:rtl/>
        </w:rPr>
        <w:t>בג"ץ  1802/16</w:t>
      </w:r>
      <w:r>
        <w:rPr>
          <w:rFonts w:ascii="David" w:hAnsi="David" w:cs="David" w:hint="cs"/>
          <w:rtl/>
        </w:rPr>
        <w:t xml:space="preserve">, אבו גוש נ' מפקד כוחות צה"ל בגדה המערבית, שניתן בחודש אפריל). לצד זאת, </w:t>
      </w:r>
      <w:r w:rsidR="00CD04D2">
        <w:rPr>
          <w:rFonts w:ascii="David" w:hAnsi="David" w:cs="David" w:hint="cs"/>
          <w:rtl/>
        </w:rPr>
        <w:t>נשמעו בבית המשפט העליון דעות מיעוט שקוראות</w:t>
      </w:r>
      <w:r>
        <w:rPr>
          <w:rFonts w:ascii="David" w:hAnsi="David" w:cs="David" w:hint="cs"/>
          <w:rtl/>
        </w:rPr>
        <w:t xml:space="preserve"> לקיים בירור יסודי </w:t>
      </w:r>
      <w:r w:rsidR="00B27E27">
        <w:rPr>
          <w:rFonts w:ascii="David" w:hAnsi="David" w:cs="David" w:hint="cs"/>
          <w:rtl/>
        </w:rPr>
        <w:t>ב</w:t>
      </w:r>
      <w:r>
        <w:rPr>
          <w:rFonts w:ascii="David" w:hAnsi="David" w:cs="David" w:hint="cs"/>
          <w:rtl/>
        </w:rPr>
        <w:t xml:space="preserve">שאלות </w:t>
      </w:r>
      <w:r w:rsidR="00756869">
        <w:rPr>
          <w:rFonts w:ascii="David" w:hAnsi="David" w:cs="David" w:hint="cs"/>
          <w:rtl/>
        </w:rPr>
        <w:t>שמעורר</w:t>
      </w:r>
      <w:r w:rsidR="00CD04D2">
        <w:rPr>
          <w:rFonts w:ascii="David" w:hAnsi="David" w:cs="David" w:hint="cs"/>
          <w:rtl/>
        </w:rPr>
        <w:t>ת הסמכות שנקבעה</w:t>
      </w:r>
      <w:r>
        <w:rPr>
          <w:rFonts w:ascii="David" w:hAnsi="David" w:cs="David" w:hint="cs"/>
          <w:rtl/>
        </w:rPr>
        <w:t xml:space="preserve"> בתקנה 119</w:t>
      </w:r>
      <w:r w:rsidR="00CD04D2">
        <w:rPr>
          <w:rFonts w:ascii="David" w:hAnsi="David" w:cs="David" w:hint="cs"/>
          <w:rtl/>
        </w:rPr>
        <w:t>, לאור ה</w:t>
      </w:r>
      <w:r w:rsidR="00CD04D2" w:rsidRPr="00DB4EBE">
        <w:rPr>
          <w:rFonts w:ascii="David" w:hAnsi="David" w:cs="David"/>
          <w:rtl/>
        </w:rPr>
        <w:t xml:space="preserve">משפט הבינלאומי ההומניטרי ומשפט זכויות האדם הבינלאומי, </w:t>
      </w:r>
      <w:r w:rsidR="00CD04D2">
        <w:rPr>
          <w:rFonts w:ascii="David" w:hAnsi="David" w:cs="David" w:hint="cs"/>
          <w:rtl/>
        </w:rPr>
        <w:t xml:space="preserve">ובעיקר </w:t>
      </w:r>
      <w:r w:rsidR="00CD04D2" w:rsidRPr="00DB4EBE">
        <w:rPr>
          <w:rFonts w:ascii="David" w:hAnsi="David" w:cs="David"/>
          <w:rtl/>
        </w:rPr>
        <w:t>האיסור על ענישה קולקטיבית</w:t>
      </w:r>
      <w:r w:rsidR="00CD04D2">
        <w:rPr>
          <w:rFonts w:ascii="David" w:hAnsi="David" w:cs="David" w:hint="cs"/>
          <w:rtl/>
        </w:rPr>
        <w:t xml:space="preserve"> </w:t>
      </w:r>
      <w:r>
        <w:rPr>
          <w:rFonts w:ascii="David" w:hAnsi="David" w:cs="David" w:hint="cs"/>
          <w:rtl/>
        </w:rPr>
        <w:t xml:space="preserve">(ור' לדוגמא בג"ץ 7220/15, עליוה נ' מפקד כוחות צה"ל בגדה המערבית). </w:t>
      </w:r>
      <w:r w:rsidR="00CD04D2">
        <w:rPr>
          <w:rFonts w:ascii="David" w:hAnsi="David" w:cs="David" w:hint="cs"/>
          <w:rtl/>
        </w:rPr>
        <w:t xml:space="preserve">נטען </w:t>
      </w:r>
      <w:r w:rsidR="00CD04D2">
        <w:rPr>
          <w:rFonts w:ascii="David" w:hAnsi="David" w:cs="David" w:hint="cs"/>
          <w:rtl/>
        </w:rPr>
        <w:lastRenderedPageBreak/>
        <w:t>עוד כי</w:t>
      </w:r>
      <w:r w:rsidR="00756869">
        <w:rPr>
          <w:rFonts w:ascii="David" w:hAnsi="David" w:cs="David" w:hint="cs"/>
          <w:rtl/>
        </w:rPr>
        <w:t xml:space="preserve"> יש לדון ב</w:t>
      </w:r>
      <w:r w:rsidR="00756869" w:rsidRPr="00756869">
        <w:rPr>
          <w:rFonts w:ascii="David" w:hAnsi="David" w:cs="David"/>
          <w:rtl/>
        </w:rPr>
        <w:t xml:space="preserve">השפעת חוקי היסוד, בעיקר </w:t>
      </w:r>
      <w:r w:rsidR="00756869">
        <w:rPr>
          <w:rFonts w:ascii="David" w:hAnsi="David" w:cs="David" w:hint="cs"/>
          <w:rtl/>
        </w:rPr>
        <w:t>בעניין</w:t>
      </w:r>
      <w:r w:rsidR="00756869" w:rsidRPr="00756869">
        <w:rPr>
          <w:rFonts w:ascii="David" w:hAnsi="David" w:cs="David"/>
          <w:rtl/>
        </w:rPr>
        <w:t xml:space="preserve"> של מידתיות,</w:t>
      </w:r>
      <w:r w:rsidR="00756869">
        <w:rPr>
          <w:rFonts w:ascii="David" w:hAnsi="David" w:cs="David" w:hint="cs"/>
          <w:rtl/>
        </w:rPr>
        <w:t xml:space="preserve"> על תקנה 119. </w:t>
      </w:r>
      <w:r w:rsidR="001C0EEB">
        <w:rPr>
          <w:rFonts w:ascii="David" w:hAnsi="David" w:cs="David" w:hint="cs"/>
          <w:rtl/>
        </w:rPr>
        <w:t xml:space="preserve">גם השאלה העובדתית </w:t>
      </w:r>
      <w:r w:rsidR="001C0EEB">
        <w:rPr>
          <w:rFonts w:ascii="David" w:hAnsi="David" w:cs="David"/>
          <w:rtl/>
        </w:rPr>
        <w:t>–</w:t>
      </w:r>
      <w:r w:rsidR="001C0EEB">
        <w:rPr>
          <w:rFonts w:ascii="David" w:hAnsi="David" w:cs="David" w:hint="cs"/>
          <w:rtl/>
        </w:rPr>
        <w:t xml:space="preserve"> האם השימוש בתקנה 119 אכן משיג את התוצאה ההרתעתית המבוקשת </w:t>
      </w:r>
      <w:r w:rsidR="001C0EEB">
        <w:rPr>
          <w:rFonts w:ascii="David" w:hAnsi="David" w:cs="David"/>
          <w:rtl/>
        </w:rPr>
        <w:t>–</w:t>
      </w:r>
      <w:r w:rsidR="001C0EEB">
        <w:rPr>
          <w:rFonts w:ascii="David" w:hAnsi="David" w:cs="David" w:hint="cs"/>
          <w:rtl/>
        </w:rPr>
        <w:t xml:space="preserve"> עולה לעתים בדיונים בבית המשפט</w:t>
      </w:r>
      <w:r w:rsidR="00B27E27">
        <w:rPr>
          <w:rFonts w:ascii="David" w:hAnsi="David" w:cs="David" w:hint="cs"/>
          <w:rtl/>
        </w:rPr>
        <w:t xml:space="preserve"> (ור' לדוגמא ב</w:t>
      </w:r>
      <w:r w:rsidR="00B27E27" w:rsidRPr="00B27E27">
        <w:rPr>
          <w:rFonts w:ascii="David" w:hAnsi="David" w:cs="David"/>
          <w:rtl/>
        </w:rPr>
        <w:t xml:space="preserve">בג"ץ </w:t>
      </w:r>
      <w:r w:rsidR="00B27E27">
        <w:rPr>
          <w:rFonts w:ascii="David" w:hAnsi="David" w:cs="David" w:hint="cs"/>
          <w:rtl/>
        </w:rPr>
        <w:t xml:space="preserve">1336/16, אשרף נ' מפקד פיקוד העורף, ור' גם את דברי </w:t>
      </w:r>
      <w:r w:rsidR="00B27E27" w:rsidRPr="007235F3">
        <w:rPr>
          <w:rFonts w:ascii="David" w:hAnsi="David" w:cs="David"/>
          <w:rtl/>
        </w:rPr>
        <w:t>הנשיאה נאור בדנג"צ 360/15</w:t>
      </w:r>
      <w:r w:rsidR="00B27E27">
        <w:rPr>
          <w:rFonts w:ascii="David" w:hAnsi="David" w:cs="David" w:hint="cs"/>
          <w:rtl/>
        </w:rPr>
        <w:t>)</w:t>
      </w:r>
      <w:r w:rsidR="001C0EEB">
        <w:rPr>
          <w:rFonts w:ascii="David" w:hAnsi="David" w:cs="David" w:hint="cs"/>
          <w:rtl/>
        </w:rPr>
        <w:t xml:space="preserve">. </w:t>
      </w:r>
      <w:r w:rsidR="005C6644">
        <w:rPr>
          <w:rFonts w:ascii="David" w:hAnsi="David" w:cs="David" w:hint="cs"/>
          <w:rtl/>
        </w:rPr>
        <w:t xml:space="preserve">יוער כי </w:t>
      </w:r>
      <w:r w:rsidR="00C229B2">
        <w:rPr>
          <w:rFonts w:ascii="David" w:hAnsi="David" w:cs="David" w:hint="cs"/>
          <w:rtl/>
        </w:rPr>
        <w:t xml:space="preserve">אין זה דבר </w:t>
      </w:r>
      <w:r w:rsidR="007235F3">
        <w:rPr>
          <w:rFonts w:ascii="David" w:hAnsi="David" w:cs="David" w:hint="cs"/>
          <w:rtl/>
        </w:rPr>
        <w:t xml:space="preserve">של </w:t>
      </w:r>
      <w:r w:rsidR="00C229B2">
        <w:rPr>
          <w:rFonts w:ascii="David" w:hAnsi="David" w:cs="David" w:hint="cs"/>
          <w:rtl/>
        </w:rPr>
        <w:t>יום ביומו שתקנות ההגנה מונחות לדיון על שולחן ועדת החוקה, ולטעמנו יש מקום לקיים דיון ציבורי בכנסת בשאלות שעלו במשך השנים בנושא זה, בין במסגרת הצעת חוק זו ובין בדיונים בעתיד.</w:t>
      </w:r>
    </w:p>
    <w:p w:rsidR="008479F8" w:rsidRDefault="008479F8" w:rsidP="008479F8">
      <w:pPr>
        <w:pStyle w:val="a3"/>
        <w:spacing w:line="360" w:lineRule="auto"/>
        <w:jc w:val="both"/>
        <w:rPr>
          <w:rFonts w:ascii="David" w:hAnsi="David" w:cs="David"/>
          <w:rtl/>
        </w:rPr>
      </w:pPr>
    </w:p>
    <w:p w:rsidR="00CD35DF" w:rsidRDefault="00C229B2" w:rsidP="001C0EEB">
      <w:pPr>
        <w:pStyle w:val="a3"/>
        <w:spacing w:line="360" w:lineRule="auto"/>
        <w:jc w:val="both"/>
        <w:rPr>
          <w:rFonts w:ascii="David" w:hAnsi="David" w:cs="David"/>
          <w:rtl/>
        </w:rPr>
      </w:pPr>
      <w:r>
        <w:rPr>
          <w:rFonts w:ascii="David" w:hAnsi="David" w:cs="David" w:hint="cs"/>
          <w:rtl/>
        </w:rPr>
        <w:t xml:space="preserve">כאמור, </w:t>
      </w:r>
      <w:r w:rsidR="00CD35DF">
        <w:rPr>
          <w:rFonts w:ascii="David" w:hAnsi="David" w:cs="David" w:hint="cs"/>
          <w:rtl/>
        </w:rPr>
        <w:t xml:space="preserve">הממשלה מבקשת שלא לבטל תקנה זו, שכן אין לה תחליף בחקיקה הישראלית. </w:t>
      </w:r>
      <w:r w:rsidR="004543DC">
        <w:rPr>
          <w:rFonts w:ascii="David" w:hAnsi="David" w:cs="David" w:hint="cs"/>
          <w:rtl/>
        </w:rPr>
        <w:t xml:space="preserve">לכן, </w:t>
      </w:r>
      <w:r w:rsidR="006B1210" w:rsidRPr="006B1210">
        <w:rPr>
          <w:rFonts w:ascii="David" w:hAnsi="David" w:cs="David"/>
          <w:rtl/>
        </w:rPr>
        <w:t xml:space="preserve">הסמכות להפעלתה </w:t>
      </w:r>
      <w:r w:rsidR="006B1210">
        <w:rPr>
          <w:rFonts w:ascii="David" w:hAnsi="David" w:cs="David" w:hint="cs"/>
          <w:rtl/>
        </w:rPr>
        <w:t>תישאר</w:t>
      </w:r>
      <w:r w:rsidR="006B1210" w:rsidRPr="006B1210">
        <w:rPr>
          <w:rFonts w:ascii="David" w:hAnsi="David" w:cs="David"/>
          <w:rtl/>
        </w:rPr>
        <w:t xml:space="preserve">, ושיקול הדעת </w:t>
      </w:r>
      <w:r w:rsidR="006B1210">
        <w:rPr>
          <w:rFonts w:ascii="David" w:hAnsi="David" w:cs="David" w:hint="cs"/>
          <w:rtl/>
        </w:rPr>
        <w:t>ו</w:t>
      </w:r>
      <w:r w:rsidR="006B1210" w:rsidRPr="006B1210">
        <w:rPr>
          <w:rFonts w:ascii="David" w:hAnsi="David" w:cs="David"/>
          <w:rtl/>
        </w:rPr>
        <w:t xml:space="preserve">הסבירות </w:t>
      </w:r>
      <w:r w:rsidR="006B1210">
        <w:rPr>
          <w:rFonts w:ascii="David" w:hAnsi="David" w:cs="David" w:hint="cs"/>
          <w:rtl/>
        </w:rPr>
        <w:t xml:space="preserve">של הרשויות בהפעלת הסמכות </w:t>
      </w:r>
      <w:r w:rsidR="001C0EEB">
        <w:rPr>
          <w:rFonts w:ascii="David" w:hAnsi="David" w:cs="David" w:hint="cs"/>
          <w:rtl/>
        </w:rPr>
        <w:t>ימשיכו ככל הנראה להיות השאלות</w:t>
      </w:r>
      <w:r w:rsidR="006B1210">
        <w:rPr>
          <w:rFonts w:ascii="David" w:hAnsi="David" w:cs="David" w:hint="cs"/>
          <w:rtl/>
        </w:rPr>
        <w:t xml:space="preserve"> המרכזי</w:t>
      </w:r>
      <w:r w:rsidR="001C0EEB">
        <w:rPr>
          <w:rFonts w:ascii="David" w:hAnsi="David" w:cs="David" w:hint="cs"/>
          <w:rtl/>
        </w:rPr>
        <w:t>ו</w:t>
      </w:r>
      <w:r w:rsidR="006B1210">
        <w:rPr>
          <w:rFonts w:ascii="David" w:hAnsi="David" w:cs="David" w:hint="cs"/>
          <w:rtl/>
        </w:rPr>
        <w:t>ת שעליה</w:t>
      </w:r>
      <w:r w:rsidR="001C0EEB">
        <w:rPr>
          <w:rFonts w:ascii="David" w:hAnsi="David" w:cs="David" w:hint="cs"/>
          <w:rtl/>
        </w:rPr>
        <w:t>ן</w:t>
      </w:r>
      <w:r w:rsidR="006B1210">
        <w:rPr>
          <w:rFonts w:ascii="David" w:hAnsi="David" w:cs="David" w:hint="cs"/>
          <w:rtl/>
        </w:rPr>
        <w:t xml:space="preserve"> דנים בתי המשפט.</w:t>
      </w:r>
    </w:p>
    <w:p w:rsidR="0016356B" w:rsidRDefault="00096D9C" w:rsidP="00011960">
      <w:pPr>
        <w:pStyle w:val="a3"/>
        <w:spacing w:line="360" w:lineRule="auto"/>
        <w:jc w:val="both"/>
        <w:rPr>
          <w:rFonts w:ascii="David" w:hAnsi="David" w:cs="David"/>
          <w:rtl/>
        </w:rPr>
      </w:pPr>
      <w:r>
        <w:rPr>
          <w:rFonts w:ascii="David" w:hAnsi="David" w:cs="David" w:hint="cs"/>
          <w:rtl/>
        </w:rPr>
        <w:t xml:space="preserve"> </w:t>
      </w:r>
    </w:p>
    <w:p w:rsidR="00466879" w:rsidRPr="008479F8" w:rsidRDefault="000D67C4" w:rsidP="00466879">
      <w:pPr>
        <w:pStyle w:val="a3"/>
        <w:numPr>
          <w:ilvl w:val="0"/>
          <w:numId w:val="1"/>
        </w:numPr>
        <w:spacing w:line="360" w:lineRule="auto"/>
        <w:jc w:val="both"/>
        <w:rPr>
          <w:rFonts w:ascii="David" w:hAnsi="David" w:cs="David"/>
        </w:rPr>
      </w:pPr>
      <w:r>
        <w:rPr>
          <w:rFonts w:ascii="David" w:hAnsi="David" w:cs="David" w:hint="cs"/>
          <w:b/>
          <w:bCs/>
          <w:u w:val="single"/>
          <w:rtl/>
        </w:rPr>
        <w:t xml:space="preserve">הגבלת </w:t>
      </w:r>
      <w:r w:rsidR="00466879">
        <w:rPr>
          <w:rFonts w:ascii="David" w:hAnsi="David" w:cs="David" w:hint="cs"/>
          <w:b/>
          <w:bCs/>
          <w:u w:val="single"/>
          <w:rtl/>
        </w:rPr>
        <w:t>תנועות בני-אדם ותעבורה</w:t>
      </w:r>
      <w:r w:rsidR="00466879" w:rsidRPr="008479F8">
        <w:rPr>
          <w:rFonts w:ascii="David" w:hAnsi="David" w:cs="David" w:hint="cs"/>
          <w:rtl/>
        </w:rPr>
        <w:t>:</w:t>
      </w:r>
    </w:p>
    <w:p w:rsidR="000D67C4" w:rsidRDefault="00466879" w:rsidP="000D67C4">
      <w:pPr>
        <w:pStyle w:val="a3"/>
        <w:spacing w:line="360" w:lineRule="auto"/>
        <w:jc w:val="both"/>
        <w:rPr>
          <w:rFonts w:ascii="David" w:hAnsi="David" w:cs="David"/>
          <w:rtl/>
        </w:rPr>
      </w:pPr>
      <w:r>
        <w:rPr>
          <w:rFonts w:ascii="David" w:hAnsi="David" w:cs="David" w:hint="cs"/>
          <w:rtl/>
        </w:rPr>
        <w:t>חלק י"ג לתקנות ההגנה מעניק למפקד הצבאי מספר סמכויות הקשורות להגבלת תנועה של אנשים ושל כלי רכב, חסימה של צירי תנועה, וכן הסמכות להכריז על שטח צבאי סגור. כאמור בדברי הסבר, סמכויות אלה "נחוצות לצורך התמודדות עם מצבי חירום", וככל שאין חלופה בחקיקה חדשה, הממשלה מבקשת שלא לבטלן (למעט תקנות מסוימות שאין בהן צורך).</w:t>
      </w:r>
      <w:r w:rsidR="000D67C4">
        <w:rPr>
          <w:rFonts w:ascii="David" w:hAnsi="David" w:cs="David" w:hint="cs"/>
          <w:rtl/>
        </w:rPr>
        <w:t xml:space="preserve"> כמו כן, מוצע להשאיר בתוקף הוראות שונות מחלק י"ד, כגון תקנה 129 שמסמיכה את המפקד הצבאי להוציא צווים לפתוח ולסגור מקומות; תקנה 130 שמסמיכו לצמצם שירותי טלפון; ותקנה 132 שמקנה </w:t>
      </w:r>
      <w:r w:rsidR="007235F3">
        <w:rPr>
          <w:rFonts w:ascii="David" w:hAnsi="David" w:cs="David" w:hint="cs"/>
          <w:rtl/>
        </w:rPr>
        <w:t xml:space="preserve">סמכות </w:t>
      </w:r>
      <w:r w:rsidR="000D67C4">
        <w:rPr>
          <w:rFonts w:ascii="David" w:hAnsi="David" w:cs="David" w:hint="cs"/>
          <w:rtl/>
        </w:rPr>
        <w:t>לגורמי ביטחון לעצור אדם במקרים מסוימים.</w:t>
      </w:r>
    </w:p>
    <w:p w:rsidR="000D67C4" w:rsidRPr="000D67C4" w:rsidRDefault="000D67C4" w:rsidP="000D67C4">
      <w:pPr>
        <w:pStyle w:val="a3"/>
        <w:spacing w:line="360" w:lineRule="auto"/>
        <w:jc w:val="both"/>
        <w:rPr>
          <w:rFonts w:ascii="David" w:hAnsi="David" w:cs="David"/>
          <w:rtl/>
        </w:rPr>
      </w:pPr>
    </w:p>
    <w:p w:rsidR="000D67C4" w:rsidRPr="008479F8" w:rsidRDefault="000D67C4" w:rsidP="000D67C4">
      <w:pPr>
        <w:pStyle w:val="a3"/>
        <w:numPr>
          <w:ilvl w:val="0"/>
          <w:numId w:val="1"/>
        </w:numPr>
        <w:spacing w:line="360" w:lineRule="auto"/>
        <w:jc w:val="both"/>
        <w:rPr>
          <w:rFonts w:ascii="David" w:hAnsi="David" w:cs="David"/>
        </w:rPr>
      </w:pPr>
      <w:r>
        <w:rPr>
          <w:rFonts w:ascii="David" w:hAnsi="David" w:cs="David" w:hint="cs"/>
          <w:b/>
          <w:bCs/>
          <w:u w:val="single"/>
          <w:rtl/>
        </w:rPr>
        <w:t>הוראות מחלק י"ד</w:t>
      </w:r>
      <w:r w:rsidRPr="008479F8">
        <w:rPr>
          <w:rFonts w:ascii="David" w:hAnsi="David" w:cs="David" w:hint="cs"/>
          <w:rtl/>
        </w:rPr>
        <w:t>:</w:t>
      </w:r>
    </w:p>
    <w:p w:rsidR="00011960" w:rsidRPr="000D67C4" w:rsidRDefault="000D67C4" w:rsidP="000D67C4">
      <w:pPr>
        <w:pStyle w:val="a3"/>
        <w:spacing w:line="360" w:lineRule="auto"/>
        <w:jc w:val="both"/>
        <w:rPr>
          <w:rFonts w:ascii="David" w:hAnsi="David" w:cs="David"/>
        </w:rPr>
      </w:pPr>
      <w:r>
        <w:rPr>
          <w:rFonts w:ascii="David" w:hAnsi="David" w:cs="David" w:hint="cs"/>
          <w:rtl/>
        </w:rPr>
        <w:t xml:space="preserve">מוצע, בין היתר, שלא לבטל את תקנה 136, הקובעת עבירה של איסוף מידע של ידיעות בעלות ערך צבאי; תקנה 137 בעניין הסמכות של המפקד הצבאי לקבוע עבירות והגבלות לעניין כלי ירייה; תקנה 138א בעניין שליטה על ספינות במים הטריטוריאליים של ישראל; ותקנה 144 בעניין הסמכות להורות על העברת ידיעות או חפצים למפקד הצבאי. לכל אלה, נטען כי אין הסדרה מספקת בחקיקה הישראלית החדשה. </w:t>
      </w:r>
    </w:p>
    <w:p w:rsidR="00011960" w:rsidRPr="00242679" w:rsidRDefault="00011960" w:rsidP="00011960">
      <w:pPr>
        <w:spacing w:line="360" w:lineRule="auto"/>
        <w:jc w:val="both"/>
        <w:rPr>
          <w:rFonts w:ascii="David" w:hAnsi="David" w:cs="David"/>
          <w:rtl/>
        </w:rPr>
      </w:pPr>
    </w:p>
    <w:p w:rsidR="00271511" w:rsidRDefault="00271511" w:rsidP="00E36126">
      <w:pPr>
        <w:spacing w:line="360" w:lineRule="auto"/>
        <w:jc w:val="both"/>
        <w:rPr>
          <w:rFonts w:ascii="David" w:hAnsi="David" w:cs="David"/>
          <w:rtl/>
        </w:rPr>
      </w:pPr>
    </w:p>
    <w:p w:rsidR="00271511" w:rsidRDefault="00271511" w:rsidP="00E36126">
      <w:pPr>
        <w:spacing w:line="360" w:lineRule="auto"/>
        <w:jc w:val="both"/>
        <w:rPr>
          <w:rFonts w:ascii="David" w:hAnsi="David" w:cs="David"/>
          <w:rtl/>
        </w:rPr>
      </w:pPr>
    </w:p>
    <w:p w:rsidR="0058358D" w:rsidRPr="00E36126" w:rsidRDefault="0058358D" w:rsidP="00BC0832">
      <w:pPr>
        <w:spacing w:line="360" w:lineRule="auto"/>
        <w:jc w:val="both"/>
        <w:rPr>
          <w:rFonts w:ascii="David" w:hAnsi="David" w:cs="David"/>
        </w:rPr>
      </w:pPr>
    </w:p>
    <w:sectPr w:rsidR="0058358D" w:rsidRPr="00E36126" w:rsidSect="000D67C4">
      <w:footerReference w:type="default" r:id="rId7"/>
      <w:pgSz w:w="11906" w:h="16838"/>
      <w:pgMar w:top="1134" w:right="992" w:bottom="1134" w:left="992"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5EBA" w:rsidRDefault="009B5EBA" w:rsidP="009730FA">
      <w:r>
        <w:separator/>
      </w:r>
    </w:p>
  </w:endnote>
  <w:endnote w:type="continuationSeparator" w:id="0">
    <w:p w:rsidR="009B5EBA" w:rsidRDefault="009B5EBA" w:rsidP="00973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20454211"/>
      <w:docPartObj>
        <w:docPartGallery w:val="Page Numbers (Bottom of Page)"/>
        <w:docPartUnique/>
      </w:docPartObj>
    </w:sdtPr>
    <w:sdtEndPr/>
    <w:sdtContent>
      <w:p w:rsidR="006C1DBE" w:rsidRDefault="006C1DBE">
        <w:pPr>
          <w:pStyle w:val="a9"/>
          <w:jc w:val="center"/>
        </w:pPr>
        <w:r>
          <w:fldChar w:fldCharType="begin"/>
        </w:r>
        <w:r>
          <w:instrText xml:space="preserve"> PAGE   \* MERGEFORMAT </w:instrText>
        </w:r>
        <w:r>
          <w:fldChar w:fldCharType="separate"/>
        </w:r>
        <w:r w:rsidR="00793C4D">
          <w:rPr>
            <w:noProof/>
            <w:rtl/>
          </w:rPr>
          <w:t>1</w:t>
        </w:r>
        <w:r>
          <w:rPr>
            <w:noProof/>
          </w:rPr>
          <w:fldChar w:fldCharType="end"/>
        </w:r>
      </w:p>
    </w:sdtContent>
  </w:sdt>
  <w:p w:rsidR="006C1DBE" w:rsidRDefault="006C1DB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5EBA" w:rsidRDefault="009B5EBA" w:rsidP="009730FA">
      <w:r>
        <w:separator/>
      </w:r>
    </w:p>
  </w:footnote>
  <w:footnote w:type="continuationSeparator" w:id="0">
    <w:p w:rsidR="009B5EBA" w:rsidRDefault="009B5EBA" w:rsidP="009730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C50E76"/>
    <w:multiLevelType w:val="hybridMultilevel"/>
    <w:tmpl w:val="456253D8"/>
    <w:lvl w:ilvl="0" w:tplc="19B6D156">
      <w:start w:val="72"/>
      <w:numFmt w:val="bullet"/>
      <w:lvlText w:val=""/>
      <w:lvlJc w:val="left"/>
      <w:pPr>
        <w:ind w:left="720" w:hanging="360"/>
      </w:pPr>
      <w:rPr>
        <w:rFonts w:ascii="Symbol" w:eastAsia="MS Mincho"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413"/>
    <w:rsid w:val="00011960"/>
    <w:rsid w:val="0005286D"/>
    <w:rsid w:val="000848C0"/>
    <w:rsid w:val="00096D9C"/>
    <w:rsid w:val="000A1F75"/>
    <w:rsid w:val="000D67C4"/>
    <w:rsid w:val="000F4D6A"/>
    <w:rsid w:val="00105025"/>
    <w:rsid w:val="001155B7"/>
    <w:rsid w:val="00120D07"/>
    <w:rsid w:val="0016356B"/>
    <w:rsid w:val="001653B1"/>
    <w:rsid w:val="0017537F"/>
    <w:rsid w:val="001965EF"/>
    <w:rsid w:val="001A567F"/>
    <w:rsid w:val="001C0EEB"/>
    <w:rsid w:val="001C33CC"/>
    <w:rsid w:val="00200C26"/>
    <w:rsid w:val="00203B7D"/>
    <w:rsid w:val="00220E6D"/>
    <w:rsid w:val="00242679"/>
    <w:rsid w:val="00252402"/>
    <w:rsid w:val="00271511"/>
    <w:rsid w:val="002812F4"/>
    <w:rsid w:val="002827D5"/>
    <w:rsid w:val="00290FC9"/>
    <w:rsid w:val="002A1AA1"/>
    <w:rsid w:val="0030263C"/>
    <w:rsid w:val="00305C69"/>
    <w:rsid w:val="003264D2"/>
    <w:rsid w:val="00344BEE"/>
    <w:rsid w:val="0035222F"/>
    <w:rsid w:val="00355112"/>
    <w:rsid w:val="00360413"/>
    <w:rsid w:val="003900B5"/>
    <w:rsid w:val="004107DF"/>
    <w:rsid w:val="00421022"/>
    <w:rsid w:val="004543DC"/>
    <w:rsid w:val="00455096"/>
    <w:rsid w:val="00466879"/>
    <w:rsid w:val="004873B7"/>
    <w:rsid w:val="004E726A"/>
    <w:rsid w:val="004F28D5"/>
    <w:rsid w:val="00501869"/>
    <w:rsid w:val="00523928"/>
    <w:rsid w:val="005430EA"/>
    <w:rsid w:val="00565E71"/>
    <w:rsid w:val="00571D3D"/>
    <w:rsid w:val="00574ED9"/>
    <w:rsid w:val="0058358D"/>
    <w:rsid w:val="005C6644"/>
    <w:rsid w:val="005D0FE5"/>
    <w:rsid w:val="005D55A8"/>
    <w:rsid w:val="006757BF"/>
    <w:rsid w:val="006758B8"/>
    <w:rsid w:val="006B1210"/>
    <w:rsid w:val="006C1DBE"/>
    <w:rsid w:val="006C30AE"/>
    <w:rsid w:val="006D40BC"/>
    <w:rsid w:val="00702E06"/>
    <w:rsid w:val="007235F3"/>
    <w:rsid w:val="00740BE7"/>
    <w:rsid w:val="00756869"/>
    <w:rsid w:val="00793C4D"/>
    <w:rsid w:val="007A3CE7"/>
    <w:rsid w:val="007A49DB"/>
    <w:rsid w:val="007C6FBB"/>
    <w:rsid w:val="007E59EE"/>
    <w:rsid w:val="00803E30"/>
    <w:rsid w:val="008172E8"/>
    <w:rsid w:val="008479F8"/>
    <w:rsid w:val="008779A5"/>
    <w:rsid w:val="00880C49"/>
    <w:rsid w:val="008A021C"/>
    <w:rsid w:val="008B362A"/>
    <w:rsid w:val="00922482"/>
    <w:rsid w:val="00950D94"/>
    <w:rsid w:val="009616C3"/>
    <w:rsid w:val="009730FA"/>
    <w:rsid w:val="00994A52"/>
    <w:rsid w:val="009B1D4F"/>
    <w:rsid w:val="009B5EBA"/>
    <w:rsid w:val="009C7CB0"/>
    <w:rsid w:val="009D1115"/>
    <w:rsid w:val="00A80444"/>
    <w:rsid w:val="00A963A8"/>
    <w:rsid w:val="00AA1822"/>
    <w:rsid w:val="00AB0650"/>
    <w:rsid w:val="00AD672D"/>
    <w:rsid w:val="00B26E4E"/>
    <w:rsid w:val="00B27E27"/>
    <w:rsid w:val="00B32770"/>
    <w:rsid w:val="00B45AA7"/>
    <w:rsid w:val="00B54F57"/>
    <w:rsid w:val="00B6069C"/>
    <w:rsid w:val="00B712CF"/>
    <w:rsid w:val="00B717BA"/>
    <w:rsid w:val="00B73880"/>
    <w:rsid w:val="00B84D96"/>
    <w:rsid w:val="00B978EF"/>
    <w:rsid w:val="00BC0832"/>
    <w:rsid w:val="00BC2BBE"/>
    <w:rsid w:val="00BD4A1E"/>
    <w:rsid w:val="00BE2731"/>
    <w:rsid w:val="00C004CF"/>
    <w:rsid w:val="00C229B2"/>
    <w:rsid w:val="00C23144"/>
    <w:rsid w:val="00C2737E"/>
    <w:rsid w:val="00C95FF0"/>
    <w:rsid w:val="00C96B99"/>
    <w:rsid w:val="00CA4D86"/>
    <w:rsid w:val="00CD04D2"/>
    <w:rsid w:val="00CD35DF"/>
    <w:rsid w:val="00D17206"/>
    <w:rsid w:val="00D44B2F"/>
    <w:rsid w:val="00D63D63"/>
    <w:rsid w:val="00DA15E0"/>
    <w:rsid w:val="00DB4EBE"/>
    <w:rsid w:val="00DD368C"/>
    <w:rsid w:val="00DE3EBD"/>
    <w:rsid w:val="00E1039E"/>
    <w:rsid w:val="00E107FD"/>
    <w:rsid w:val="00E2791B"/>
    <w:rsid w:val="00E36126"/>
    <w:rsid w:val="00E54966"/>
    <w:rsid w:val="00E610F2"/>
    <w:rsid w:val="00E61539"/>
    <w:rsid w:val="00E71677"/>
    <w:rsid w:val="00EA1692"/>
    <w:rsid w:val="00EA3474"/>
    <w:rsid w:val="00EB342C"/>
    <w:rsid w:val="00ED3A35"/>
    <w:rsid w:val="00ED60D1"/>
    <w:rsid w:val="00EF5913"/>
    <w:rsid w:val="00F03012"/>
    <w:rsid w:val="00F11BE7"/>
    <w:rsid w:val="00F14DF1"/>
    <w:rsid w:val="00F31D2F"/>
    <w:rsid w:val="00F35092"/>
    <w:rsid w:val="00F41972"/>
    <w:rsid w:val="00F46A2A"/>
    <w:rsid w:val="00F85832"/>
    <w:rsid w:val="00F85CBB"/>
    <w:rsid w:val="00FD0DA3"/>
    <w:rsid w:val="00FD14AF"/>
    <w:rsid w:val="00FD477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A43F6F-2098-4C66-B22F-461235066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0413"/>
    <w:pPr>
      <w:bidi/>
      <w:spacing w:after="0" w:line="240" w:lineRule="auto"/>
    </w:pPr>
    <w:rPr>
      <w:rFonts w:ascii="Times New Roman" w:eastAsia="MS Mincho" w:hAnsi="Times New Roman" w:cs="Times New Roman"/>
      <w:sz w:val="24"/>
      <w:szCs w:val="24"/>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14AF"/>
    <w:pPr>
      <w:ind w:left="720"/>
      <w:contextualSpacing/>
    </w:pPr>
  </w:style>
  <w:style w:type="paragraph" w:styleId="a4">
    <w:name w:val="footnote text"/>
    <w:basedOn w:val="a"/>
    <w:link w:val="a5"/>
    <w:uiPriority w:val="99"/>
    <w:unhideWhenUsed/>
    <w:rsid w:val="009730FA"/>
    <w:rPr>
      <w:rFonts w:asciiTheme="minorHAnsi" w:eastAsiaTheme="minorHAnsi" w:hAnsiTheme="minorHAnsi" w:cstheme="minorBidi"/>
      <w:sz w:val="20"/>
      <w:szCs w:val="20"/>
      <w:lang w:eastAsia="en-US"/>
    </w:rPr>
  </w:style>
  <w:style w:type="character" w:customStyle="1" w:styleId="a5">
    <w:name w:val="טקסט הערת שוליים תו"/>
    <w:basedOn w:val="a0"/>
    <w:link w:val="a4"/>
    <w:uiPriority w:val="99"/>
    <w:rsid w:val="009730FA"/>
    <w:rPr>
      <w:sz w:val="20"/>
      <w:szCs w:val="20"/>
    </w:rPr>
  </w:style>
  <w:style w:type="character" w:styleId="a6">
    <w:name w:val="footnote reference"/>
    <w:basedOn w:val="a0"/>
    <w:uiPriority w:val="99"/>
    <w:semiHidden/>
    <w:unhideWhenUsed/>
    <w:rsid w:val="009730FA"/>
    <w:rPr>
      <w:vertAlign w:val="superscript"/>
    </w:rPr>
  </w:style>
  <w:style w:type="character" w:customStyle="1" w:styleId="apple-converted-space">
    <w:name w:val="apple-converted-space"/>
    <w:basedOn w:val="a0"/>
    <w:rsid w:val="009730FA"/>
  </w:style>
  <w:style w:type="character" w:styleId="Hyperlink">
    <w:name w:val="Hyperlink"/>
    <w:basedOn w:val="a0"/>
    <w:uiPriority w:val="99"/>
    <w:semiHidden/>
    <w:unhideWhenUsed/>
    <w:rsid w:val="009730FA"/>
    <w:rPr>
      <w:color w:val="0000FF"/>
      <w:u w:val="single"/>
    </w:rPr>
  </w:style>
  <w:style w:type="paragraph" w:styleId="a7">
    <w:name w:val="header"/>
    <w:basedOn w:val="a"/>
    <w:link w:val="a8"/>
    <w:uiPriority w:val="99"/>
    <w:unhideWhenUsed/>
    <w:rsid w:val="006C1DBE"/>
    <w:pPr>
      <w:tabs>
        <w:tab w:val="center" w:pos="4153"/>
        <w:tab w:val="right" w:pos="8306"/>
      </w:tabs>
    </w:pPr>
  </w:style>
  <w:style w:type="character" w:customStyle="1" w:styleId="a8">
    <w:name w:val="כותרת עליונה תו"/>
    <w:basedOn w:val="a0"/>
    <w:link w:val="a7"/>
    <w:uiPriority w:val="99"/>
    <w:rsid w:val="006C1DBE"/>
    <w:rPr>
      <w:rFonts w:ascii="Times New Roman" w:eastAsia="MS Mincho" w:hAnsi="Times New Roman" w:cs="Times New Roman"/>
      <w:sz w:val="24"/>
      <w:szCs w:val="24"/>
      <w:lang w:eastAsia="ja-JP"/>
    </w:rPr>
  </w:style>
  <w:style w:type="paragraph" w:styleId="a9">
    <w:name w:val="footer"/>
    <w:basedOn w:val="a"/>
    <w:link w:val="aa"/>
    <w:uiPriority w:val="99"/>
    <w:unhideWhenUsed/>
    <w:rsid w:val="006C1DBE"/>
    <w:pPr>
      <w:tabs>
        <w:tab w:val="center" w:pos="4153"/>
        <w:tab w:val="right" w:pos="8306"/>
      </w:tabs>
    </w:pPr>
  </w:style>
  <w:style w:type="character" w:customStyle="1" w:styleId="aa">
    <w:name w:val="כותרת תחתונה תו"/>
    <w:basedOn w:val="a0"/>
    <w:link w:val="a9"/>
    <w:uiPriority w:val="99"/>
    <w:rsid w:val="006C1DBE"/>
    <w:rPr>
      <w:rFonts w:ascii="Times New Roman" w:eastAsia="MS Mincho" w:hAnsi="Times New Roman" w:cs="Times New Roman"/>
      <w:sz w:val="24"/>
      <w:szCs w:val="24"/>
      <w:lang w:eastAsia="ja-JP"/>
    </w:rPr>
  </w:style>
  <w:style w:type="paragraph" w:styleId="ab">
    <w:name w:val="Balloon Text"/>
    <w:basedOn w:val="a"/>
    <w:link w:val="ac"/>
    <w:uiPriority w:val="99"/>
    <w:semiHidden/>
    <w:unhideWhenUsed/>
    <w:rsid w:val="00252402"/>
    <w:rPr>
      <w:rFonts w:ascii="Segoe UI" w:hAnsi="Segoe UI" w:cs="Segoe UI"/>
      <w:sz w:val="18"/>
      <w:szCs w:val="18"/>
    </w:rPr>
  </w:style>
  <w:style w:type="character" w:customStyle="1" w:styleId="ac">
    <w:name w:val="טקסט בלונים תו"/>
    <w:basedOn w:val="a0"/>
    <w:link w:val="ab"/>
    <w:uiPriority w:val="99"/>
    <w:semiHidden/>
    <w:rsid w:val="00252402"/>
    <w:rPr>
      <w:rFonts w:ascii="Segoe UI" w:eastAsia="MS Mincho" w:hAnsi="Segoe UI" w:cs="Segoe UI"/>
      <w:sz w:val="18"/>
      <w:szCs w:val="18"/>
      <w:lang w:eastAsia="ja-JP"/>
    </w:rPr>
  </w:style>
  <w:style w:type="character" w:styleId="ad">
    <w:name w:val="annotation reference"/>
    <w:basedOn w:val="a0"/>
    <w:uiPriority w:val="99"/>
    <w:semiHidden/>
    <w:unhideWhenUsed/>
    <w:rsid w:val="00D44B2F"/>
    <w:rPr>
      <w:sz w:val="16"/>
      <w:szCs w:val="16"/>
    </w:rPr>
  </w:style>
  <w:style w:type="paragraph" w:styleId="ae">
    <w:name w:val="annotation text"/>
    <w:basedOn w:val="a"/>
    <w:link w:val="af"/>
    <w:uiPriority w:val="99"/>
    <w:semiHidden/>
    <w:unhideWhenUsed/>
    <w:rsid w:val="00D44B2F"/>
    <w:rPr>
      <w:sz w:val="20"/>
      <w:szCs w:val="20"/>
    </w:rPr>
  </w:style>
  <w:style w:type="character" w:customStyle="1" w:styleId="af">
    <w:name w:val="טקסט הערה תו"/>
    <w:basedOn w:val="a0"/>
    <w:link w:val="ae"/>
    <w:uiPriority w:val="99"/>
    <w:semiHidden/>
    <w:rsid w:val="00D44B2F"/>
    <w:rPr>
      <w:rFonts w:ascii="Times New Roman" w:eastAsia="MS Mincho" w:hAnsi="Times New Roman" w:cs="Times New Roman"/>
      <w:sz w:val="20"/>
      <w:szCs w:val="20"/>
      <w:lang w:eastAsia="ja-JP"/>
    </w:rPr>
  </w:style>
  <w:style w:type="paragraph" w:styleId="af0">
    <w:name w:val="annotation subject"/>
    <w:basedOn w:val="ae"/>
    <w:next w:val="ae"/>
    <w:link w:val="af1"/>
    <w:uiPriority w:val="99"/>
    <w:semiHidden/>
    <w:unhideWhenUsed/>
    <w:rsid w:val="00D44B2F"/>
    <w:rPr>
      <w:b/>
      <w:bCs/>
    </w:rPr>
  </w:style>
  <w:style w:type="character" w:customStyle="1" w:styleId="af1">
    <w:name w:val="נושא הערה תו"/>
    <w:basedOn w:val="af"/>
    <w:link w:val="af0"/>
    <w:uiPriority w:val="99"/>
    <w:semiHidden/>
    <w:rsid w:val="00D44B2F"/>
    <w:rPr>
      <w:rFonts w:ascii="Times New Roman" w:eastAsia="MS Mincho" w:hAnsi="Times New Roman" w:cs="Times New Roman"/>
      <w:b/>
      <w:bCs/>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8C14AC-0BB2-429B-B55E-FCD5145B45DF}"/>
</file>

<file path=customXml/itemProps2.xml><?xml version="1.0" encoding="utf-8"?>
<ds:datastoreItem xmlns:ds="http://schemas.openxmlformats.org/officeDocument/2006/customXml" ds:itemID="{FD820889-A3AF-444D-A1C5-2F1A85C20B66}"/>
</file>

<file path=customXml/itemProps3.xml><?xml version="1.0" encoding="utf-8"?>
<ds:datastoreItem xmlns:ds="http://schemas.openxmlformats.org/officeDocument/2006/customXml" ds:itemID="{82225EC4-ECB2-4342-85EE-0E9F99D9C96F}"/>
</file>

<file path=docProps/app.xml><?xml version="1.0" encoding="utf-8"?>
<Properties xmlns="http://schemas.openxmlformats.org/officeDocument/2006/extended-properties" xmlns:vt="http://schemas.openxmlformats.org/officeDocument/2006/docPropsVTypes">
  <Template>Normal</Template>
  <TotalTime>0</TotalTime>
  <Pages>5</Pages>
  <Words>2194</Words>
  <Characters>10970</Characters>
  <Application>Microsoft Office Word</Application>
  <DocSecurity>4</DocSecurity>
  <Lines>91</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13138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חופית עלפי</cp:lastModifiedBy>
  <cp:revision>2</cp:revision>
  <cp:lastPrinted>2016-05-22T10:46:00Z</cp:lastPrinted>
  <dcterms:created xsi:type="dcterms:W3CDTF">2016-05-22T10:59:00Z</dcterms:created>
  <dcterms:modified xsi:type="dcterms:W3CDTF">2016-05-22T10:59:00Z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2002430</vt:r8>
  </property>
</Properties>
</file>