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348C3" w:rsidRDefault="00BF7B95">
      <w:pPr>
        <w:bidi/>
        <w:spacing w:line="360" w:lineRule="auto"/>
        <w:ind w:left="570" w:right="567"/>
      </w:pPr>
      <w:bookmarkStart w:id="0" w:name="_GoBack"/>
      <w:bookmarkEnd w:id="0"/>
      <w:r>
        <w:rPr>
          <w:noProof/>
        </w:rPr>
        <w:drawing>
          <wp:anchor distT="0" distB="0" distL="114300" distR="114300" simplePos="0" relativeHeight="251658240" behindDoc="0" locked="0" layoutInCell="0" hidden="0" allowOverlap="0">
            <wp:simplePos x="0" y="0"/>
            <wp:positionH relativeFrom="margin">
              <wp:posOffset>2787650</wp:posOffset>
            </wp:positionH>
            <wp:positionV relativeFrom="paragraph">
              <wp:posOffset>-709929</wp:posOffset>
            </wp:positionV>
            <wp:extent cx="1587500" cy="986155"/>
            <wp:effectExtent l="0" t="0" r="0" b="0"/>
            <wp:wrapNone/>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7"/>
                    <a:srcRect/>
                    <a:stretch>
                      <a:fillRect/>
                    </a:stretch>
                  </pic:blipFill>
                  <pic:spPr>
                    <a:xfrm>
                      <a:off x="0" y="0"/>
                      <a:ext cx="1587500" cy="986155"/>
                    </a:xfrm>
                    <a:prstGeom prst="rect">
                      <a:avLst/>
                    </a:prstGeom>
                    <a:ln/>
                  </pic:spPr>
                </pic:pic>
              </a:graphicData>
            </a:graphic>
          </wp:anchor>
        </w:drawing>
      </w:r>
    </w:p>
    <w:p w:rsidR="005348C3" w:rsidRDefault="005348C3">
      <w:pPr>
        <w:bidi/>
        <w:spacing w:line="360" w:lineRule="auto"/>
        <w:ind w:left="570"/>
      </w:pPr>
    </w:p>
    <w:p w:rsidR="005348C3" w:rsidRDefault="00BF7B95">
      <w:pPr>
        <w:bidi/>
        <w:spacing w:line="360" w:lineRule="auto"/>
        <w:ind w:left="570" w:right="-520"/>
        <w:jc w:val="right"/>
      </w:pPr>
      <w:r>
        <w:rPr>
          <w:sz w:val="24"/>
          <w:szCs w:val="24"/>
          <w:rtl/>
        </w:rPr>
        <w:t>24 במאי, 2016</w:t>
      </w:r>
    </w:p>
    <w:p w:rsidR="005348C3" w:rsidRDefault="005348C3">
      <w:pPr>
        <w:bidi/>
        <w:spacing w:line="360" w:lineRule="auto"/>
        <w:ind w:left="570" w:right="720"/>
      </w:pPr>
    </w:p>
    <w:p w:rsidR="005348C3" w:rsidRDefault="00BF7B95">
      <w:pPr>
        <w:bidi/>
        <w:spacing w:line="360" w:lineRule="auto"/>
        <w:ind w:left="570" w:right="-520"/>
        <w:jc w:val="center"/>
      </w:pPr>
      <w:r>
        <w:rPr>
          <w:sz w:val="24"/>
          <w:szCs w:val="24"/>
          <w:rtl/>
        </w:rPr>
        <w:t>נייר עמדה</w:t>
      </w:r>
    </w:p>
    <w:p w:rsidR="005348C3" w:rsidRDefault="00BF7B95">
      <w:pPr>
        <w:bidi/>
        <w:spacing w:line="360" w:lineRule="auto"/>
        <w:ind w:left="570" w:right="-520"/>
        <w:jc w:val="center"/>
      </w:pPr>
      <w:r>
        <w:rPr>
          <w:sz w:val="24"/>
          <w:szCs w:val="24"/>
          <w:u w:val="single"/>
          <w:rtl/>
        </w:rPr>
        <w:t>מעמדה של השפה הערבית כשפה רשמית ונוכחותה במרחב המשותף</w:t>
      </w:r>
    </w:p>
    <w:p w:rsidR="005348C3" w:rsidRDefault="005348C3">
      <w:pPr>
        <w:bidi/>
        <w:spacing w:line="360" w:lineRule="auto"/>
        <w:ind w:left="570" w:right="720"/>
      </w:pPr>
    </w:p>
    <w:p w:rsidR="005348C3" w:rsidRDefault="00BF7B95">
      <w:pPr>
        <w:bidi/>
        <w:spacing w:after="200" w:line="360" w:lineRule="auto"/>
        <w:ind w:left="285" w:right="-285"/>
        <w:jc w:val="both"/>
      </w:pPr>
      <w:r>
        <w:rPr>
          <w:sz w:val="24"/>
          <w:szCs w:val="24"/>
          <w:highlight w:val="white"/>
          <w:rtl/>
        </w:rPr>
        <w:t>עמותת סיכוי היא ארגון יהודי-ערבי משותף, הפועל לקידום שוויון זכויות מלא בין אזרחיה הערבים והיהודים ומקדם שותפות יהודית-ערבית במגוון רחב של נושאים וסוגיות ברחבי ישראל</w:t>
      </w:r>
      <w:r>
        <w:rPr>
          <w:sz w:val="24"/>
          <w:szCs w:val="24"/>
          <w:rtl/>
        </w:rPr>
        <w:t xml:space="preserve">.  </w:t>
      </w:r>
      <w:r>
        <w:rPr>
          <w:sz w:val="24"/>
          <w:szCs w:val="24"/>
          <w:rtl/>
        </w:rPr>
        <w:t xml:space="preserve">העמותה עוסקת בין היתר בקידום חברה משותפת ויצירת מרחבים ציבוריים משותפים, בהם נוכחות </w:t>
      </w:r>
      <w:proofErr w:type="spellStart"/>
      <w:r>
        <w:rPr>
          <w:sz w:val="24"/>
          <w:szCs w:val="24"/>
          <w:rtl/>
        </w:rPr>
        <w:t>לשפה,תרבות</w:t>
      </w:r>
      <w:proofErr w:type="spellEnd"/>
      <w:r>
        <w:rPr>
          <w:sz w:val="24"/>
          <w:szCs w:val="24"/>
          <w:rtl/>
        </w:rPr>
        <w:t>, מורשת ודת של האזרחים היהודים והערבים.</w:t>
      </w:r>
    </w:p>
    <w:p w:rsidR="005348C3" w:rsidRDefault="00BF7B95">
      <w:pPr>
        <w:bidi/>
        <w:spacing w:line="360" w:lineRule="auto"/>
        <w:ind w:left="285" w:right="-285"/>
        <w:jc w:val="both"/>
      </w:pPr>
      <w:r>
        <w:rPr>
          <w:sz w:val="24"/>
          <w:szCs w:val="24"/>
          <w:rtl/>
        </w:rPr>
        <w:t>ביום היסטורי זה, בו מייחדת הכנסת לראשונה יום דיונים בנושא השפה הערבית, אנו פונים אל חברי ועדת חוקה, חוק ומשפט על מנת להזכי</w:t>
      </w:r>
      <w:r>
        <w:rPr>
          <w:sz w:val="24"/>
          <w:szCs w:val="24"/>
          <w:rtl/>
        </w:rPr>
        <w:t xml:space="preserve">ר את החיוניות בנוכחותה ש השפה הערבית במרחבים הציבוריים בישראל.  </w:t>
      </w:r>
      <w:r>
        <w:rPr>
          <w:sz w:val="24"/>
          <w:szCs w:val="24"/>
          <w:highlight w:val="white"/>
          <w:rtl/>
        </w:rPr>
        <w:t>לצד מעמדה המיוחד של השפה הערבית כשפה רשמית שנייה בישראל, מעמד אשר נקבע עוד מימי המנדט הבריטי ולאורך השנים התקבע גם בתקנות ונהלים שונים, חשוב לזכור כי השפה הערבית היא שפתו של המיעוט הגדול ביותר</w:t>
      </w:r>
      <w:r>
        <w:rPr>
          <w:sz w:val="24"/>
          <w:szCs w:val="24"/>
          <w:highlight w:val="white"/>
          <w:rtl/>
        </w:rPr>
        <w:t xml:space="preserve"> בישראל.  אזרחי ישראל הערבים המונים כחמישית מאוכלוסיית המדינה.  לנוכחותה של השפה הערבית מספר תכליות אותן נבקש למנות במסמך זה, ולהזכיר לחברי הכנסת המכובדים כי על מנת שמעמדה של השפה הערבית ימומש בפועל, יש להבטיח כי המשאבים הראויים יוקצו וכי מנגנוני הבקרה העו</w:t>
      </w:r>
      <w:r>
        <w:rPr>
          <w:sz w:val="24"/>
          <w:szCs w:val="24"/>
          <w:highlight w:val="white"/>
          <w:rtl/>
        </w:rPr>
        <w:t>קבים אחר הביצוע יהיו מונחים לבחון זאת באופן שוטף.</w:t>
      </w:r>
    </w:p>
    <w:p w:rsidR="005348C3" w:rsidRDefault="00BF7B95">
      <w:pPr>
        <w:numPr>
          <w:ilvl w:val="0"/>
          <w:numId w:val="1"/>
        </w:numPr>
        <w:bidi/>
        <w:spacing w:line="360" w:lineRule="auto"/>
        <w:ind w:right="-285" w:hanging="360"/>
        <w:contextualSpacing/>
        <w:jc w:val="both"/>
        <w:rPr>
          <w:sz w:val="24"/>
          <w:szCs w:val="24"/>
          <w:highlight w:val="white"/>
        </w:rPr>
      </w:pPr>
      <w:r>
        <w:rPr>
          <w:b/>
          <w:sz w:val="24"/>
          <w:szCs w:val="24"/>
          <w:highlight w:val="white"/>
          <w:rtl/>
        </w:rPr>
        <w:t>שמירה על מעמדה של השפה ערבית כשפה רשמית</w:t>
      </w:r>
      <w:r>
        <w:rPr>
          <w:sz w:val="24"/>
          <w:szCs w:val="24"/>
          <w:highlight w:val="white"/>
          <w:rtl/>
        </w:rPr>
        <w:t xml:space="preserve"> -  אחד מכל חמישה אזרחים בישראל הוא ערבי, ושפת </w:t>
      </w:r>
      <w:proofErr w:type="spellStart"/>
      <w:r>
        <w:rPr>
          <w:sz w:val="24"/>
          <w:szCs w:val="24"/>
          <w:highlight w:val="white"/>
          <w:rtl/>
        </w:rPr>
        <w:t>אימו</w:t>
      </w:r>
      <w:proofErr w:type="spellEnd"/>
      <w:r>
        <w:rPr>
          <w:sz w:val="24"/>
          <w:szCs w:val="24"/>
          <w:highlight w:val="white"/>
          <w:rtl/>
        </w:rPr>
        <w:t xml:space="preserve"> הינה ערבית.  משכך שמירה על מעמדה של השפה הערבית כשפה רשמית מבטיחה בראש ובראשונה עקרון חופש הלשון וכיבוד המיעוט, שהם</w:t>
      </w:r>
      <w:r>
        <w:rPr>
          <w:sz w:val="24"/>
          <w:szCs w:val="24"/>
          <w:highlight w:val="white"/>
          <w:rtl/>
        </w:rPr>
        <w:t xml:space="preserve"> עקרונות דמוקרטיים בסיסיים.</w:t>
      </w:r>
    </w:p>
    <w:p w:rsidR="005348C3" w:rsidRDefault="00BF7B95">
      <w:pPr>
        <w:numPr>
          <w:ilvl w:val="0"/>
          <w:numId w:val="1"/>
        </w:numPr>
        <w:bidi/>
        <w:spacing w:line="360" w:lineRule="auto"/>
        <w:ind w:right="-285" w:hanging="360"/>
        <w:contextualSpacing/>
        <w:jc w:val="both"/>
        <w:rPr>
          <w:sz w:val="24"/>
          <w:szCs w:val="24"/>
          <w:highlight w:val="white"/>
        </w:rPr>
      </w:pPr>
      <w:r>
        <w:rPr>
          <w:b/>
          <w:sz w:val="24"/>
          <w:szCs w:val="24"/>
          <w:highlight w:val="white"/>
          <w:rtl/>
        </w:rPr>
        <w:t>נגישות לשירותים, מיצוי זכויות והשתלבות</w:t>
      </w:r>
      <w:r>
        <w:rPr>
          <w:sz w:val="24"/>
          <w:szCs w:val="24"/>
          <w:highlight w:val="white"/>
          <w:rtl/>
        </w:rPr>
        <w:t xml:space="preserve"> - כאשר השפה הערבית נעדרת מהמרחב הציבורי גורם הדבר לחסמים ממשיים עבור האזרחים הערבים בכל הקשור לנגישות לשירותים ומיצוי זכויותיהם, וליכולתם להתמצא במרחב, להשתלב בתעסוקה, בכלכלה ובחברה.  על כן</w:t>
      </w:r>
      <w:r>
        <w:rPr>
          <w:sz w:val="24"/>
          <w:szCs w:val="24"/>
          <w:highlight w:val="white"/>
          <w:rtl/>
        </w:rPr>
        <w:t xml:space="preserve">, על כל שירותי הממשלה, במרחבים </w:t>
      </w:r>
      <w:proofErr w:type="spellStart"/>
      <w:r>
        <w:rPr>
          <w:sz w:val="24"/>
          <w:szCs w:val="24"/>
          <w:highlight w:val="white"/>
          <w:rtl/>
        </w:rPr>
        <w:t>הוירטואלים</w:t>
      </w:r>
      <w:proofErr w:type="spellEnd"/>
      <w:r>
        <w:rPr>
          <w:sz w:val="24"/>
          <w:szCs w:val="24"/>
          <w:highlight w:val="white"/>
          <w:rtl/>
        </w:rPr>
        <w:t xml:space="preserve"> והפיזיים, להיות נגישים בשפה הערבית.  </w:t>
      </w:r>
    </w:p>
    <w:p w:rsidR="005348C3" w:rsidRDefault="00BF7B95">
      <w:pPr>
        <w:numPr>
          <w:ilvl w:val="0"/>
          <w:numId w:val="1"/>
        </w:numPr>
        <w:bidi/>
        <w:spacing w:line="360" w:lineRule="auto"/>
        <w:ind w:right="-285" w:hanging="360"/>
        <w:contextualSpacing/>
        <w:jc w:val="both"/>
        <w:rPr>
          <w:sz w:val="24"/>
          <w:szCs w:val="24"/>
          <w:highlight w:val="white"/>
        </w:rPr>
      </w:pPr>
      <w:r>
        <w:rPr>
          <w:b/>
          <w:sz w:val="24"/>
          <w:szCs w:val="24"/>
          <w:highlight w:val="white"/>
          <w:rtl/>
        </w:rPr>
        <w:t>השפה כמפתח לשילוב ומניעת הדרה</w:t>
      </w:r>
      <w:r>
        <w:rPr>
          <w:sz w:val="24"/>
          <w:szCs w:val="24"/>
          <w:highlight w:val="white"/>
          <w:rtl/>
        </w:rPr>
        <w:t xml:space="preserve"> - העדרה של השפה הערבית מן המרחב הציבורי, יוצרת הדרה בפועל של האזרחים הערבים, לא במובן הפיזי, כי אם במובן שאלת השייכות </w:t>
      </w:r>
      <w:r>
        <w:rPr>
          <w:sz w:val="24"/>
          <w:szCs w:val="24"/>
          <w:highlight w:val="white"/>
          <w:rtl/>
        </w:rPr>
        <w:lastRenderedPageBreak/>
        <w:t>שלהם למרחב ומקומם בו.  נוכחו</w:t>
      </w:r>
      <w:r>
        <w:rPr>
          <w:sz w:val="24"/>
          <w:szCs w:val="24"/>
          <w:highlight w:val="white"/>
          <w:rtl/>
        </w:rPr>
        <w:t>תה של שפה ערבית במרחבים ציבוריים כגון קמפוסים של מוסדות להשכלה גבוהה, אירועי תרבות ועוד, מזמינה את האזרחים הערבים לקחת חלק במרחב, מכבדת את נוכחותם ומקדמת את השתלבותם.  כך למשל מחקרים בינלאומיים הראו כי נוכחות של שפה ותרבות של מיעוטים במרחבים אקדמיים מגבירה</w:t>
      </w:r>
      <w:r>
        <w:rPr>
          <w:sz w:val="24"/>
          <w:szCs w:val="24"/>
          <w:highlight w:val="white"/>
          <w:rtl/>
        </w:rPr>
        <w:t xml:space="preserve"> את ההשתלבות וההצלחה של הסטודנטים בני ובנות המיעוט בלימודיהם.</w:t>
      </w:r>
    </w:p>
    <w:p w:rsidR="005348C3" w:rsidRDefault="00BF7B95">
      <w:pPr>
        <w:numPr>
          <w:ilvl w:val="0"/>
          <w:numId w:val="1"/>
        </w:numPr>
        <w:bidi/>
        <w:spacing w:line="360" w:lineRule="auto"/>
        <w:ind w:right="-285" w:hanging="360"/>
        <w:contextualSpacing/>
        <w:jc w:val="both"/>
        <w:rPr>
          <w:sz w:val="24"/>
          <w:szCs w:val="24"/>
          <w:highlight w:val="white"/>
        </w:rPr>
      </w:pPr>
      <w:r>
        <w:rPr>
          <w:b/>
          <w:sz w:val="24"/>
          <w:szCs w:val="24"/>
          <w:highlight w:val="white"/>
          <w:rtl/>
        </w:rPr>
        <w:t>שפה כגשר בין קהילות</w:t>
      </w:r>
      <w:r>
        <w:rPr>
          <w:sz w:val="24"/>
          <w:szCs w:val="24"/>
          <w:highlight w:val="white"/>
          <w:rtl/>
        </w:rPr>
        <w:t xml:space="preserve"> - במציאות הישראלית הנוכחית השפה הערבית נתפסת כשפת האויב וכגורם מאיים </w:t>
      </w:r>
      <w:proofErr w:type="spellStart"/>
      <w:r>
        <w:rPr>
          <w:sz w:val="24"/>
          <w:szCs w:val="24"/>
          <w:highlight w:val="white"/>
          <w:rtl/>
        </w:rPr>
        <w:t>ומנכר</w:t>
      </w:r>
      <w:proofErr w:type="spellEnd"/>
      <w:r>
        <w:rPr>
          <w:sz w:val="24"/>
          <w:szCs w:val="24"/>
          <w:highlight w:val="white"/>
          <w:rtl/>
        </w:rPr>
        <w:t>.  נוכחותה של השפה הערבית במרחבים שאינם קשורים לסוגיות של בטחון יש בה את הכוח להפחית את הניכור והעוי</w:t>
      </w:r>
      <w:r>
        <w:rPr>
          <w:sz w:val="24"/>
          <w:szCs w:val="24"/>
          <w:highlight w:val="white"/>
          <w:rtl/>
        </w:rPr>
        <w:t>נות ולקרב בין החברות היהודית והערבית.  להכיר, לכבד אלו את אלו, את שפתם ומורשתם.  חשוב בהקשר זה להזכיר כי השפה הערבית הינה גם שפת אימם של רבים מהיהודים יוצאי מדינות ערב, ויש לה חלק מרכזי בתרבות ובמסורות של אותן קהילות.</w:t>
      </w:r>
    </w:p>
    <w:p w:rsidR="005348C3" w:rsidRDefault="005348C3">
      <w:pPr>
        <w:bidi/>
        <w:spacing w:line="360" w:lineRule="auto"/>
        <w:ind w:left="285" w:right="-285"/>
        <w:jc w:val="both"/>
      </w:pPr>
    </w:p>
    <w:p w:rsidR="005348C3" w:rsidRDefault="00BF7B95">
      <w:pPr>
        <w:bidi/>
        <w:spacing w:line="360" w:lineRule="auto"/>
        <w:ind w:left="285" w:right="-285"/>
        <w:jc w:val="both"/>
      </w:pPr>
      <w:r>
        <w:rPr>
          <w:b/>
          <w:sz w:val="24"/>
          <w:szCs w:val="24"/>
          <w:rtl/>
        </w:rPr>
        <w:t xml:space="preserve">לאור האמור לעיל, אנו פונים אל חברי </w:t>
      </w:r>
      <w:r>
        <w:rPr>
          <w:b/>
          <w:sz w:val="24"/>
          <w:szCs w:val="24"/>
          <w:rtl/>
        </w:rPr>
        <w:t>הועדה המכובדים ומבקשים כי יפעילו את סמכותם על מנת לדרוש כי</w:t>
      </w:r>
      <w:r>
        <w:rPr>
          <w:sz w:val="24"/>
          <w:szCs w:val="24"/>
        </w:rPr>
        <w:t xml:space="preserve"> </w:t>
      </w:r>
      <w:r>
        <w:rPr>
          <w:b/>
          <w:sz w:val="24"/>
          <w:szCs w:val="24"/>
          <w:rtl/>
        </w:rPr>
        <w:t>בכל המוסדות הציבוריים בישראל, ואלו הנתונים לרגולציה ממשלתית תהא השפה הערבית נוכחת באופן משמעותי ואף שוויוני לנוכחותה של השפה העברית: בבתי החולים, בתחבורה הציבורית, במוסדות התרבות המתוקצבים, בנמלי ה</w:t>
      </w:r>
      <w:r>
        <w:rPr>
          <w:b/>
          <w:sz w:val="24"/>
          <w:szCs w:val="24"/>
          <w:rtl/>
        </w:rPr>
        <w:t xml:space="preserve">ים והאוויר, ובאתרי המוסדות הממשלתיים.  </w:t>
      </w:r>
    </w:p>
    <w:p w:rsidR="005348C3" w:rsidRDefault="005348C3">
      <w:pPr>
        <w:bidi/>
        <w:spacing w:line="360" w:lineRule="auto"/>
        <w:ind w:left="285" w:right="-285"/>
        <w:jc w:val="both"/>
      </w:pPr>
    </w:p>
    <w:p w:rsidR="005348C3" w:rsidRDefault="005348C3">
      <w:pPr>
        <w:bidi/>
        <w:spacing w:line="360" w:lineRule="auto"/>
        <w:ind w:left="285" w:right="-285"/>
        <w:jc w:val="both"/>
      </w:pPr>
    </w:p>
    <w:p w:rsidR="005348C3" w:rsidRDefault="00BF7B95">
      <w:pPr>
        <w:bidi/>
        <w:spacing w:after="200" w:line="360" w:lineRule="auto"/>
        <w:ind w:left="285" w:right="-285"/>
        <w:jc w:val="both"/>
      </w:pPr>
      <w:r>
        <w:rPr>
          <w:sz w:val="24"/>
          <w:szCs w:val="24"/>
          <w:highlight w:val="white"/>
          <w:rtl/>
        </w:rPr>
        <w:t xml:space="preserve">לפרטים ויצירת קשר: גילי רעי מנהלת </w:t>
      </w:r>
      <w:proofErr w:type="spellStart"/>
      <w:r>
        <w:rPr>
          <w:sz w:val="24"/>
          <w:szCs w:val="24"/>
          <w:highlight w:val="white"/>
          <w:rtl/>
        </w:rPr>
        <w:t>שותפה,המחלקה</w:t>
      </w:r>
      <w:proofErr w:type="spellEnd"/>
      <w:r>
        <w:rPr>
          <w:sz w:val="24"/>
          <w:szCs w:val="24"/>
          <w:highlight w:val="white"/>
          <w:rtl/>
        </w:rPr>
        <w:t xml:space="preserve"> לחברה משותפת: </w:t>
      </w:r>
      <w:r>
        <w:rPr>
          <w:color w:val="1155CC"/>
          <w:sz w:val="24"/>
          <w:szCs w:val="24"/>
          <w:highlight w:val="white"/>
          <w:u w:val="single"/>
        </w:rPr>
        <w:t>gili@sikkuy.org.il</w:t>
      </w:r>
    </w:p>
    <w:p w:rsidR="005348C3" w:rsidRDefault="005348C3">
      <w:pPr>
        <w:spacing w:after="200" w:line="360" w:lineRule="auto"/>
        <w:ind w:left="285" w:right="-285"/>
        <w:jc w:val="both"/>
      </w:pPr>
    </w:p>
    <w:p w:rsidR="005348C3" w:rsidRDefault="005348C3">
      <w:pPr>
        <w:bidi/>
        <w:spacing w:line="360" w:lineRule="auto"/>
        <w:ind w:left="285" w:right="-285"/>
        <w:jc w:val="both"/>
      </w:pPr>
    </w:p>
    <w:p w:rsidR="005348C3" w:rsidRDefault="005348C3">
      <w:pPr>
        <w:bidi/>
        <w:spacing w:line="360" w:lineRule="auto"/>
        <w:ind w:left="285" w:right="-285"/>
        <w:jc w:val="both"/>
      </w:pPr>
    </w:p>
    <w:p w:rsidR="005348C3" w:rsidRDefault="005348C3">
      <w:pPr>
        <w:bidi/>
        <w:spacing w:line="360" w:lineRule="auto"/>
        <w:ind w:left="285" w:right="-285"/>
        <w:jc w:val="both"/>
      </w:pPr>
    </w:p>
    <w:p w:rsidR="005348C3" w:rsidRDefault="005348C3">
      <w:pPr>
        <w:bidi/>
        <w:spacing w:line="360" w:lineRule="auto"/>
        <w:ind w:left="570"/>
      </w:pPr>
    </w:p>
    <w:sectPr w:rsidR="005348C3">
      <w:footerReference w:type="default" r:id="rId8"/>
      <w:pgSz w:w="11906" w:h="16838"/>
      <w:pgMar w:top="1440" w:right="990" w:bottom="1890" w:left="990" w:header="720" w:footer="720" w:gutter="0"/>
      <w:pgNumType w:start="1"/>
      <w:cols w:space="720" w:equalWidth="0">
        <w:col w:w="864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7B95">
      <w:pPr>
        <w:spacing w:line="240" w:lineRule="auto"/>
      </w:pPr>
      <w:r>
        <w:separator/>
      </w:r>
    </w:p>
  </w:endnote>
  <w:endnote w:type="continuationSeparator" w:id="0">
    <w:p w:rsidR="00000000" w:rsidRDefault="00BF7B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8C3" w:rsidRDefault="00BF7B95">
    <w:pPr>
      <w:tabs>
        <w:tab w:val="center" w:pos="4153"/>
        <w:tab w:val="right" w:pos="8306"/>
      </w:tabs>
      <w:bidi/>
      <w:spacing w:line="240" w:lineRule="auto"/>
      <w:ind w:left="-284" w:right="-284"/>
    </w:pPr>
    <w:r>
      <w:rPr>
        <w:sz w:val="16"/>
        <w:szCs w:val="16"/>
      </w:rPr>
      <w:t xml:space="preserve">       _____________________________________________________________________________________________________________</w:t>
    </w:r>
  </w:p>
  <w:p w:rsidR="005348C3" w:rsidRDefault="00BF7B95">
    <w:pPr>
      <w:tabs>
        <w:tab w:val="center" w:pos="4153"/>
        <w:tab w:val="right" w:pos="8306"/>
      </w:tabs>
      <w:bidi/>
      <w:spacing w:line="240" w:lineRule="auto"/>
      <w:ind w:left="-852" w:right="-851"/>
      <w:jc w:val="center"/>
    </w:pPr>
    <w:r>
      <w:rPr>
        <w:sz w:val="16"/>
        <w:szCs w:val="16"/>
        <w:rtl/>
        <w:lang w:bidi="ar-SA"/>
      </w:rPr>
      <w:t xml:space="preserve">شارع </w:t>
    </w:r>
    <w:proofErr w:type="spellStart"/>
    <w:r>
      <w:rPr>
        <w:sz w:val="16"/>
        <w:szCs w:val="16"/>
        <w:rtl/>
        <w:lang w:bidi="ar-SA"/>
      </w:rPr>
      <w:t>همشوررت</w:t>
    </w:r>
    <w:proofErr w:type="spellEnd"/>
    <w:r>
      <w:rPr>
        <w:sz w:val="16"/>
        <w:szCs w:val="16"/>
        <w:rtl/>
        <w:lang w:bidi="ar-SA"/>
      </w:rPr>
      <w:t xml:space="preserve"> راحيل </w:t>
    </w:r>
    <w:r>
      <w:rPr>
        <w:sz w:val="16"/>
        <w:szCs w:val="16"/>
        <w:rtl/>
      </w:rPr>
      <w:t>17</w:t>
    </w:r>
    <w:proofErr w:type="gramStart"/>
    <w:r>
      <w:rPr>
        <w:sz w:val="16"/>
        <w:szCs w:val="16"/>
        <w:rtl/>
      </w:rPr>
      <w:t>,</w:t>
    </w:r>
    <w:proofErr w:type="gramEnd"/>
    <w:r>
      <w:rPr>
        <w:sz w:val="16"/>
        <w:szCs w:val="16"/>
        <w:rtl/>
      </w:rPr>
      <w:t xml:space="preserve"> </w:t>
    </w:r>
    <w:r>
      <w:rPr>
        <w:sz w:val="16"/>
        <w:szCs w:val="16"/>
        <w:rtl/>
        <w:lang w:bidi="ar-SA"/>
      </w:rPr>
      <w:t xml:space="preserve">بيت </w:t>
    </w:r>
    <w:proofErr w:type="spellStart"/>
    <w:r>
      <w:rPr>
        <w:sz w:val="16"/>
        <w:szCs w:val="16"/>
        <w:rtl/>
        <w:lang w:bidi="ar-SA"/>
      </w:rPr>
      <w:t>هكيرم</w:t>
    </w:r>
    <w:proofErr w:type="spellEnd"/>
    <w:r>
      <w:rPr>
        <w:sz w:val="16"/>
        <w:szCs w:val="16"/>
        <w:rtl/>
      </w:rPr>
      <w:t xml:space="preserve">, </w:t>
    </w:r>
    <w:r>
      <w:rPr>
        <w:sz w:val="16"/>
        <w:szCs w:val="16"/>
        <w:rtl/>
        <w:lang w:bidi="ar-SA"/>
      </w:rPr>
      <w:t xml:space="preserve">القدس </w:t>
    </w:r>
    <w:r>
      <w:rPr>
        <w:sz w:val="16"/>
        <w:szCs w:val="16"/>
        <w:rtl/>
      </w:rPr>
      <w:t xml:space="preserve">96348, </w:t>
    </w:r>
    <w:r>
      <w:rPr>
        <w:sz w:val="16"/>
        <w:szCs w:val="16"/>
        <w:rtl/>
        <w:lang w:bidi="ar-SA"/>
      </w:rPr>
      <w:t>تل</w:t>
    </w:r>
    <w:r>
      <w:rPr>
        <w:sz w:val="16"/>
        <w:szCs w:val="16"/>
        <w:rtl/>
      </w:rPr>
      <w:t xml:space="preserve">: 6541225- 02. </w:t>
    </w:r>
    <w:proofErr w:type="spellStart"/>
    <w:r>
      <w:rPr>
        <w:sz w:val="16"/>
        <w:szCs w:val="16"/>
        <w:rtl/>
        <w:lang w:bidi="ar-SA"/>
      </w:rPr>
      <w:t>شدروات</w:t>
    </w:r>
    <w:proofErr w:type="spellEnd"/>
    <w:r>
      <w:rPr>
        <w:sz w:val="16"/>
        <w:szCs w:val="16"/>
        <w:rtl/>
        <w:lang w:bidi="ar-SA"/>
      </w:rPr>
      <w:t xml:space="preserve"> بن </w:t>
    </w:r>
    <w:proofErr w:type="spellStart"/>
    <w:r>
      <w:rPr>
        <w:sz w:val="16"/>
        <w:szCs w:val="16"/>
        <w:rtl/>
        <w:lang w:bidi="ar-SA"/>
      </w:rPr>
      <w:t>جوريون</w:t>
    </w:r>
    <w:proofErr w:type="spellEnd"/>
    <w:r>
      <w:rPr>
        <w:sz w:val="16"/>
        <w:szCs w:val="16"/>
        <w:rtl/>
        <w:lang w:bidi="ar-SA"/>
      </w:rPr>
      <w:t xml:space="preserve"> </w:t>
    </w:r>
    <w:r>
      <w:rPr>
        <w:sz w:val="16"/>
        <w:szCs w:val="16"/>
        <w:rtl/>
      </w:rPr>
      <w:t>57</w:t>
    </w:r>
    <w:proofErr w:type="gramStart"/>
    <w:r>
      <w:rPr>
        <w:sz w:val="16"/>
        <w:szCs w:val="16"/>
        <w:rtl/>
      </w:rPr>
      <w:t>,</w:t>
    </w:r>
    <w:proofErr w:type="gramEnd"/>
    <w:r>
      <w:rPr>
        <w:sz w:val="16"/>
        <w:szCs w:val="16"/>
        <w:rtl/>
      </w:rPr>
      <w:t xml:space="preserve"> </w:t>
    </w:r>
    <w:r>
      <w:rPr>
        <w:sz w:val="16"/>
        <w:szCs w:val="16"/>
        <w:rtl/>
        <w:lang w:bidi="ar-SA"/>
      </w:rPr>
      <w:t>ص</w:t>
    </w:r>
    <w:r>
      <w:rPr>
        <w:sz w:val="16"/>
        <w:szCs w:val="16"/>
        <w:rtl/>
      </w:rPr>
      <w:t>.</w:t>
    </w:r>
    <w:r>
      <w:rPr>
        <w:sz w:val="16"/>
        <w:szCs w:val="16"/>
        <w:rtl/>
        <w:lang w:bidi="ar-SA"/>
      </w:rPr>
      <w:t>ب</w:t>
    </w:r>
    <w:r>
      <w:rPr>
        <w:sz w:val="16"/>
        <w:szCs w:val="16"/>
        <w:rtl/>
      </w:rPr>
      <w:t xml:space="preserve">. 99650, </w:t>
    </w:r>
    <w:r>
      <w:rPr>
        <w:sz w:val="16"/>
        <w:szCs w:val="16"/>
        <w:rtl/>
        <w:lang w:bidi="ar-SA"/>
      </w:rPr>
      <w:t xml:space="preserve">حيفا </w:t>
    </w:r>
    <w:r>
      <w:rPr>
        <w:sz w:val="16"/>
        <w:szCs w:val="16"/>
        <w:rtl/>
      </w:rPr>
      <w:t xml:space="preserve">31996, </w:t>
    </w:r>
    <w:r>
      <w:rPr>
        <w:sz w:val="16"/>
        <w:szCs w:val="16"/>
        <w:rtl/>
        <w:lang w:bidi="ar-SA"/>
      </w:rPr>
      <w:t>تل</w:t>
    </w:r>
    <w:r>
      <w:rPr>
        <w:sz w:val="16"/>
        <w:szCs w:val="16"/>
        <w:rtl/>
      </w:rPr>
      <w:t>: 8523188-04</w:t>
    </w:r>
    <w:r>
      <w:rPr>
        <w:noProof/>
      </w:rPr>
      <mc:AlternateContent>
        <mc:Choice Requires="wps">
          <w:drawing>
            <wp:anchor distT="0" distB="0" distL="114300" distR="114300" simplePos="0" relativeHeight="251658240" behindDoc="0" locked="0" layoutInCell="0" hidden="0" allowOverlap="1">
              <wp:simplePos x="0" y="0"/>
              <wp:positionH relativeFrom="margin">
                <wp:posOffset>38100</wp:posOffset>
              </wp:positionH>
              <wp:positionV relativeFrom="paragraph">
                <wp:posOffset>0</wp:posOffset>
              </wp:positionV>
              <wp:extent cx="6743700" cy="12700"/>
              <wp:effectExtent l="0" t="0" r="0" b="0"/>
              <wp:wrapNone/>
              <wp:docPr id="2" name=""/>
              <wp:cNvGraphicFramePr/>
              <a:graphic xmlns:a="http://schemas.openxmlformats.org/drawingml/2006/main">
                <a:graphicData uri="http://schemas.microsoft.com/office/word/2010/wordprocessingShape">
                  <wps:wsp>
                    <wps:cNvCnPr/>
                    <wps:spPr>
                      <a:xfrm rot="10800000">
                        <a:off x="1974149" y="3780000"/>
                        <a:ext cx="6743700" cy="0"/>
                      </a:xfrm>
                      <a:prstGeom prst="straightConnector1">
                        <a:avLst/>
                      </a:prstGeom>
                      <a:noFill/>
                      <a:ln>
                        <a:noFill/>
                      </a:ln>
                    </wps:spPr>
                    <wps:bodyPr/>
                  </wps:wsp>
                </a:graphicData>
              </a:graphic>
            </wp:anchor>
          </w:drawing>
        </mc:Choice>
        <mc:Fallback>
          <w:pict>
            <v:shapetype w14:anchorId="75C6D63D" id="_x0000_t32" coordsize="21600,21600" o:spt="32" o:oned="t" path="m,l21600,21600e" filled="f">
              <v:path arrowok="t" fillok="f" o:connecttype="none"/>
              <o:lock v:ext="edit" shapetype="t"/>
            </v:shapetype>
            <v:shape id="מחבר חץ ישר 2" o:spid="_x0000_s1026" type="#_x0000_t32" style="position:absolute;left:0;text-align:left;margin-left:3pt;margin-top:0;width:531pt;height:1pt;rotation:180;z-index:25165824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8lbpwEAAA4DAAAOAAAAZHJzL2Uyb0RvYy54bWysUktu2zAQ3RfoHQjua0qOESeC5SwSpJsi&#10;NdDmAAxFWgREDjFkLfsYWRXddFegPZGu0yHtJP3simoxmg/ncd4brq72bmA7jdGCb3k9qzjTXkFn&#10;/bbl9x9v31xwFpP0nRzA65YfdORX69evVmNo9Bx6GDqNjEB8bMbQ8j6l0AgRVa+djDMI2lPRADqZ&#10;KMSt6FCOhO4GMa+qczECdgFB6Rgpe3Ms8nXBN0ar9N6YqBMbWk6zpWKx2IdsxXolmy3K0Ft1GkP+&#10;wxROWk+XPkPdyCTZJ7R/QTmrECKYNFPgBBhjlS4ciE1d/cHmQy+DLlxInBieZYr/D1bd7TbIbNfy&#10;OWdeOlrR9HX6PD1O3xn9vrHpy/SD/HlWagyxoYZrv8FTFMMGM+29QccQSN66uqjyV9QgfmxPucvl&#10;ol5ccnZo+dmy1I/C631iig6cLxdnS+phik6UpYgjZsYOGNNbDY5lp+UxobTbPl2D97RewLpcJXfv&#10;YqKpqPGpITd7uLXDULY8+N8SdDBnRCZ1pJG9B+gOhV3Jk+gF8fRA8lZ/jUv3yzNe/wQAAP//AwBQ&#10;SwMEFAAGAAgAAAAhAEZJdXPdAAAABQEAAA8AAABkcnMvZG93bnJldi54bWxMjzFPwzAQhXck/oN1&#10;SCyIOmRIQ8ilQpEQiE60HRjd+JpEjc9W7DaBX4870eX0Tu/03nflajaDONPoe8sIT4sEBHFjdc8t&#10;wm779piD8EGxVoNlQvghD6vq9qZUhbYTf9F5E1oRQ9gXCqELwRVS+qYjo/zCOuLoHexoVIjr2Eo9&#10;qimGm0GmSZJJo3qODZ1yVHfUHDcng/D8sJxyV9efH5Ru17vvdv3r3peI93fz6wuIQHP4P4YLfkSH&#10;KjLt7Ym1FwNCFj8JCHFezCTLo9ojpAnIqpTX9NUfAAAA//8DAFBLAQItABQABgAIAAAAIQC2gziS&#10;/gAAAOEBAAATAAAAAAAAAAAAAAAAAAAAAABbQ29udGVudF9UeXBlc10ueG1sUEsBAi0AFAAGAAgA&#10;AAAhADj9If/WAAAAlAEAAAsAAAAAAAAAAAAAAAAALwEAAF9yZWxzLy5yZWxzUEsBAi0AFAAGAAgA&#10;AAAhACvryVunAQAADgMAAA4AAAAAAAAAAAAAAAAALgIAAGRycy9lMm9Eb2MueG1sUEsBAi0AFAAG&#10;AAgAAAAhAEZJdXPdAAAABQEAAA8AAAAAAAAAAAAAAAAAAQQAAGRycy9kb3ducmV2LnhtbFBLBQYA&#10;AAAABAAEAPMAAAALBQAAAAA=&#10;" o:allowincell="f" stroked="f">
              <w10:wrap anchorx="margin"/>
            </v:shape>
          </w:pict>
        </mc:Fallback>
      </mc:AlternateContent>
    </w:r>
  </w:p>
  <w:p w:rsidR="005348C3" w:rsidRDefault="00BF7B95">
    <w:pPr>
      <w:tabs>
        <w:tab w:val="center" w:pos="4153"/>
        <w:tab w:val="right" w:pos="8306"/>
      </w:tabs>
      <w:bidi/>
      <w:spacing w:line="240" w:lineRule="auto"/>
      <w:ind w:left="-710" w:right="-142"/>
      <w:jc w:val="center"/>
    </w:pPr>
    <w:r>
      <w:rPr>
        <w:sz w:val="18"/>
        <w:szCs w:val="18"/>
        <w:rtl/>
      </w:rPr>
      <w:t xml:space="preserve">            רח</w:t>
    </w:r>
    <w:r>
      <w:rPr>
        <w:sz w:val="18"/>
        <w:szCs w:val="18"/>
        <w:rtl/>
      </w:rPr>
      <w:t xml:space="preserve">וב המשוררת רחל 17, בית הכרם, ירושלים 96348, טל. 02-6541225. רח' שדרות בן גוריון   57, ת.ד 99650, חיפה 31996, טל: 04-8523188 </w:t>
    </w:r>
  </w:p>
  <w:p w:rsidR="005348C3" w:rsidRDefault="00BF7B95">
    <w:pPr>
      <w:tabs>
        <w:tab w:val="left" w:pos="825"/>
        <w:tab w:val="center" w:pos="3755"/>
        <w:tab w:val="center" w:pos="4498"/>
        <w:tab w:val="right" w:pos="8504"/>
      </w:tabs>
      <w:bidi/>
      <w:spacing w:line="240" w:lineRule="auto"/>
      <w:jc w:val="center"/>
    </w:pPr>
    <w:r>
      <w:rPr>
        <w:rFonts w:ascii="Times New Roman" w:eastAsia="Times New Roman" w:hAnsi="Times New Roman" w:cs="Times New Roman"/>
        <w:sz w:val="20"/>
        <w:szCs w:val="20"/>
      </w:rPr>
      <w:t xml:space="preserve">jerusalem@sikkuy.org.il               www.sikkuy.org.il                        </w:t>
    </w:r>
    <w:r>
      <w:rPr>
        <w:sz w:val="20"/>
        <w:szCs w:val="20"/>
      </w:rPr>
      <w:t xml:space="preserve"> </w:t>
    </w:r>
    <w:r>
      <w:rPr>
        <w:rFonts w:ascii="Times New Roman" w:eastAsia="Times New Roman" w:hAnsi="Times New Roman" w:cs="Times New Roman"/>
        <w:sz w:val="20"/>
        <w:szCs w:val="20"/>
      </w:rPr>
      <w:t>haifa@sikkuy.org.il</w:t>
    </w:r>
  </w:p>
  <w:p w:rsidR="005348C3" w:rsidRDefault="005348C3">
    <w:pPr>
      <w:bidi/>
      <w:spacing w:after="72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7B95">
      <w:pPr>
        <w:spacing w:line="240" w:lineRule="auto"/>
      </w:pPr>
      <w:r>
        <w:separator/>
      </w:r>
    </w:p>
  </w:footnote>
  <w:footnote w:type="continuationSeparator" w:id="0">
    <w:p w:rsidR="00000000" w:rsidRDefault="00BF7B9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C03801"/>
    <w:multiLevelType w:val="multilevel"/>
    <w:tmpl w:val="5AFA81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ctiveWritingStyle w:appName="MSWord" w:lang="ar-SA"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C3"/>
    <w:rsid w:val="005348C3"/>
    <w:rsid w:val="00BF7B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163E15-B112-45FD-9EF0-E9F5B1D4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he-IL"/>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FC87AF-1895-40F6-AFD8-3B3D62E56B06}"/>
</file>

<file path=customXml/itemProps2.xml><?xml version="1.0" encoding="utf-8"?>
<ds:datastoreItem xmlns:ds="http://schemas.openxmlformats.org/officeDocument/2006/customXml" ds:itemID="{7F3286EF-5CB2-4AF3-9B2D-1E5FCA7841BD}"/>
</file>

<file path=customXml/itemProps3.xml><?xml version="1.0" encoding="utf-8"?>
<ds:datastoreItem xmlns:ds="http://schemas.openxmlformats.org/officeDocument/2006/customXml" ds:itemID="{D2DF05EB-BFCE-4BA2-94C6-963B725221B9}"/>
</file>

<file path=docProps/app.xml><?xml version="1.0" encoding="utf-8"?>
<Properties xmlns="http://schemas.openxmlformats.org/officeDocument/2006/extended-properties" xmlns:vt="http://schemas.openxmlformats.org/officeDocument/2006/docPropsVTypes">
  <Template>Normal</Template>
  <TotalTime>2</TotalTime>
  <Pages>2</Pages>
  <Words>489</Words>
  <Characters>2446</Characters>
  <Application>Microsoft Office Word</Application>
  <DocSecurity>4</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חופית עלפי</dc:creator>
  <cp:lastModifiedBy>חופית עלפי</cp:lastModifiedBy>
  <cp:revision>2</cp:revision>
  <dcterms:created xsi:type="dcterms:W3CDTF">2016-05-23T11:34:00Z</dcterms:created>
  <dcterms:modified xsi:type="dcterms:W3CDTF">2016-05-23T11:34:00Z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2002431</vt:r8>
  </property>
</Properties>
</file>