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F7" w:rsidRDefault="003320F7" w:rsidP="00152A4C">
      <w:pPr>
        <w:pStyle w:val="HeadHatzaotHok"/>
        <w:keepNext w:val="0"/>
        <w:keepLines w:val="0"/>
        <w:rPr>
          <w:rtl/>
        </w:rPr>
      </w:pPr>
      <w:bookmarkStart w:id="0" w:name="_GoBack"/>
      <w:bookmarkEnd w:id="0"/>
      <w:r>
        <w:rPr>
          <w:rFonts w:hint="cs"/>
          <w:rtl/>
        </w:rPr>
        <w:t>תקנות עובדים זרים</w:t>
      </w:r>
      <w:r w:rsidR="00F02829">
        <w:rPr>
          <w:rFonts w:hint="cs"/>
          <w:rtl/>
        </w:rPr>
        <w:t xml:space="preserve"> </w:t>
      </w:r>
      <w:r w:rsidR="00F02829" w:rsidRPr="00F02829">
        <w:rPr>
          <w:rtl/>
        </w:rPr>
        <w:t>(איסור העסקה שלא כדין והבטחת תנאים הוגנים)</w:t>
      </w:r>
      <w:r>
        <w:rPr>
          <w:rFonts w:hint="cs"/>
          <w:rtl/>
        </w:rPr>
        <w:t xml:space="preserve"> </w:t>
      </w:r>
      <w:r w:rsidRPr="00CF5BDF">
        <w:rPr>
          <w:rFonts w:hint="cs"/>
          <w:rtl/>
        </w:rPr>
        <w:t>(</w:t>
      </w:r>
      <w:r w:rsidR="00EB4E92">
        <w:rPr>
          <w:rFonts w:hint="cs"/>
          <w:rtl/>
        </w:rPr>
        <w:t>שיעור ניכויים מהשכר בעד מגורים הולמים</w:t>
      </w:r>
      <w:r w:rsidRPr="00CF5BDF">
        <w:rPr>
          <w:rFonts w:hint="cs"/>
          <w:rtl/>
        </w:rPr>
        <w:t>)</w:t>
      </w:r>
      <w:r w:rsidR="00817E1C">
        <w:rPr>
          <w:rFonts w:hint="cs"/>
          <w:rtl/>
        </w:rPr>
        <w:t>(תיקון)</w:t>
      </w:r>
      <w:r w:rsidR="002316CA">
        <w:rPr>
          <w:rFonts w:hint="cs"/>
          <w:rtl/>
        </w:rPr>
        <w:t>, התשע"</w:t>
      </w:r>
      <w:r w:rsidR="00152A4C">
        <w:rPr>
          <w:rFonts w:hint="cs"/>
          <w:rtl/>
        </w:rPr>
        <w:t>ו</w:t>
      </w:r>
      <w:r w:rsidR="00EB4E92">
        <w:rPr>
          <w:rFonts w:hint="cs"/>
          <w:rtl/>
        </w:rPr>
        <w:t>-</w:t>
      </w:r>
      <w:r w:rsidR="00152A4C">
        <w:rPr>
          <w:rFonts w:hint="cs"/>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382"/>
        <w:gridCol w:w="2382"/>
        <w:gridCol w:w="2382"/>
      </w:tblGrid>
      <w:tr w:rsidR="00EB4E92" w:rsidTr="00A235CE">
        <w:trPr>
          <w:cantSplit/>
          <w:trHeight w:val="60"/>
        </w:trPr>
        <w:tc>
          <w:tcPr>
            <w:tcW w:w="9641" w:type="dxa"/>
            <w:gridSpan w:val="5"/>
          </w:tcPr>
          <w:p w:rsidR="00EB4E92" w:rsidRPr="00C34DE2" w:rsidRDefault="00EB4E92" w:rsidP="00F02829">
            <w:pPr>
              <w:pStyle w:val="TableBlock"/>
            </w:pPr>
            <w:r w:rsidRPr="00EB4E92">
              <w:rPr>
                <w:rtl/>
              </w:rPr>
              <w:t>בת</w:t>
            </w:r>
            <w:r w:rsidRPr="00EB4E92">
              <w:rPr>
                <w:rFonts w:hint="cs"/>
                <w:rtl/>
              </w:rPr>
              <w:t xml:space="preserve">וקף סמכותי לפי סעיפים 1ה(ב), 1ז ו-6ב לחוק עובדים זרים, </w:t>
            </w:r>
            <w:r w:rsidR="00F02829">
              <w:rPr>
                <w:rFonts w:hint="cs"/>
                <w:rtl/>
              </w:rPr>
              <w:t>ה</w:t>
            </w:r>
            <w:r w:rsidRPr="00EB4E92">
              <w:rPr>
                <w:rFonts w:hint="cs"/>
                <w:rtl/>
              </w:rPr>
              <w:t>תשנ"א-199</w:t>
            </w:r>
            <w:r w:rsidRPr="00EB4E92">
              <w:rPr>
                <w:rtl/>
              </w:rPr>
              <w:t>1</w:t>
            </w:r>
            <w:r w:rsidRPr="001D302E">
              <w:rPr>
                <w:rStyle w:val="ad"/>
                <w:szCs w:val="20"/>
                <w:rtl/>
              </w:rPr>
              <w:footnoteReference w:id="1"/>
            </w:r>
            <w:r w:rsidRPr="00EB4E92">
              <w:rPr>
                <w:rtl/>
              </w:rPr>
              <w:t xml:space="preserve"> (ל</w:t>
            </w:r>
            <w:r w:rsidRPr="00EB4E92">
              <w:rPr>
                <w:rFonts w:hint="cs"/>
                <w:rtl/>
              </w:rPr>
              <w:t xml:space="preserve">הלן - החוק), </w:t>
            </w:r>
            <w:r w:rsidRPr="00283243">
              <w:rPr>
                <w:rFonts w:hint="cs"/>
                <w:rtl/>
              </w:rPr>
              <w:t>לאחר התייע</w:t>
            </w:r>
            <w:r w:rsidRPr="00283243">
              <w:rPr>
                <w:rtl/>
              </w:rPr>
              <w:t>צ</w:t>
            </w:r>
            <w:r w:rsidRPr="00283243">
              <w:rPr>
                <w:rFonts w:hint="cs"/>
                <w:rtl/>
              </w:rPr>
              <w:t>ות</w:t>
            </w:r>
            <w:r w:rsidR="00783A8B" w:rsidRPr="00283243">
              <w:rPr>
                <w:rFonts w:hint="cs"/>
                <w:rtl/>
              </w:rPr>
              <w:t xml:space="preserve"> </w:t>
            </w:r>
            <w:r w:rsidRPr="00EB4E92">
              <w:rPr>
                <w:rFonts w:hint="cs"/>
                <w:rtl/>
              </w:rPr>
              <w:t xml:space="preserve">עם ארגון </w:t>
            </w:r>
            <w:r w:rsidR="00743ACE">
              <w:rPr>
                <w:rFonts w:hint="cs"/>
                <w:rtl/>
              </w:rPr>
              <w:t>ה</w:t>
            </w:r>
            <w:r w:rsidRPr="00EB4E92">
              <w:rPr>
                <w:rFonts w:hint="cs"/>
                <w:rtl/>
              </w:rPr>
              <w:t>עובדים שעם חבריו נמנה המספר הגדול ביותר של עובדים מאורגנים בישראל ועם ארגוני מעבידים שלדעתי הם ארגוני מעבידים יציגים ונ</w:t>
            </w:r>
            <w:r w:rsidR="00455165">
              <w:rPr>
                <w:rFonts w:hint="cs"/>
                <w:rtl/>
              </w:rPr>
              <w:t>וגעים בדבר</w:t>
            </w:r>
            <w:r w:rsidR="00F02829">
              <w:rPr>
                <w:rFonts w:hint="cs"/>
                <w:rtl/>
              </w:rPr>
              <w:t>,</w:t>
            </w:r>
            <w:r w:rsidR="00455165">
              <w:rPr>
                <w:rFonts w:hint="cs"/>
                <w:rtl/>
              </w:rPr>
              <w:t xml:space="preserve"> ובאישור ועדת העבודה</w:t>
            </w:r>
            <w:r w:rsidR="00F02829">
              <w:rPr>
                <w:rFonts w:hint="cs"/>
                <w:rtl/>
              </w:rPr>
              <w:t>,</w:t>
            </w:r>
            <w:r w:rsidR="00455165">
              <w:rPr>
                <w:rFonts w:hint="cs"/>
                <w:rtl/>
              </w:rPr>
              <w:t xml:space="preserve"> </w:t>
            </w:r>
            <w:r w:rsidRPr="00EB4E92">
              <w:rPr>
                <w:rFonts w:hint="cs"/>
                <w:rtl/>
              </w:rPr>
              <w:t>הרווחה</w:t>
            </w:r>
            <w:r w:rsidR="00455165">
              <w:rPr>
                <w:rFonts w:hint="cs"/>
                <w:rtl/>
              </w:rPr>
              <w:t xml:space="preserve"> והבריאות</w:t>
            </w:r>
            <w:r w:rsidRPr="00EB4E92">
              <w:rPr>
                <w:rFonts w:hint="cs"/>
                <w:rtl/>
              </w:rPr>
              <w:t xml:space="preserve"> של הכנסת, אני מתקין תקנות אלה:</w:t>
            </w:r>
          </w:p>
        </w:tc>
      </w:tr>
      <w:tr w:rsidR="003320F7" w:rsidRPr="001D302E">
        <w:trPr>
          <w:cantSplit/>
          <w:trHeight w:val="60"/>
        </w:trPr>
        <w:tc>
          <w:tcPr>
            <w:tcW w:w="1871" w:type="dxa"/>
          </w:tcPr>
          <w:p w:rsidR="003320F7" w:rsidRDefault="00F02829" w:rsidP="00A235CE">
            <w:pPr>
              <w:pStyle w:val="TableSideHeading"/>
              <w:keepLines w:val="0"/>
            </w:pPr>
            <w:r>
              <w:rPr>
                <w:rFonts w:hint="cs"/>
                <w:rtl/>
              </w:rPr>
              <w:t>תיקון השם</w:t>
            </w:r>
          </w:p>
        </w:tc>
        <w:tc>
          <w:tcPr>
            <w:tcW w:w="624" w:type="dxa"/>
          </w:tcPr>
          <w:p w:rsidR="003320F7" w:rsidRDefault="00EB4E92" w:rsidP="003320F7">
            <w:pPr>
              <w:pStyle w:val="TableText"/>
              <w:keepLines w:val="0"/>
              <w:numPr>
                <w:ilvl w:val="0"/>
                <w:numId w:val="1"/>
              </w:numPr>
            </w:pPr>
            <w:r>
              <w:rPr>
                <w:rFonts w:hint="cs"/>
                <w:rtl/>
              </w:rPr>
              <w:t>ב</w:t>
            </w:r>
          </w:p>
        </w:tc>
        <w:tc>
          <w:tcPr>
            <w:tcW w:w="7146" w:type="dxa"/>
            <w:gridSpan w:val="3"/>
          </w:tcPr>
          <w:p w:rsidR="003320F7" w:rsidRPr="00C34DE2" w:rsidRDefault="00EB4E92" w:rsidP="00F02829">
            <w:pPr>
              <w:pStyle w:val="TableBlock"/>
              <w:keepLines w:val="0"/>
            </w:pPr>
            <w:r>
              <w:rPr>
                <w:rFonts w:hint="cs"/>
                <w:rtl/>
              </w:rPr>
              <w:t>ב</w:t>
            </w:r>
            <w:r w:rsidR="00F02829">
              <w:rPr>
                <w:rFonts w:hint="cs"/>
                <w:rtl/>
              </w:rPr>
              <w:t xml:space="preserve">שמן של </w:t>
            </w:r>
            <w:r>
              <w:rPr>
                <w:rFonts w:hint="cs"/>
                <w:rtl/>
              </w:rPr>
              <w:t>תקנות עובדים זרים (</w:t>
            </w:r>
            <w:r w:rsidR="0029609A">
              <w:rPr>
                <w:rFonts w:hint="cs"/>
                <w:rtl/>
              </w:rPr>
              <w:t>איסור העסקה שלא כדין והבטחת תנאים הוגנים)</w:t>
            </w:r>
            <w:r w:rsidR="001D302E">
              <w:rPr>
                <w:rFonts w:hint="cs"/>
                <w:rtl/>
              </w:rPr>
              <w:t xml:space="preserve"> </w:t>
            </w:r>
            <w:r w:rsidR="0029609A">
              <w:rPr>
                <w:rFonts w:hint="cs"/>
                <w:rtl/>
              </w:rPr>
              <w:t>(שיעור ניכויים מהשכר בעד מגורים הולמים), התש</w:t>
            </w:r>
            <w:r w:rsidR="00F02829">
              <w:rPr>
                <w:rFonts w:hint="cs"/>
                <w:rtl/>
              </w:rPr>
              <w:t>"</w:t>
            </w:r>
            <w:r w:rsidR="0029609A">
              <w:rPr>
                <w:rFonts w:hint="cs"/>
                <w:rtl/>
              </w:rPr>
              <w:t>ס-2000</w:t>
            </w:r>
            <w:r w:rsidR="0029609A" w:rsidRPr="001D302E">
              <w:rPr>
                <w:szCs w:val="20"/>
                <w:rtl/>
              </w:rPr>
              <w:footnoteReference w:id="2"/>
            </w:r>
            <w:r w:rsidR="0029609A" w:rsidRPr="001D302E">
              <w:rPr>
                <w:rFonts w:hint="cs"/>
                <w:szCs w:val="20"/>
                <w:rtl/>
              </w:rPr>
              <w:t xml:space="preserve"> </w:t>
            </w:r>
            <w:r w:rsidR="0029609A">
              <w:rPr>
                <w:rFonts w:hint="cs"/>
                <w:rtl/>
              </w:rPr>
              <w:t xml:space="preserve">(להלן התקנות העיקריות), המלים "(איסור העסקה שלא כדין והבטחת תנאים הוגנים)" </w:t>
            </w:r>
            <w:r w:rsidR="0029609A">
              <w:rPr>
                <w:rtl/>
              </w:rPr>
              <w:t>–</w:t>
            </w:r>
            <w:r w:rsidR="0029609A">
              <w:rPr>
                <w:rFonts w:hint="cs"/>
                <w:rtl/>
              </w:rPr>
              <w:t xml:space="preserve"> יימחקו.</w:t>
            </w:r>
          </w:p>
        </w:tc>
      </w:tr>
      <w:tr w:rsidR="0029609A">
        <w:trPr>
          <w:cantSplit/>
          <w:trHeight w:val="60"/>
        </w:trPr>
        <w:tc>
          <w:tcPr>
            <w:tcW w:w="1871" w:type="dxa"/>
          </w:tcPr>
          <w:p w:rsidR="0029609A" w:rsidRDefault="00605C31" w:rsidP="00A235CE">
            <w:pPr>
              <w:pStyle w:val="TableSideHeading"/>
              <w:keepLines w:val="0"/>
              <w:rPr>
                <w:rtl/>
              </w:rPr>
            </w:pPr>
            <w:r>
              <w:rPr>
                <w:rFonts w:hint="cs"/>
                <w:rtl/>
              </w:rPr>
              <w:t>תיקון תקנה 2</w:t>
            </w:r>
          </w:p>
        </w:tc>
        <w:tc>
          <w:tcPr>
            <w:tcW w:w="624" w:type="dxa"/>
          </w:tcPr>
          <w:p w:rsidR="0029609A" w:rsidRDefault="0029609A" w:rsidP="0029609A">
            <w:pPr>
              <w:pStyle w:val="TableText"/>
              <w:keepLines w:val="0"/>
              <w:numPr>
                <w:ilvl w:val="0"/>
                <w:numId w:val="1"/>
              </w:numPr>
              <w:rPr>
                <w:rtl/>
              </w:rPr>
            </w:pPr>
          </w:p>
        </w:tc>
        <w:tc>
          <w:tcPr>
            <w:tcW w:w="7146" w:type="dxa"/>
            <w:gridSpan w:val="3"/>
          </w:tcPr>
          <w:p w:rsidR="0029609A" w:rsidRDefault="00605C31" w:rsidP="00F02829">
            <w:pPr>
              <w:pStyle w:val="TableBlock"/>
              <w:keepLines w:val="0"/>
              <w:rPr>
                <w:rtl/>
              </w:rPr>
            </w:pPr>
            <w:r>
              <w:rPr>
                <w:rFonts w:hint="cs"/>
                <w:rtl/>
              </w:rPr>
              <w:t>בתקנה 2 לתקנות העיקריות, אחרי תקנת משנה (</w:t>
            </w:r>
            <w:r w:rsidR="00F02829">
              <w:rPr>
                <w:rFonts w:hint="cs"/>
                <w:rtl/>
              </w:rPr>
              <w:t>ב</w:t>
            </w:r>
            <w:r>
              <w:rPr>
                <w:rFonts w:hint="cs"/>
                <w:rtl/>
              </w:rPr>
              <w:t>)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Default="00605C31" w:rsidP="009B3061">
            <w:pPr>
              <w:pStyle w:val="TableBlock"/>
              <w:rPr>
                <w:rtl/>
              </w:rPr>
            </w:pPr>
            <w:r>
              <w:rPr>
                <w:rFonts w:hint="cs"/>
                <w:rtl/>
              </w:rPr>
              <w:t>"(</w:t>
            </w:r>
            <w:r w:rsidR="00F02829">
              <w:rPr>
                <w:rFonts w:hint="cs"/>
                <w:rtl/>
              </w:rPr>
              <w:t>ג</w:t>
            </w:r>
            <w:r>
              <w:rPr>
                <w:rFonts w:hint="cs"/>
                <w:rtl/>
              </w:rPr>
              <w:t>) על אף האמור בתקנ</w:t>
            </w:r>
            <w:r w:rsidR="0088409D">
              <w:rPr>
                <w:rFonts w:hint="cs"/>
                <w:rtl/>
              </w:rPr>
              <w:t>ו</w:t>
            </w:r>
            <w:r>
              <w:rPr>
                <w:rFonts w:hint="cs"/>
                <w:rtl/>
              </w:rPr>
              <w:t>ת משנה (א)</w:t>
            </w:r>
            <w:r w:rsidR="0088409D">
              <w:rPr>
                <w:rFonts w:hint="cs"/>
                <w:rtl/>
              </w:rPr>
              <w:t xml:space="preserve"> ו- (ב)</w:t>
            </w:r>
            <w:r>
              <w:rPr>
                <w:rFonts w:hint="cs"/>
                <w:rtl/>
              </w:rPr>
              <w:t xml:space="preserve">, </w:t>
            </w:r>
            <w:r w:rsidRPr="00605C31">
              <w:rPr>
                <w:rtl/>
              </w:rPr>
              <w:t>ה</w:t>
            </w:r>
            <w:r w:rsidRPr="00605C31">
              <w:rPr>
                <w:rFonts w:hint="cs"/>
                <w:rtl/>
              </w:rPr>
              <w:t xml:space="preserve">סכום המרבי שרשאי מעביד </w:t>
            </w:r>
            <w:r>
              <w:rPr>
                <w:rFonts w:hint="cs"/>
                <w:rtl/>
              </w:rPr>
              <w:t xml:space="preserve">בענף החקלאות </w:t>
            </w:r>
            <w:r w:rsidRPr="00605C31">
              <w:rPr>
                <w:rFonts w:hint="cs"/>
                <w:rtl/>
              </w:rPr>
              <w:t>לנכות משכרו החודשי של עובד זר כהחזר הוצאות המעביד למגורים הולמים</w:t>
            </w:r>
            <w:r w:rsidRPr="00605C31">
              <w:rPr>
                <w:rtl/>
              </w:rPr>
              <w:t xml:space="preserve"> ל</w:t>
            </w:r>
            <w:r w:rsidRPr="00605C31">
              <w:rPr>
                <w:rFonts w:hint="cs"/>
                <w:rtl/>
              </w:rPr>
              <w:t>פי סעיף 1ה לחוק יהיה</w:t>
            </w:r>
            <w:r w:rsidR="00C26A9C">
              <w:rPr>
                <w:rFonts w:hint="cs"/>
                <w:rtl/>
              </w:rPr>
              <w:t xml:space="preserve"> </w:t>
            </w:r>
            <w:r w:rsidR="009B3061">
              <w:rPr>
                <w:rFonts w:hint="cs"/>
                <w:rtl/>
              </w:rPr>
              <w:t>228.20</w:t>
            </w:r>
            <w:r w:rsidR="00E84186">
              <w:rPr>
                <w:rFonts w:hint="cs"/>
                <w:rtl/>
              </w:rPr>
              <w:t xml:space="preserve"> </w:t>
            </w:r>
            <w:r w:rsidR="00C26A9C">
              <w:rPr>
                <w:rFonts w:hint="cs"/>
                <w:rtl/>
              </w:rPr>
              <w:t>שקלים חדשים</w:t>
            </w:r>
            <w:r>
              <w:rPr>
                <w:rFonts w:hint="cs"/>
                <w:rtl/>
              </w:rPr>
              <w:t>."</w:t>
            </w:r>
          </w:p>
        </w:tc>
      </w:tr>
      <w:tr w:rsidR="00605C31">
        <w:trPr>
          <w:cantSplit/>
          <w:trHeight w:val="60"/>
        </w:trPr>
        <w:tc>
          <w:tcPr>
            <w:tcW w:w="1871" w:type="dxa"/>
          </w:tcPr>
          <w:p w:rsidR="00605C31" w:rsidRDefault="00605C31" w:rsidP="00A235CE">
            <w:pPr>
              <w:pStyle w:val="TableSideHeading"/>
              <w:keepLines w:val="0"/>
              <w:rPr>
                <w:rtl/>
              </w:rPr>
            </w:pPr>
            <w:r>
              <w:rPr>
                <w:rFonts w:hint="cs"/>
                <w:rtl/>
              </w:rPr>
              <w:t>תיקון תקנה 3</w:t>
            </w:r>
          </w:p>
        </w:tc>
        <w:tc>
          <w:tcPr>
            <w:tcW w:w="624" w:type="dxa"/>
          </w:tcPr>
          <w:p w:rsidR="00605C31" w:rsidRDefault="00605C31" w:rsidP="00605C31">
            <w:pPr>
              <w:pStyle w:val="TableText"/>
              <w:keepLines w:val="0"/>
              <w:numPr>
                <w:ilvl w:val="0"/>
                <w:numId w:val="1"/>
              </w:numPr>
              <w:rPr>
                <w:rtl/>
              </w:rPr>
            </w:pPr>
          </w:p>
        </w:tc>
        <w:tc>
          <w:tcPr>
            <w:tcW w:w="7146" w:type="dxa"/>
            <w:gridSpan w:val="3"/>
          </w:tcPr>
          <w:p w:rsidR="00605C31" w:rsidRDefault="00605C31" w:rsidP="00605C31">
            <w:pPr>
              <w:pStyle w:val="TableBlock"/>
              <w:rPr>
                <w:rtl/>
              </w:rPr>
            </w:pPr>
            <w:r>
              <w:rPr>
                <w:rFonts w:hint="cs"/>
                <w:rtl/>
              </w:rPr>
              <w:t>בתקנה 3 לתקנות העיקריות, אחרי תקנת משנה (ב)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Pr="00605C31" w:rsidRDefault="00605C31" w:rsidP="009B3061">
            <w:pPr>
              <w:pStyle w:val="TableBlock"/>
              <w:rPr>
                <w:rtl/>
              </w:rPr>
            </w:pPr>
            <w:r>
              <w:rPr>
                <w:rFonts w:hint="cs"/>
                <w:rtl/>
              </w:rPr>
              <w:t xml:space="preserve">"(ג) </w:t>
            </w:r>
            <w:r w:rsidRPr="00605C31">
              <w:rPr>
                <w:rtl/>
              </w:rPr>
              <w:t>ה</w:t>
            </w:r>
            <w:r w:rsidRPr="00605C31">
              <w:rPr>
                <w:rFonts w:hint="cs"/>
                <w:rtl/>
              </w:rPr>
              <w:t>סכום המרבי כאמור בתקנת משנה (א) שמותר לנכותו משכרו החודשי של עובד ב</w:t>
            </w:r>
            <w:r>
              <w:rPr>
                <w:rFonts w:hint="cs"/>
                <w:rtl/>
              </w:rPr>
              <w:t>ענף החקלאות</w:t>
            </w:r>
            <w:r w:rsidRPr="00605C31">
              <w:rPr>
                <w:rFonts w:hint="cs"/>
                <w:rtl/>
              </w:rPr>
              <w:t xml:space="preserve">, הוא </w:t>
            </w:r>
            <w:r w:rsidR="009B3061">
              <w:rPr>
                <w:rFonts w:hint="cs"/>
                <w:rtl/>
              </w:rPr>
              <w:t>300.10</w:t>
            </w:r>
            <w:r w:rsidR="00992FE3">
              <w:rPr>
                <w:rFonts w:hint="cs"/>
                <w:rtl/>
              </w:rPr>
              <w:t xml:space="preserve"> </w:t>
            </w:r>
            <w:r w:rsidRPr="00605C31">
              <w:rPr>
                <w:rFonts w:hint="cs"/>
                <w:rtl/>
              </w:rPr>
              <w:t>שקלים חדשים</w:t>
            </w:r>
            <w:r>
              <w:rPr>
                <w:rFonts w:hint="cs"/>
                <w:rtl/>
              </w:rPr>
              <w:t>.</w:t>
            </w:r>
            <w:r w:rsidR="005E588E">
              <w:rPr>
                <w:rFonts w:hint="cs"/>
                <w:rtl/>
              </w:rPr>
              <w:t>"</w:t>
            </w:r>
          </w:p>
        </w:tc>
      </w:tr>
      <w:tr w:rsidR="005E588E">
        <w:trPr>
          <w:cantSplit/>
          <w:trHeight w:val="60"/>
        </w:trPr>
        <w:tc>
          <w:tcPr>
            <w:tcW w:w="1871" w:type="dxa"/>
          </w:tcPr>
          <w:p w:rsidR="005E588E" w:rsidRDefault="00F02829" w:rsidP="00A235CE">
            <w:pPr>
              <w:pStyle w:val="TableSideHeading"/>
              <w:keepLines w:val="0"/>
              <w:rPr>
                <w:rtl/>
              </w:rPr>
            </w:pPr>
            <w:r>
              <w:rPr>
                <w:rFonts w:hint="cs"/>
                <w:rtl/>
              </w:rPr>
              <w:t>תחילה ותחולה</w:t>
            </w:r>
          </w:p>
        </w:tc>
        <w:tc>
          <w:tcPr>
            <w:tcW w:w="624" w:type="dxa"/>
          </w:tcPr>
          <w:p w:rsidR="005E588E" w:rsidRDefault="00F02829" w:rsidP="005E588E">
            <w:pPr>
              <w:pStyle w:val="TableText"/>
              <w:rPr>
                <w:rtl/>
              </w:rPr>
            </w:pPr>
            <w:r>
              <w:rPr>
                <w:rFonts w:hint="cs"/>
                <w:rtl/>
              </w:rPr>
              <w:t>4.</w:t>
            </w:r>
          </w:p>
        </w:tc>
        <w:tc>
          <w:tcPr>
            <w:tcW w:w="7146" w:type="dxa"/>
            <w:gridSpan w:val="3"/>
          </w:tcPr>
          <w:p w:rsidR="005E588E" w:rsidRDefault="00F02829" w:rsidP="00072B12">
            <w:pPr>
              <w:pStyle w:val="TableBlock"/>
              <w:rPr>
                <w:rtl/>
              </w:rPr>
            </w:pPr>
            <w:r>
              <w:rPr>
                <w:rFonts w:hint="cs"/>
                <w:rtl/>
              </w:rPr>
              <w:t xml:space="preserve">תחילתן של תקנות אלה </w:t>
            </w:r>
            <w:r w:rsidR="00072B12">
              <w:rPr>
                <w:rFonts w:hint="cs"/>
                <w:rtl/>
              </w:rPr>
              <w:t>ב</w:t>
            </w:r>
            <w:r w:rsidR="00072B12" w:rsidRPr="00072B12">
              <w:rPr>
                <w:rFonts w:hint="cs"/>
                <w:rtl/>
              </w:rPr>
              <w:t>מועד תחילתו של סעיף 4 לחוק למניעת הסתננות ולהבטחת יציאתם של מסתננים מישראל (תיקוני חקיקה והוראת שעה), התשע"ה-2014</w:t>
            </w:r>
            <w:r w:rsidR="00072B12">
              <w:rPr>
                <w:rStyle w:val="ad"/>
                <w:rtl/>
              </w:rPr>
              <w:footnoteReference w:id="3"/>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5E588E" w:rsidP="00903A33">
            <w:pPr>
              <w:pStyle w:val="TableBlock"/>
              <w:rPr>
                <w:rtl/>
              </w:rPr>
            </w:pPr>
            <w:r>
              <w:rPr>
                <w:rFonts w:hint="cs"/>
                <w:rtl/>
              </w:rPr>
              <w:t xml:space="preserve">_________ </w:t>
            </w:r>
            <w:proofErr w:type="spellStart"/>
            <w:r>
              <w:rPr>
                <w:rFonts w:hint="cs"/>
                <w:rtl/>
              </w:rPr>
              <w:t>התשע"</w:t>
            </w:r>
            <w:r w:rsidR="00903A33">
              <w:rPr>
                <w:rFonts w:hint="cs"/>
                <w:rtl/>
              </w:rPr>
              <w:t>ו</w:t>
            </w:r>
            <w:proofErr w:type="spellEnd"/>
          </w:p>
        </w:tc>
        <w:tc>
          <w:tcPr>
            <w:tcW w:w="2382" w:type="dxa"/>
          </w:tcPr>
          <w:p w:rsidR="005E588E" w:rsidRDefault="005E588E" w:rsidP="00C26A9C">
            <w:pPr>
              <w:pStyle w:val="TableBlock"/>
              <w:rPr>
                <w:rtl/>
              </w:rPr>
            </w:pPr>
          </w:p>
        </w:tc>
        <w:tc>
          <w:tcPr>
            <w:tcW w:w="2382" w:type="dxa"/>
          </w:tcPr>
          <w:p w:rsidR="005E588E" w:rsidRDefault="005E588E" w:rsidP="00C26A9C">
            <w:pPr>
              <w:pStyle w:val="TableBlock"/>
              <w:rPr>
                <w:rtl/>
              </w:rPr>
            </w:pPr>
            <w:r>
              <w:rPr>
                <w:rFonts w:hint="cs"/>
                <w:rtl/>
              </w:rPr>
              <w:t>_________________</w:t>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F02829" w:rsidP="00903A33">
            <w:pPr>
              <w:pStyle w:val="TableBlock"/>
              <w:rPr>
                <w:rtl/>
              </w:rPr>
            </w:pPr>
            <w:r>
              <w:rPr>
                <w:rFonts w:hint="cs"/>
                <w:rtl/>
              </w:rPr>
              <w:t>(</w:t>
            </w:r>
            <w:r w:rsidR="005E588E">
              <w:rPr>
                <w:rFonts w:hint="cs"/>
                <w:rtl/>
              </w:rPr>
              <w:t>________</w:t>
            </w:r>
            <w:r w:rsidR="00903A33">
              <w:rPr>
                <w:rFonts w:hint="cs"/>
                <w:rtl/>
              </w:rPr>
              <w:t>2015</w:t>
            </w:r>
            <w:r>
              <w:rPr>
                <w:rFonts w:hint="cs"/>
                <w:rtl/>
              </w:rPr>
              <w:t>)</w:t>
            </w:r>
          </w:p>
          <w:p w:rsidR="00A235CE" w:rsidRDefault="00A235CE" w:rsidP="00F02829">
            <w:pPr>
              <w:pStyle w:val="TableBlock"/>
              <w:rPr>
                <w:rtl/>
              </w:rPr>
            </w:pPr>
            <w:r>
              <w:rPr>
                <w:rFonts w:hint="cs"/>
                <w:rtl/>
              </w:rPr>
              <w:t>(</w:t>
            </w:r>
            <w:proofErr w:type="spellStart"/>
            <w:r w:rsidR="00F02829">
              <w:rPr>
                <w:rFonts w:hint="cs"/>
                <w:rtl/>
              </w:rPr>
              <w:t>חמ</w:t>
            </w:r>
            <w:proofErr w:type="spellEnd"/>
            <w:r w:rsidR="00F02829">
              <w:rPr>
                <w:rFonts w:hint="cs"/>
                <w:rtl/>
              </w:rPr>
              <w:t xml:space="preserve"> 3-3040)</w:t>
            </w:r>
          </w:p>
        </w:tc>
        <w:tc>
          <w:tcPr>
            <w:tcW w:w="2382" w:type="dxa"/>
          </w:tcPr>
          <w:p w:rsidR="005E588E" w:rsidRDefault="005E588E" w:rsidP="00C26A9C">
            <w:pPr>
              <w:pStyle w:val="TableBlock"/>
              <w:rPr>
                <w:rtl/>
              </w:rPr>
            </w:pPr>
          </w:p>
        </w:tc>
        <w:tc>
          <w:tcPr>
            <w:tcW w:w="2382" w:type="dxa"/>
          </w:tcPr>
          <w:p w:rsidR="005E588E" w:rsidRDefault="00117A92" w:rsidP="003007E4">
            <w:pPr>
              <w:pStyle w:val="TableBlock"/>
              <w:jc w:val="center"/>
              <w:rPr>
                <w:rtl/>
              </w:rPr>
            </w:pPr>
            <w:r>
              <w:rPr>
                <w:rFonts w:hint="cs"/>
                <w:rtl/>
              </w:rPr>
              <w:t>בנימין נתניהו</w:t>
            </w:r>
          </w:p>
          <w:p w:rsidR="00117A92" w:rsidRDefault="00117A92" w:rsidP="003007E4">
            <w:pPr>
              <w:pStyle w:val="TableBlock"/>
              <w:jc w:val="center"/>
              <w:rPr>
                <w:rtl/>
              </w:rPr>
            </w:pPr>
            <w:r>
              <w:rPr>
                <w:rFonts w:hint="cs"/>
                <w:rtl/>
              </w:rPr>
              <w:t>ראש הממשלה וממלא מקום שר הכלכלה</w:t>
            </w:r>
          </w:p>
        </w:tc>
      </w:tr>
    </w:tbl>
    <w:p w:rsidR="003320F7" w:rsidRDefault="003320F7">
      <w:pPr>
        <w:pStyle w:val="HeadDivreiHesber"/>
        <w:rPr>
          <w:rtl/>
        </w:rPr>
      </w:pPr>
    </w:p>
    <w:p w:rsidR="003320F7" w:rsidRPr="00D95391" w:rsidRDefault="003320F7">
      <w:pPr>
        <w:pStyle w:val="HeadDivreiHesber"/>
        <w:rPr>
          <w:rtl/>
        </w:rPr>
      </w:pPr>
      <w:r>
        <w:rPr>
          <w:rtl/>
        </w:rPr>
        <w:br w:type="page"/>
      </w:r>
      <w:r w:rsidRPr="00D95391">
        <w:rPr>
          <w:rFonts w:hint="cs"/>
          <w:rtl/>
        </w:rPr>
        <w:lastRenderedPageBreak/>
        <w:t>דברי הסבר</w:t>
      </w:r>
    </w:p>
    <w:p w:rsidR="00152A4C" w:rsidRPr="00D95391" w:rsidRDefault="003F5E04" w:rsidP="001F5CF6">
      <w:pPr>
        <w:pStyle w:val="Hesber1st"/>
        <w:tabs>
          <w:tab w:val="clear" w:pos="680"/>
        </w:tabs>
        <w:rPr>
          <w:rtl/>
        </w:rPr>
      </w:pPr>
      <w:r w:rsidRPr="00D95391">
        <w:rPr>
          <w:rFonts w:hint="cs"/>
          <w:b/>
          <w:bCs/>
          <w:rtl/>
        </w:rPr>
        <w:t xml:space="preserve">תקנה </w:t>
      </w:r>
      <w:r w:rsidR="003738CE" w:rsidRPr="00D95391">
        <w:rPr>
          <w:rFonts w:hint="cs"/>
          <w:b/>
          <w:bCs/>
          <w:rtl/>
        </w:rPr>
        <w:t>2</w:t>
      </w:r>
      <w:r w:rsidR="0047210F" w:rsidRPr="00D95391">
        <w:rPr>
          <w:rtl/>
        </w:rPr>
        <w:tab/>
      </w:r>
      <w:r w:rsidR="00A235CE" w:rsidRPr="00D95391">
        <w:rPr>
          <w:rFonts w:hint="cs"/>
          <w:rtl/>
        </w:rPr>
        <w:t>עובדים זרים בענף החקלאות מתגוררים רובם ככולם במשק החקלאי</w:t>
      </w:r>
      <w:r w:rsidR="001B726B" w:rsidRPr="00D95391">
        <w:rPr>
          <w:rFonts w:hint="cs"/>
          <w:rtl/>
        </w:rPr>
        <w:t xml:space="preserve">. </w:t>
      </w:r>
      <w:r w:rsidR="006F5C4C" w:rsidRPr="00D95391">
        <w:rPr>
          <w:rFonts w:hint="cs"/>
          <w:rtl/>
        </w:rPr>
        <w:t>משכך</w:t>
      </w:r>
      <w:r w:rsidR="001B726B" w:rsidRPr="00D95391">
        <w:rPr>
          <w:rFonts w:hint="cs"/>
          <w:rtl/>
        </w:rPr>
        <w:t xml:space="preserve">, הרי שאין כמעט משמעות לקביעת עלויות שונות בהתאם לאזורי מגורים. לאור האמור ובהתחשב במאפיינים של </w:t>
      </w:r>
      <w:r w:rsidR="001F5CF6" w:rsidRPr="00D95391">
        <w:rPr>
          <w:rFonts w:hint="cs"/>
          <w:rtl/>
        </w:rPr>
        <w:t>העמד</w:t>
      </w:r>
      <w:r w:rsidR="001F5CF6">
        <w:rPr>
          <w:rFonts w:hint="cs"/>
          <w:rtl/>
        </w:rPr>
        <w:t>ת</w:t>
      </w:r>
      <w:r w:rsidR="001F5CF6" w:rsidRPr="00D95391">
        <w:rPr>
          <w:rFonts w:hint="cs"/>
          <w:rtl/>
        </w:rPr>
        <w:t xml:space="preserve"> </w:t>
      </w:r>
      <w:r w:rsidR="001B726B" w:rsidRPr="00D95391">
        <w:rPr>
          <w:rFonts w:hint="cs"/>
          <w:rtl/>
        </w:rPr>
        <w:t>מגורים הולמים בענף החקלאות מוצע לקבוע בתקנה 2(א) ו- (ב) בתקנות עובדים זרים (איסור העסקה שלא כדין והבטחת תנאים הוגנים)</w:t>
      </w:r>
      <w:r w:rsidR="00FB31AA" w:rsidRPr="00D95391">
        <w:rPr>
          <w:rFonts w:hint="cs"/>
          <w:rtl/>
        </w:rPr>
        <w:t xml:space="preserve"> </w:t>
      </w:r>
      <w:r w:rsidR="001B726B" w:rsidRPr="00D95391">
        <w:rPr>
          <w:rFonts w:hint="cs"/>
          <w:rtl/>
        </w:rPr>
        <w:t xml:space="preserve">(שיעור ניכויים מהשכר בעד מגורים הולמים), התשס-2000 (להלן </w:t>
      </w:r>
      <w:r w:rsidR="001B726B" w:rsidRPr="00D95391">
        <w:rPr>
          <w:rtl/>
        </w:rPr>
        <w:t>–</w:t>
      </w:r>
      <w:r w:rsidR="001B726B" w:rsidRPr="00D95391">
        <w:rPr>
          <w:rFonts w:hint="cs"/>
          <w:rtl/>
        </w:rPr>
        <w:t xml:space="preserve"> התקנות העיקריות)</w:t>
      </w:r>
      <w:r w:rsidR="00E36198" w:rsidRPr="00D95391">
        <w:rPr>
          <w:rFonts w:hint="cs"/>
          <w:rtl/>
        </w:rPr>
        <w:t xml:space="preserve"> כי הסכום המ</w:t>
      </w:r>
      <w:r w:rsidR="003738CE" w:rsidRPr="00D95391">
        <w:rPr>
          <w:rFonts w:hint="cs"/>
          <w:rtl/>
        </w:rPr>
        <w:t xml:space="preserve">רבי שרשאי חקלאי לנכות משכרו של העובד הזר לא יעלה </w:t>
      </w:r>
      <w:r w:rsidR="001F5CF6">
        <w:rPr>
          <w:rFonts w:hint="cs"/>
          <w:rtl/>
        </w:rPr>
        <w:t>228.2</w:t>
      </w:r>
      <w:r w:rsidR="00992FE3" w:rsidRPr="00D95391">
        <w:rPr>
          <w:rFonts w:hint="cs"/>
          <w:rtl/>
        </w:rPr>
        <w:t xml:space="preserve"> ₪.</w:t>
      </w:r>
      <w:r w:rsidR="00152A4C" w:rsidRPr="00D95391">
        <w:rPr>
          <w:rFonts w:hint="cs"/>
          <w:rtl/>
        </w:rPr>
        <w:t xml:space="preserve"> זאת בשונה לקבוע היום בחוק המבחין בין מגורים ש</w:t>
      </w:r>
      <w:r w:rsidR="001033C0" w:rsidRPr="00D95391">
        <w:rPr>
          <w:rFonts w:hint="cs"/>
          <w:rtl/>
        </w:rPr>
        <w:t>ב</w:t>
      </w:r>
      <w:r w:rsidR="00152A4C" w:rsidRPr="00D95391">
        <w:rPr>
          <w:rFonts w:hint="cs"/>
          <w:rtl/>
        </w:rPr>
        <w:t xml:space="preserve">בעלות המעסיק לבין מגורים </w:t>
      </w:r>
      <w:r w:rsidR="001033C0" w:rsidRPr="00D95391">
        <w:rPr>
          <w:rFonts w:hint="cs"/>
          <w:rtl/>
        </w:rPr>
        <w:t>ש</w:t>
      </w:r>
      <w:r w:rsidR="00152A4C" w:rsidRPr="00D95391">
        <w:rPr>
          <w:rFonts w:hint="cs"/>
          <w:rtl/>
        </w:rPr>
        <w:t xml:space="preserve">אינם בבעלות המעסיק והכל כאמור לפי אזור מגורים. כשהמגורים אינם בבעלות המעסיק </w:t>
      </w:r>
      <w:r w:rsidR="00152A4C" w:rsidRPr="00D95391">
        <w:rPr>
          <w:rtl/>
        </w:rPr>
        <w:t>–</w:t>
      </w:r>
      <w:r w:rsidR="00152A4C" w:rsidRPr="00D95391">
        <w:rPr>
          <w:rFonts w:hint="cs"/>
          <w:rtl/>
        </w:rPr>
        <w:t xml:space="preserve"> הסכום המרבי לניכוי הוא היום כלהלן:</w:t>
      </w:r>
    </w:p>
    <w:p w:rsidR="00152A4C" w:rsidRPr="00D95391" w:rsidRDefault="00152A4C" w:rsidP="00152A4C">
      <w:pPr>
        <w:pStyle w:val="Hesber1st"/>
        <w:tabs>
          <w:tab w:val="clear" w:pos="680"/>
        </w:tabs>
        <w:rPr>
          <w:rtl/>
        </w:rPr>
      </w:pPr>
    </w:p>
    <w:p w:rsidR="00152A4C" w:rsidRPr="00D95391" w:rsidRDefault="00152A4C" w:rsidP="00152A4C">
      <w:pPr>
        <w:pStyle w:val="P00"/>
        <w:pBdr>
          <w:bottom w:val="single" w:sz="4" w:space="1" w:color="auto"/>
        </w:pBdr>
        <w:tabs>
          <w:tab w:val="clear" w:pos="624"/>
          <w:tab w:val="clear" w:pos="1021"/>
          <w:tab w:val="clear" w:pos="1474"/>
          <w:tab w:val="clear" w:pos="2381"/>
          <w:tab w:val="clear" w:pos="2835"/>
          <w:tab w:val="clear" w:pos="6259"/>
          <w:tab w:val="center" w:pos="1928"/>
          <w:tab w:val="center" w:pos="4820"/>
        </w:tabs>
        <w:spacing w:before="0"/>
        <w:ind w:left="1021" w:right="2835"/>
        <w:rPr>
          <w:rFonts w:cs="David"/>
          <w:sz w:val="26"/>
          <w:rtl/>
        </w:rPr>
      </w:pPr>
      <w:r w:rsidRPr="00D95391">
        <w:rPr>
          <w:rFonts w:cs="David"/>
          <w:sz w:val="26"/>
          <w:rtl/>
        </w:rPr>
        <w:tab/>
        <w:t>אז</w:t>
      </w:r>
      <w:r w:rsidRPr="00D95391">
        <w:rPr>
          <w:rFonts w:cs="David" w:hint="eastAsia"/>
          <w:sz w:val="26"/>
          <w:rtl/>
        </w:rPr>
        <w:t>ור</w:t>
      </w:r>
      <w:r w:rsidRPr="00D95391">
        <w:rPr>
          <w:rFonts w:cs="David"/>
          <w:sz w:val="26"/>
          <w:rtl/>
        </w:rPr>
        <w:t xml:space="preserve"> </w:t>
      </w:r>
      <w:r w:rsidRPr="00D95391">
        <w:rPr>
          <w:rFonts w:cs="David" w:hint="eastAsia"/>
          <w:sz w:val="26"/>
          <w:rtl/>
        </w:rPr>
        <w:t>מגורים</w:t>
      </w:r>
      <w:r w:rsidRPr="00D95391">
        <w:rPr>
          <w:rFonts w:cs="David"/>
          <w:sz w:val="26"/>
          <w:rtl/>
        </w:rPr>
        <w:tab/>
        <w:t>ס</w:t>
      </w:r>
      <w:r w:rsidRPr="00D95391">
        <w:rPr>
          <w:rFonts w:cs="David" w:hint="eastAsia"/>
          <w:sz w:val="26"/>
          <w:rtl/>
        </w:rPr>
        <w:t>כום</w:t>
      </w:r>
      <w:r w:rsidRPr="00D95391">
        <w:rPr>
          <w:rFonts w:cs="David"/>
          <w:sz w:val="26"/>
          <w:rtl/>
        </w:rPr>
        <w:t xml:space="preserve"> </w:t>
      </w:r>
      <w:r w:rsidRPr="00D95391">
        <w:rPr>
          <w:rFonts w:cs="David" w:hint="eastAsia"/>
          <w:sz w:val="26"/>
          <w:rtl/>
        </w:rPr>
        <w:t>בשקלים</w:t>
      </w:r>
      <w:r w:rsidRPr="00D95391">
        <w:rPr>
          <w:rFonts w:cs="David"/>
          <w:sz w:val="26"/>
          <w:rtl/>
        </w:rPr>
        <w:t xml:space="preserve"> </w:t>
      </w:r>
      <w:r w:rsidRPr="00D95391">
        <w:rPr>
          <w:rFonts w:cs="David" w:hint="eastAsia"/>
          <w:sz w:val="26"/>
          <w:rtl/>
        </w:rPr>
        <w:t>חדשים</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t>יר</w:t>
      </w:r>
      <w:r w:rsidRPr="00D95391">
        <w:rPr>
          <w:rFonts w:cs="David" w:hint="eastAsia"/>
          <w:sz w:val="26"/>
          <w:rtl/>
        </w:rPr>
        <w:t>ושלים</w:t>
      </w:r>
      <w:r w:rsidRPr="00D95391">
        <w:rPr>
          <w:rFonts w:cs="David"/>
          <w:sz w:val="26"/>
          <w:rtl/>
        </w:rPr>
        <w:tab/>
        <w:t>393.68</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ת</w:t>
      </w:r>
      <w:r w:rsidRPr="00D95391">
        <w:rPr>
          <w:rFonts w:cs="David"/>
          <w:sz w:val="26"/>
          <w:rtl/>
        </w:rPr>
        <w:t>ל אביב</w:t>
      </w:r>
      <w:r w:rsidRPr="00D95391">
        <w:rPr>
          <w:rFonts w:cs="David"/>
          <w:sz w:val="26"/>
          <w:rtl/>
        </w:rPr>
        <w:tab/>
        <w:t>447.99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ח</w:t>
      </w:r>
      <w:r w:rsidRPr="00D95391">
        <w:rPr>
          <w:rFonts w:cs="David"/>
          <w:sz w:val="26"/>
          <w:rtl/>
        </w:rPr>
        <w:t>י</w:t>
      </w:r>
      <w:r w:rsidRPr="00D95391">
        <w:rPr>
          <w:rFonts w:cs="David" w:hint="eastAsia"/>
          <w:sz w:val="26"/>
          <w:rtl/>
        </w:rPr>
        <w:t>פה</w:t>
      </w:r>
      <w:r w:rsidRPr="00D95391">
        <w:rPr>
          <w:rFonts w:cs="David"/>
          <w:sz w:val="26"/>
          <w:rtl/>
        </w:rPr>
        <w:tab/>
        <w:t>298.69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מ</w:t>
      </w:r>
      <w:r w:rsidRPr="00D95391">
        <w:rPr>
          <w:rFonts w:cs="David"/>
          <w:sz w:val="26"/>
          <w:rtl/>
        </w:rPr>
        <w:t>ר</w:t>
      </w:r>
      <w:r w:rsidRPr="00D95391">
        <w:rPr>
          <w:rFonts w:cs="David" w:hint="eastAsia"/>
          <w:sz w:val="26"/>
          <w:rtl/>
        </w:rPr>
        <w:t>כז</w:t>
      </w:r>
      <w:r w:rsidRPr="00D95391">
        <w:rPr>
          <w:rFonts w:cs="David"/>
          <w:sz w:val="26"/>
          <w:rtl/>
        </w:rPr>
        <w:tab/>
        <w:t>298.69</w:t>
      </w:r>
    </w:p>
    <w:p w:rsidR="00152A4C" w:rsidRPr="00D95391" w:rsidRDefault="00152A4C" w:rsidP="00152A4C">
      <w:pPr>
        <w:pStyle w:val="Hesber1st"/>
        <w:tabs>
          <w:tab w:val="clear" w:pos="680"/>
        </w:tabs>
        <w:rPr>
          <w:rtl/>
        </w:rPr>
      </w:pPr>
    </w:p>
    <w:p w:rsidR="008B1F09" w:rsidRPr="00D95391" w:rsidRDefault="008B1F09" w:rsidP="00D95391">
      <w:pPr>
        <w:pStyle w:val="Hesber1st"/>
        <w:tabs>
          <w:tab w:val="clear" w:pos="680"/>
        </w:tabs>
        <w:rPr>
          <w:rtl/>
        </w:rPr>
      </w:pPr>
      <w:r w:rsidRPr="00D95391">
        <w:rPr>
          <w:rFonts w:hint="cs"/>
          <w:rtl/>
        </w:rPr>
        <w:t>ואולם אם המגורים הינם בבעלות המעסיק, הסכום שמותר למעסיק לנכות לא יעלו על מחצית מהסכום הקבוע לעיל.</w:t>
      </w:r>
    </w:p>
    <w:p w:rsidR="00D95391" w:rsidRPr="00D95391" w:rsidRDefault="008B1F09" w:rsidP="00D95391">
      <w:pPr>
        <w:pStyle w:val="Hesber1st"/>
        <w:tabs>
          <w:tab w:val="clear" w:pos="680"/>
        </w:tabs>
        <w:ind w:left="720"/>
      </w:pPr>
      <w:r w:rsidRPr="00D95391">
        <w:rPr>
          <w:rFonts w:hint="cs"/>
          <w:rtl/>
        </w:rPr>
        <w:t xml:space="preserve">הסכום המוצע לניכוי חושב כלהלן: </w:t>
      </w:r>
    </w:p>
    <w:p w:rsidR="008427AD" w:rsidRPr="00D95391" w:rsidRDefault="008427AD" w:rsidP="001F5CF6">
      <w:pPr>
        <w:pStyle w:val="Hesber1st"/>
        <w:numPr>
          <w:ilvl w:val="0"/>
          <w:numId w:val="8"/>
        </w:numPr>
        <w:tabs>
          <w:tab w:val="clear" w:pos="680"/>
        </w:tabs>
      </w:pPr>
      <w:r w:rsidRPr="00D95391">
        <w:rPr>
          <w:rFonts w:hint="cs"/>
          <w:rtl/>
        </w:rPr>
        <w:t>שיכון של 4 עובדים במבנה מגורים אחד</w:t>
      </w:r>
      <w:r w:rsidR="008D2F0C" w:rsidRPr="00D95391">
        <w:rPr>
          <w:rFonts w:hint="cs"/>
          <w:rtl/>
        </w:rPr>
        <w:t xml:space="preserve"> </w:t>
      </w:r>
      <w:r w:rsidR="008D2F0C" w:rsidRPr="00D95391">
        <w:rPr>
          <w:rtl/>
        </w:rPr>
        <w:t>–</w:t>
      </w:r>
      <w:r w:rsidR="008D2F0C" w:rsidRPr="00D95391">
        <w:rPr>
          <w:rFonts w:hint="cs"/>
          <w:rtl/>
        </w:rPr>
        <w:t xml:space="preserve"> העולה בקנה אחד עם דרישות התקנות (</w:t>
      </w:r>
      <w:r w:rsidR="00FB31AA" w:rsidRPr="00D95391">
        <w:rPr>
          <w:rFonts w:hint="cs"/>
          <w:rtl/>
        </w:rPr>
        <w:t xml:space="preserve">לפחות </w:t>
      </w:r>
      <w:r w:rsidR="008D2F0C" w:rsidRPr="00D95391">
        <w:rPr>
          <w:rFonts w:hint="cs"/>
          <w:rtl/>
        </w:rPr>
        <w:t xml:space="preserve">10 מ"ר לעובד) </w:t>
      </w:r>
      <w:r w:rsidR="00D95391" w:rsidRPr="00D95391">
        <w:rPr>
          <w:rFonts w:hint="cs"/>
          <w:rtl/>
        </w:rPr>
        <w:t>.</w:t>
      </w:r>
    </w:p>
    <w:p w:rsidR="008427AD" w:rsidRPr="00D95391" w:rsidRDefault="008B1F09" w:rsidP="008B1F09">
      <w:pPr>
        <w:pStyle w:val="Hesber1st"/>
        <w:numPr>
          <w:ilvl w:val="0"/>
          <w:numId w:val="8"/>
        </w:numPr>
        <w:tabs>
          <w:tab w:val="clear" w:pos="680"/>
        </w:tabs>
      </w:pPr>
      <w:r w:rsidRPr="00D95391">
        <w:rPr>
          <w:rFonts w:hint="cs"/>
          <w:rtl/>
        </w:rPr>
        <w:t xml:space="preserve">היוון </w:t>
      </w:r>
      <w:r w:rsidR="008D2F0C" w:rsidRPr="00D95391">
        <w:rPr>
          <w:rFonts w:hint="eastAsia"/>
          <w:rtl/>
        </w:rPr>
        <w:t>עלות</w:t>
      </w:r>
      <w:r w:rsidR="008D2F0C" w:rsidRPr="00D95391">
        <w:rPr>
          <w:rtl/>
        </w:rPr>
        <w:t xml:space="preserve"> </w:t>
      </w:r>
      <w:r w:rsidR="008427AD" w:rsidRPr="00D95391">
        <w:rPr>
          <w:rFonts w:hint="eastAsia"/>
          <w:rtl/>
        </w:rPr>
        <w:t>רכישת</w:t>
      </w:r>
      <w:r w:rsidR="008427AD" w:rsidRPr="00D95391">
        <w:rPr>
          <w:rtl/>
        </w:rPr>
        <w:t xml:space="preserve"> המכולה </w:t>
      </w:r>
      <w:r w:rsidR="00D95391">
        <w:rPr>
          <w:rFonts w:hint="cs"/>
          <w:rtl/>
        </w:rPr>
        <w:t xml:space="preserve">נקבע </w:t>
      </w:r>
      <w:r w:rsidR="008D2F0C" w:rsidRPr="00D95391">
        <w:rPr>
          <w:rFonts w:hint="eastAsia"/>
          <w:rtl/>
        </w:rPr>
        <w:t>על</w:t>
      </w:r>
      <w:r w:rsidR="008D2F0C" w:rsidRPr="00D95391">
        <w:rPr>
          <w:rtl/>
        </w:rPr>
        <w:t xml:space="preserve"> </w:t>
      </w:r>
      <w:r w:rsidR="008427AD" w:rsidRPr="00D95391">
        <w:rPr>
          <w:rFonts w:hint="eastAsia"/>
          <w:rtl/>
        </w:rPr>
        <w:t>פני</w:t>
      </w:r>
      <w:r w:rsidR="008427AD" w:rsidRPr="00D95391">
        <w:rPr>
          <w:rtl/>
        </w:rPr>
        <w:t xml:space="preserve"> 15 שנים</w:t>
      </w:r>
      <w:r w:rsidR="00D95391">
        <w:rPr>
          <w:rFonts w:hint="cs"/>
          <w:rtl/>
        </w:rPr>
        <w:t xml:space="preserve"> ( אורך חיי מכולה)</w:t>
      </w:r>
      <w:r w:rsidR="008427AD" w:rsidRPr="00D95391">
        <w:rPr>
          <w:rtl/>
        </w:rPr>
        <w:t xml:space="preserve">. </w:t>
      </w:r>
    </w:p>
    <w:p w:rsidR="008427AD" w:rsidRPr="00D95391" w:rsidRDefault="008B1F09" w:rsidP="008B1F09">
      <w:pPr>
        <w:pStyle w:val="Hesber1st"/>
        <w:tabs>
          <w:tab w:val="clear" w:pos="680"/>
        </w:tabs>
        <w:rPr>
          <w:rtl/>
        </w:rPr>
      </w:pPr>
      <w:r w:rsidRPr="00D95391">
        <w:rPr>
          <w:rFonts w:hint="cs"/>
          <w:rtl/>
        </w:rPr>
        <w:t xml:space="preserve">כמו כן </w:t>
      </w:r>
      <w:r w:rsidR="008427AD" w:rsidRPr="00D95391">
        <w:rPr>
          <w:rFonts w:hint="cs"/>
          <w:rtl/>
        </w:rPr>
        <w:t xml:space="preserve">הסכום </w:t>
      </w:r>
      <w:r w:rsidR="008D2F0C" w:rsidRPr="00D95391">
        <w:rPr>
          <w:rFonts w:hint="cs"/>
          <w:rtl/>
        </w:rPr>
        <w:t xml:space="preserve"> לוקח בחשבון את העלויות המוערכות </w:t>
      </w:r>
      <w:r w:rsidR="008427AD" w:rsidRPr="00D95391">
        <w:rPr>
          <w:rFonts w:hint="cs"/>
          <w:rtl/>
        </w:rPr>
        <w:t>הבאות:</w:t>
      </w:r>
    </w:p>
    <w:p w:rsidR="00DB28FE" w:rsidRPr="00D95391" w:rsidRDefault="00DB28FE" w:rsidP="00D95391">
      <w:pPr>
        <w:pStyle w:val="Hesber1st"/>
        <w:numPr>
          <w:ilvl w:val="0"/>
          <w:numId w:val="9"/>
        </w:numPr>
        <w:tabs>
          <w:tab w:val="clear" w:pos="680"/>
        </w:tabs>
        <w:rPr>
          <w:rtl/>
        </w:rPr>
      </w:pPr>
      <w:r w:rsidRPr="00D95391">
        <w:rPr>
          <w:rFonts w:hint="cs"/>
          <w:rtl/>
        </w:rPr>
        <w:t xml:space="preserve">עלות ממוצעת של רכישת מכולה למגורים (71,667 ₪), על בסיס הצעות מחיר שהועברו </w:t>
      </w:r>
      <w:r w:rsidR="008427AD" w:rsidRPr="00D95391">
        <w:rPr>
          <w:rFonts w:hint="cs"/>
          <w:rtl/>
        </w:rPr>
        <w:t xml:space="preserve">על </w:t>
      </w:r>
      <w:r w:rsidRPr="00D95391">
        <w:rPr>
          <w:rFonts w:hint="cs"/>
          <w:rtl/>
        </w:rPr>
        <w:t>ידי משרד החקלאות (נלקחו בחשבון שלושת ההצעות מחיר הנמוכות מתוך הארבעה).</w:t>
      </w:r>
      <w:r w:rsidR="008D2F0C" w:rsidRPr="00D95391">
        <w:rPr>
          <w:rFonts w:hint="cs"/>
          <w:rtl/>
        </w:rPr>
        <w:t xml:space="preserve"> בהיוון חודשי לעובד מדובר ב 136.24 ₪</w:t>
      </w:r>
    </w:p>
    <w:p w:rsidR="00DB28FE" w:rsidRPr="00D95391" w:rsidRDefault="00DB28FE" w:rsidP="00D95391">
      <w:pPr>
        <w:pStyle w:val="Hesber1st"/>
        <w:numPr>
          <w:ilvl w:val="0"/>
          <w:numId w:val="9"/>
        </w:numPr>
        <w:tabs>
          <w:tab w:val="clear" w:pos="680"/>
        </w:tabs>
      </w:pPr>
      <w:r w:rsidRPr="00D95391">
        <w:rPr>
          <w:rFonts w:hint="cs"/>
          <w:rtl/>
        </w:rPr>
        <w:t xml:space="preserve">עלות תחזוקה שנתית למכולה הוערכה </w:t>
      </w:r>
      <w:proofErr w:type="spellStart"/>
      <w:r w:rsidRPr="00D95391">
        <w:rPr>
          <w:rFonts w:hint="cs"/>
          <w:rtl/>
        </w:rPr>
        <w:t>בכ</w:t>
      </w:r>
      <w:proofErr w:type="spellEnd"/>
      <w:r w:rsidRPr="00D95391">
        <w:rPr>
          <w:rFonts w:hint="cs"/>
          <w:rtl/>
        </w:rPr>
        <w:t xml:space="preserve"> 2,400 ₪ </w:t>
      </w:r>
      <w:r w:rsidR="008427AD" w:rsidRPr="00D95391">
        <w:rPr>
          <w:rFonts w:hint="cs"/>
          <w:rtl/>
        </w:rPr>
        <w:t xml:space="preserve">- סכום זה לוקח בחשבון עלות הדברה נגד מזיקים המחויבת על פי התקנות. </w:t>
      </w:r>
      <w:r w:rsidR="008D2F0C" w:rsidRPr="00D95391">
        <w:rPr>
          <w:rFonts w:hint="cs"/>
          <w:rtl/>
        </w:rPr>
        <w:t xml:space="preserve">עלות חודשית לעובד 50 ₪. </w:t>
      </w:r>
    </w:p>
    <w:p w:rsidR="008427AD" w:rsidRPr="00D95391" w:rsidRDefault="008427AD" w:rsidP="00B575E5">
      <w:pPr>
        <w:pStyle w:val="Hesber1st"/>
        <w:numPr>
          <w:ilvl w:val="0"/>
          <w:numId w:val="9"/>
        </w:numPr>
        <w:tabs>
          <w:tab w:val="clear" w:pos="680"/>
        </w:tabs>
      </w:pPr>
      <w:r w:rsidRPr="00D95391">
        <w:rPr>
          <w:rFonts w:hint="cs"/>
          <w:rtl/>
        </w:rPr>
        <w:t xml:space="preserve">נלקחו בחשבון עלויות רגולציה הנובעות משימוש בקרקע בהתאם להחלטת מועצמת מקרקעי ישראל מס' 1279 לעניין מבני מגורים ארעיים להלנת פועלים זרים, לרבות דמי שימוש והעמלה השנתית על הערבות הבנקאית הנדרשת מן המעסיק. </w:t>
      </w:r>
      <w:r w:rsidR="008D2F0C" w:rsidRPr="00D95391">
        <w:rPr>
          <w:rFonts w:hint="cs"/>
          <w:rtl/>
        </w:rPr>
        <w:t xml:space="preserve">חישוב עלויות אלו מסתכם בניכוי חודשי של כ </w:t>
      </w:r>
      <w:r w:rsidR="00B575E5">
        <w:rPr>
          <w:rFonts w:hint="cs"/>
          <w:rtl/>
        </w:rPr>
        <w:t>42</w:t>
      </w:r>
      <w:r w:rsidR="008D2F0C" w:rsidRPr="00D95391">
        <w:rPr>
          <w:rFonts w:hint="cs"/>
          <w:rtl/>
        </w:rPr>
        <w:t xml:space="preserve"> ₪ לעובד. </w:t>
      </w:r>
    </w:p>
    <w:p w:rsidR="003320F7" w:rsidRPr="00D95391" w:rsidRDefault="003320F7" w:rsidP="002C4C02">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1B726B">
      <w:pPr>
        <w:pStyle w:val="Hesber1st"/>
        <w:tabs>
          <w:tab w:val="clear" w:pos="680"/>
        </w:tabs>
        <w:rPr>
          <w:b/>
          <w:bCs/>
          <w:sz w:val="26"/>
          <w:rtl/>
        </w:rPr>
      </w:pPr>
    </w:p>
    <w:p w:rsidR="00992FE3" w:rsidRPr="00D95391" w:rsidRDefault="003738CE" w:rsidP="00D95391">
      <w:pPr>
        <w:pStyle w:val="HesberHeading"/>
        <w:rPr>
          <w:b w:val="0"/>
          <w:bCs w:val="0"/>
          <w:sz w:val="26"/>
          <w:rtl/>
        </w:rPr>
      </w:pPr>
      <w:r w:rsidRPr="00D95391">
        <w:rPr>
          <w:rFonts w:hint="cs"/>
          <w:rtl/>
        </w:rPr>
        <w:t>תקנה 3</w:t>
      </w:r>
      <w:r w:rsidRPr="00D95391">
        <w:rPr>
          <w:rtl/>
        </w:rPr>
        <w:tab/>
      </w:r>
      <w:r w:rsidR="00992FE3" w:rsidRPr="00D95391">
        <w:rPr>
          <w:rFonts w:hint="cs"/>
          <w:b w:val="0"/>
          <w:bCs w:val="0"/>
          <w:rtl/>
        </w:rPr>
        <w:t>בהמשך להמלצה המקצועית של משרד החקלאות</w:t>
      </w:r>
      <w:r w:rsidR="00992FE3" w:rsidRPr="00D95391">
        <w:rPr>
          <w:rFonts w:hint="cs"/>
          <w:rtl/>
        </w:rPr>
        <w:t xml:space="preserve"> </w:t>
      </w:r>
      <w:r w:rsidR="00982D5E" w:rsidRPr="00D95391">
        <w:rPr>
          <w:rFonts w:hint="cs"/>
          <w:b w:val="0"/>
          <w:bCs w:val="0"/>
          <w:rtl/>
        </w:rPr>
        <w:t>מוצע לקבוע כי בענף החקלאות, נוסף על ההוצאות בגין מגורים הולמים כמפורט לעיל, רשאי יהיה המעסיק לנכות בגין הוצאות נלוות</w:t>
      </w:r>
      <w:r w:rsidR="00992FE3" w:rsidRPr="00D95391">
        <w:rPr>
          <w:rFonts w:hint="cs"/>
          <w:b w:val="0"/>
          <w:bCs w:val="0"/>
          <w:rtl/>
        </w:rPr>
        <w:t xml:space="preserve"> עד</w:t>
      </w:r>
      <w:r w:rsidR="00982D5E" w:rsidRPr="00D95391">
        <w:rPr>
          <w:rFonts w:hint="cs"/>
          <w:b w:val="0"/>
          <w:bCs w:val="0"/>
          <w:rtl/>
        </w:rPr>
        <w:t xml:space="preserve"> </w:t>
      </w:r>
      <w:r w:rsidR="008D2F0C" w:rsidRPr="00D95391">
        <w:rPr>
          <w:rFonts w:hint="cs"/>
          <w:b w:val="0"/>
          <w:bCs w:val="0"/>
          <w:rtl/>
        </w:rPr>
        <w:t>300.07</w:t>
      </w:r>
      <w:r w:rsidR="00982D5E" w:rsidRPr="00D95391">
        <w:rPr>
          <w:rFonts w:hint="cs"/>
          <w:b w:val="0"/>
          <w:bCs w:val="0"/>
          <w:rtl/>
        </w:rPr>
        <w:t xml:space="preserve">₪. </w:t>
      </w:r>
      <w:r w:rsidR="007C3132" w:rsidRPr="00D95391">
        <w:rPr>
          <w:rFonts w:hint="cs"/>
          <w:b w:val="0"/>
          <w:bCs w:val="0"/>
          <w:rtl/>
        </w:rPr>
        <w:t xml:space="preserve">סכום זה מסתמך על נתוני סקר הוצאות המשפחה לשנת </w:t>
      </w:r>
      <w:r w:rsidR="008D2F0C" w:rsidRPr="00D95391">
        <w:rPr>
          <w:rFonts w:hint="cs"/>
          <w:b w:val="0"/>
          <w:bCs w:val="0"/>
          <w:rtl/>
        </w:rPr>
        <w:t xml:space="preserve">2012 </w:t>
      </w:r>
      <w:r w:rsidR="007C3132" w:rsidRPr="00D95391">
        <w:rPr>
          <w:rFonts w:hint="cs"/>
          <w:b w:val="0"/>
          <w:bCs w:val="0"/>
          <w:rtl/>
        </w:rPr>
        <w:t>של הלשכה המרכזית לסטטיסטיקה. הוצאות אלה לוקחות בחשבון את ההוצאה על מים</w:t>
      </w:r>
      <w:r w:rsidR="00992FE3" w:rsidRPr="00D95391">
        <w:rPr>
          <w:rFonts w:hint="cs"/>
          <w:b w:val="0"/>
          <w:bCs w:val="0"/>
          <w:rtl/>
        </w:rPr>
        <w:t>, חשמל גז ודלק לבית וארנונה</w:t>
      </w:r>
      <w:r w:rsidR="007C3132" w:rsidRPr="00D95391">
        <w:rPr>
          <w:rFonts w:hint="cs"/>
          <w:b w:val="0"/>
          <w:bCs w:val="0"/>
          <w:rtl/>
        </w:rPr>
        <w:t xml:space="preserve"> עבור משפחה המונה </w:t>
      </w:r>
      <w:r w:rsidR="008D2F0C" w:rsidRPr="00D95391">
        <w:rPr>
          <w:rFonts w:hint="cs"/>
          <w:b w:val="0"/>
          <w:bCs w:val="0"/>
          <w:rtl/>
        </w:rPr>
        <w:t xml:space="preserve">4  </w:t>
      </w:r>
      <w:r w:rsidR="00992FE3" w:rsidRPr="00D95391">
        <w:rPr>
          <w:rFonts w:hint="cs"/>
          <w:b w:val="0"/>
          <w:bCs w:val="0"/>
          <w:rtl/>
        </w:rPr>
        <w:t xml:space="preserve">נפשות. </w:t>
      </w:r>
      <w:r w:rsidR="00D52CF4" w:rsidRPr="00D95391">
        <w:rPr>
          <w:rFonts w:hint="cs"/>
          <w:b w:val="0"/>
          <w:bCs w:val="0"/>
          <w:rtl/>
        </w:rPr>
        <w:t xml:space="preserve">מאחר שעל פי סקר </w:t>
      </w:r>
      <w:proofErr w:type="spellStart"/>
      <w:r w:rsidR="00D52CF4" w:rsidRPr="00D95391">
        <w:rPr>
          <w:rFonts w:hint="cs"/>
          <w:b w:val="0"/>
          <w:bCs w:val="0"/>
          <w:rtl/>
        </w:rPr>
        <w:t>הלמ"ס</w:t>
      </w:r>
      <w:proofErr w:type="spellEnd"/>
      <w:r w:rsidR="00D52CF4" w:rsidRPr="00D95391">
        <w:rPr>
          <w:rFonts w:hint="cs"/>
          <w:b w:val="0"/>
          <w:bCs w:val="0"/>
          <w:rtl/>
        </w:rPr>
        <w:t xml:space="preserve"> הארנונה מחושבת על פי שטח מגורים לאזרח ישראלי</w:t>
      </w:r>
      <w:r w:rsidR="00FB331A" w:rsidRPr="00D95391">
        <w:rPr>
          <w:rFonts w:hint="cs"/>
          <w:b w:val="0"/>
          <w:bCs w:val="0"/>
          <w:rtl/>
        </w:rPr>
        <w:t xml:space="preserve"> שלרוב מתגוררים בשטחי מגורים גדולים יותר מ-10 מ"ר לנפש</w:t>
      </w:r>
      <w:r w:rsidR="00D52CF4" w:rsidRPr="00D95391">
        <w:rPr>
          <w:rFonts w:hint="cs"/>
          <w:b w:val="0"/>
          <w:bCs w:val="0"/>
          <w:rtl/>
        </w:rPr>
        <w:t>, הוצע לחשב 75% מעלות הארנונה.</w:t>
      </w:r>
      <w:r w:rsidR="00D52CF4" w:rsidRPr="00D95391">
        <w:rPr>
          <w:rFonts w:hint="cs"/>
          <w:sz w:val="24"/>
          <w:szCs w:val="24"/>
          <w:rtl/>
        </w:rPr>
        <w:t xml:space="preserve"> </w:t>
      </w:r>
    </w:p>
    <w:tbl>
      <w:tblPr>
        <w:bidiVisual/>
        <w:tblW w:w="6860" w:type="dxa"/>
        <w:tblInd w:w="98" w:type="dxa"/>
        <w:tblLook w:val="04A0" w:firstRow="1" w:lastRow="0" w:firstColumn="1" w:lastColumn="0" w:noHBand="0" w:noVBand="1"/>
      </w:tblPr>
      <w:tblGrid>
        <w:gridCol w:w="2380"/>
        <w:gridCol w:w="1840"/>
        <w:gridCol w:w="1420"/>
        <w:gridCol w:w="1220"/>
      </w:tblGrid>
      <w:tr w:rsidR="00DE329F" w:rsidRPr="00D95391" w:rsidTr="00DE329F">
        <w:trPr>
          <w:trHeight w:val="285"/>
        </w:trPr>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84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הוצאות למשפחה בת</w:t>
            </w:r>
            <w:r w:rsidR="00DE329F" w:rsidRPr="00D95391">
              <w:rPr>
                <w:rFonts w:ascii="Arial" w:eastAsia="Times New Roman" w:hAnsi="Arial" w:cs="Arial"/>
                <w:spacing w:val="0"/>
                <w:sz w:val="22"/>
                <w:szCs w:val="22"/>
                <w:rtl/>
                <w:lang w:eastAsia="en-US"/>
              </w:rPr>
              <w:t xml:space="preserve"> 4 נפשות</w:t>
            </w:r>
          </w:p>
        </w:tc>
        <w:tc>
          <w:tcPr>
            <w:tcW w:w="142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 xml:space="preserve">הוצאה </w:t>
            </w:r>
            <w:r w:rsidR="00DE329F" w:rsidRPr="00D95391">
              <w:rPr>
                <w:rFonts w:ascii="Arial" w:eastAsia="Times New Roman" w:hAnsi="Arial" w:cs="Arial"/>
                <w:spacing w:val="0"/>
                <w:sz w:val="22"/>
                <w:szCs w:val="22"/>
                <w:rtl/>
                <w:lang w:eastAsia="en-US"/>
              </w:rPr>
              <w:t>חודשי</w:t>
            </w:r>
            <w:r w:rsidRPr="00D95391">
              <w:rPr>
                <w:rFonts w:ascii="Arial" w:eastAsia="Times New Roman" w:hAnsi="Arial" w:cs="Arial" w:hint="cs"/>
                <w:spacing w:val="0"/>
                <w:sz w:val="22"/>
                <w:szCs w:val="22"/>
                <w:rtl/>
                <w:lang w:eastAsia="en-US"/>
              </w:rPr>
              <w:t>ת</w:t>
            </w:r>
            <w:r w:rsidR="00DE329F" w:rsidRPr="00D95391">
              <w:rPr>
                <w:rFonts w:ascii="Arial" w:eastAsia="Times New Roman" w:hAnsi="Arial" w:cs="Arial"/>
                <w:spacing w:val="0"/>
                <w:sz w:val="22"/>
                <w:szCs w:val="22"/>
                <w:rtl/>
                <w:lang w:eastAsia="en-US"/>
              </w:rPr>
              <w:t xml:space="preserve"> לעובד</w:t>
            </w:r>
          </w:p>
        </w:tc>
        <w:tc>
          <w:tcPr>
            <w:tcW w:w="122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rtl/>
                <w:lang w:eastAsia="en-US"/>
              </w:rPr>
              <w:t>לאחר מידוד</w:t>
            </w:r>
            <w:r w:rsidR="00FB31AA" w:rsidRPr="00D95391">
              <w:rPr>
                <w:rFonts w:ascii="Arial" w:eastAsia="Times New Roman" w:hAnsi="Arial" w:cs="Arial" w:hint="cs"/>
                <w:spacing w:val="0"/>
                <w:sz w:val="22"/>
                <w:szCs w:val="22"/>
                <w:rtl/>
                <w:lang w:eastAsia="en-US"/>
              </w:rPr>
              <w:t xml:space="preserve"> לעובד</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מים</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164</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41</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37.6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חשמל, גז ודלק לבית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539</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134.8</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133.7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ארנונה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285</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71.3</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78.0 </w:t>
            </w:r>
          </w:p>
        </w:tc>
      </w:tr>
      <w:tr w:rsidR="00DE329F" w:rsidRPr="00D95391" w:rsidTr="00DE329F">
        <w:trPr>
          <w:trHeight w:val="315"/>
        </w:trPr>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סה"כ</w:t>
            </w:r>
          </w:p>
        </w:tc>
        <w:tc>
          <w:tcPr>
            <w:tcW w:w="184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42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220" w:type="dxa"/>
            <w:tcBorders>
              <w:top w:val="nil"/>
              <w:left w:val="single" w:sz="4" w:space="0" w:color="auto"/>
              <w:bottom w:val="single" w:sz="8"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lang w:eastAsia="en-US"/>
              </w:rPr>
              <w:t xml:space="preserve">         249.4 </w:t>
            </w:r>
          </w:p>
        </w:tc>
      </w:tr>
    </w:tbl>
    <w:p w:rsidR="00DE329F" w:rsidRPr="00D95391" w:rsidRDefault="00DE329F" w:rsidP="008D2F0C">
      <w:pPr>
        <w:pStyle w:val="HesberHeading"/>
        <w:rPr>
          <w:b w:val="0"/>
          <w:bCs w:val="0"/>
          <w:sz w:val="26"/>
          <w:rtl/>
        </w:rPr>
      </w:pPr>
    </w:p>
    <w:p w:rsidR="00AA4EA1" w:rsidRPr="00D95391" w:rsidRDefault="00AA4EA1" w:rsidP="00AA4EA1">
      <w:pPr>
        <w:pStyle w:val="HesberHeading"/>
        <w:rPr>
          <w:b w:val="0"/>
          <w:bCs w:val="0"/>
          <w:sz w:val="26"/>
          <w:rtl/>
        </w:rPr>
      </w:pPr>
    </w:p>
    <w:p w:rsidR="00FB31AA" w:rsidRPr="00D95391" w:rsidRDefault="00FB31AA" w:rsidP="00FB331A">
      <w:pPr>
        <w:pStyle w:val="HesberHeading"/>
        <w:rPr>
          <w:b w:val="0"/>
          <w:bCs w:val="0"/>
          <w:sz w:val="26"/>
          <w:rtl/>
        </w:rPr>
      </w:pPr>
      <w:r w:rsidRPr="00D95391">
        <w:rPr>
          <w:rFonts w:hint="eastAsia"/>
          <w:b w:val="0"/>
          <w:bCs w:val="0"/>
          <w:sz w:val="26"/>
          <w:rtl/>
        </w:rPr>
        <w:t>בנוסף</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בחשבון הוצאות עבור </w:t>
      </w:r>
      <w:r w:rsidR="00FB331A" w:rsidRPr="00D95391">
        <w:rPr>
          <w:rFonts w:hint="eastAsia"/>
          <w:b w:val="0"/>
          <w:bCs w:val="0"/>
          <w:sz w:val="26"/>
          <w:rtl/>
        </w:rPr>
        <w:t>ריהוט</w:t>
      </w:r>
      <w:r w:rsidR="00FB331A" w:rsidRPr="00D95391">
        <w:rPr>
          <w:b w:val="0"/>
          <w:bCs w:val="0"/>
          <w:sz w:val="26"/>
          <w:rtl/>
        </w:rPr>
        <w:t xml:space="preserve"> </w:t>
      </w:r>
      <w:r w:rsidR="00FB331A" w:rsidRPr="00D95391">
        <w:rPr>
          <w:rFonts w:hint="eastAsia"/>
          <w:b w:val="0"/>
          <w:bCs w:val="0"/>
          <w:sz w:val="26"/>
          <w:rtl/>
        </w:rPr>
        <w:t>ואבזור</w:t>
      </w:r>
      <w:r w:rsidR="00FB331A" w:rsidRPr="00D95391">
        <w:rPr>
          <w:b w:val="0"/>
          <w:bCs w:val="0"/>
          <w:sz w:val="26"/>
          <w:rtl/>
        </w:rPr>
        <w:t xml:space="preserve"> </w:t>
      </w:r>
      <w:r w:rsidR="00FB331A" w:rsidRPr="00D95391">
        <w:rPr>
          <w:rFonts w:hint="eastAsia"/>
          <w:b w:val="0"/>
          <w:bCs w:val="0"/>
          <w:sz w:val="26"/>
          <w:rtl/>
        </w:rPr>
        <w:t>המגורים</w:t>
      </w:r>
      <w:r w:rsidRPr="00D95391">
        <w:rPr>
          <w:b w:val="0"/>
          <w:bCs w:val="0"/>
          <w:sz w:val="26"/>
          <w:rtl/>
        </w:rPr>
        <w:t xml:space="preserve"> שהמעסיק מחויב להעמיד לרשות העובד על פי תקנות עובדים זרים (איסור העסקה שלא כדין והבטחת תנאים הוגנים) (מגורים הולמים), תש"ס-2000)</w:t>
      </w:r>
      <w:r w:rsidR="00D95391">
        <w:rPr>
          <w:rFonts w:hint="cs"/>
          <w:b w:val="0"/>
          <w:bCs w:val="0"/>
          <w:sz w:val="26"/>
          <w:rtl/>
        </w:rPr>
        <w:t>.</w:t>
      </w:r>
      <w:r w:rsidRPr="00D95391">
        <w:rPr>
          <w:b w:val="0"/>
          <w:bCs w:val="0"/>
          <w:sz w:val="26"/>
          <w:rtl/>
        </w:rPr>
        <w:t xml:space="preserve"> </w:t>
      </w:r>
    </w:p>
    <w:p w:rsidR="00AA4EA1" w:rsidRPr="00D95391" w:rsidRDefault="00AA4EA1" w:rsidP="00FB31AA">
      <w:pPr>
        <w:pStyle w:val="HesberHeading"/>
        <w:rPr>
          <w:b w:val="0"/>
          <w:bCs w:val="0"/>
          <w:sz w:val="26"/>
          <w:rtl/>
        </w:rPr>
      </w:pPr>
      <w:r w:rsidRPr="00D95391">
        <w:rPr>
          <w:rFonts w:hint="eastAsia"/>
          <w:b w:val="0"/>
          <w:bCs w:val="0"/>
          <w:sz w:val="26"/>
          <w:rtl/>
        </w:rPr>
        <w:t>ב</w:t>
      </w:r>
      <w:r w:rsidR="00FB31AA" w:rsidRPr="00D95391">
        <w:rPr>
          <w:rFonts w:hint="eastAsia"/>
          <w:b w:val="0"/>
          <w:bCs w:val="0"/>
          <w:sz w:val="26"/>
          <w:rtl/>
        </w:rPr>
        <w:t>נוסף</w:t>
      </w:r>
      <w:r w:rsidR="00FB31AA" w:rsidRPr="00D95391">
        <w:rPr>
          <w:b w:val="0"/>
          <w:bCs w:val="0"/>
          <w:sz w:val="26"/>
          <w:rtl/>
        </w:rPr>
        <w:t xml:space="preserve"> </w:t>
      </w:r>
      <w:r w:rsidR="00FB31AA" w:rsidRPr="00D95391">
        <w:rPr>
          <w:rFonts w:hint="eastAsia"/>
          <w:b w:val="0"/>
          <w:bCs w:val="0"/>
          <w:sz w:val="26"/>
          <w:rtl/>
        </w:rPr>
        <w:t>למוצרים</w:t>
      </w:r>
      <w:r w:rsidR="00FB31AA" w:rsidRPr="00D95391">
        <w:rPr>
          <w:b w:val="0"/>
          <w:bCs w:val="0"/>
          <w:sz w:val="26"/>
          <w:rtl/>
        </w:rPr>
        <w:t xml:space="preserve"> </w:t>
      </w:r>
      <w:r w:rsidR="00FB31AA" w:rsidRPr="00D95391">
        <w:rPr>
          <w:rFonts w:hint="eastAsia"/>
          <w:b w:val="0"/>
          <w:bCs w:val="0"/>
          <w:sz w:val="26"/>
          <w:rtl/>
        </w:rPr>
        <w:t>שצוינו</w:t>
      </w:r>
      <w:r w:rsidR="00FB31AA" w:rsidRPr="00D95391">
        <w:rPr>
          <w:b w:val="0"/>
          <w:bCs w:val="0"/>
          <w:sz w:val="26"/>
          <w:rtl/>
        </w:rPr>
        <w:t xml:space="preserve"> </w:t>
      </w:r>
      <w:r w:rsidR="00FB31AA" w:rsidRPr="00D95391">
        <w:rPr>
          <w:rFonts w:hint="eastAsia"/>
          <w:b w:val="0"/>
          <w:bCs w:val="0"/>
          <w:sz w:val="26"/>
          <w:rtl/>
        </w:rPr>
        <w:t>במפורש</w:t>
      </w:r>
      <w:r w:rsidR="00FB31AA" w:rsidRPr="00D95391">
        <w:rPr>
          <w:b w:val="0"/>
          <w:bCs w:val="0"/>
          <w:sz w:val="26"/>
          <w:rtl/>
        </w:rPr>
        <w:t xml:space="preserve"> </w:t>
      </w:r>
      <w:r w:rsidR="00FB31AA" w:rsidRPr="00D95391">
        <w:rPr>
          <w:rFonts w:hint="eastAsia"/>
          <w:b w:val="0"/>
          <w:bCs w:val="0"/>
          <w:sz w:val="26"/>
          <w:rtl/>
        </w:rPr>
        <w:t>בתקנות</w:t>
      </w:r>
      <w:r w:rsidR="00FB31AA" w:rsidRPr="00D95391">
        <w:rPr>
          <w:b w:val="0"/>
          <w:bCs w:val="0"/>
          <w:sz w:val="26"/>
          <w:rtl/>
        </w:rPr>
        <w:t xml:space="preserve">, </w:t>
      </w:r>
      <w:r w:rsidR="00FB31AA" w:rsidRPr="00D95391">
        <w:rPr>
          <w:rFonts w:hint="eastAsia"/>
          <w:b w:val="0"/>
          <w:bCs w:val="0"/>
          <w:sz w:val="26"/>
          <w:rtl/>
        </w:rPr>
        <w:t>ב</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הוחלט</w:t>
      </w:r>
      <w:r w:rsidRPr="00D95391">
        <w:rPr>
          <w:b w:val="0"/>
          <w:bCs w:val="0"/>
          <w:sz w:val="26"/>
          <w:rtl/>
        </w:rPr>
        <w:t xml:space="preserve"> </w:t>
      </w:r>
      <w:r w:rsidRPr="00D95391">
        <w:rPr>
          <w:rFonts w:hint="eastAsia"/>
          <w:b w:val="0"/>
          <w:bCs w:val="0"/>
          <w:sz w:val="26"/>
          <w:rtl/>
        </w:rPr>
        <w:t>לכלול</w:t>
      </w:r>
      <w:r w:rsidR="00FB331A" w:rsidRPr="00D95391">
        <w:rPr>
          <w:b w:val="0"/>
          <w:bCs w:val="0"/>
          <w:sz w:val="26"/>
          <w:rtl/>
        </w:rPr>
        <w:t xml:space="preserve"> גם</w:t>
      </w:r>
      <w:r w:rsidRPr="00D95391">
        <w:rPr>
          <w:b w:val="0"/>
          <w:bCs w:val="0"/>
          <w:sz w:val="26"/>
          <w:rtl/>
        </w:rPr>
        <w:t xml:space="preserve"> הוצאות המעסיק על התקנת מזגן ודוד שמש. </w:t>
      </w:r>
      <w:r w:rsidRPr="00D95391">
        <w:rPr>
          <w:rFonts w:hint="eastAsia"/>
          <w:b w:val="0"/>
          <w:bCs w:val="0"/>
          <w:sz w:val="26"/>
          <w:rtl/>
        </w:rPr>
        <w:t>זאת</w:t>
      </w:r>
      <w:r w:rsidRPr="00D95391">
        <w:rPr>
          <w:b w:val="0"/>
          <w:bCs w:val="0"/>
          <w:sz w:val="26"/>
          <w:rtl/>
        </w:rPr>
        <w:t xml:space="preserve"> </w:t>
      </w:r>
      <w:r w:rsidRPr="00D95391">
        <w:rPr>
          <w:rFonts w:hint="eastAsia"/>
          <w:b w:val="0"/>
          <w:bCs w:val="0"/>
          <w:sz w:val="26"/>
          <w:rtl/>
        </w:rPr>
        <w:t>בהתאם</w:t>
      </w:r>
      <w:r w:rsidRPr="00D95391">
        <w:rPr>
          <w:b w:val="0"/>
          <w:bCs w:val="0"/>
          <w:sz w:val="26"/>
          <w:rtl/>
        </w:rPr>
        <w:t xml:space="preserve"> </w:t>
      </w:r>
      <w:r w:rsidRPr="00D95391">
        <w:rPr>
          <w:rFonts w:hint="eastAsia"/>
          <w:b w:val="0"/>
          <w:bCs w:val="0"/>
          <w:sz w:val="26"/>
          <w:rtl/>
        </w:rPr>
        <w:t>לדרישות</w:t>
      </w:r>
      <w:r w:rsidRPr="00D95391">
        <w:rPr>
          <w:b w:val="0"/>
          <w:bCs w:val="0"/>
          <w:sz w:val="26"/>
          <w:rtl/>
        </w:rPr>
        <w:t xml:space="preserve"> </w:t>
      </w:r>
      <w:r w:rsidRPr="00D95391">
        <w:rPr>
          <w:rFonts w:hint="eastAsia"/>
          <w:b w:val="0"/>
          <w:bCs w:val="0"/>
          <w:sz w:val="26"/>
          <w:rtl/>
        </w:rPr>
        <w:t>התקנות</w:t>
      </w:r>
      <w:r w:rsidRPr="00D95391">
        <w:rPr>
          <w:b w:val="0"/>
          <w:bCs w:val="0"/>
          <w:sz w:val="26"/>
          <w:rtl/>
        </w:rPr>
        <w:t xml:space="preserve"> </w:t>
      </w:r>
      <w:r w:rsidRPr="00D95391">
        <w:rPr>
          <w:rFonts w:hint="eastAsia"/>
          <w:b w:val="0"/>
          <w:bCs w:val="0"/>
          <w:sz w:val="26"/>
          <w:rtl/>
        </w:rPr>
        <w:t>לאוורור</w:t>
      </w:r>
      <w:r w:rsidRPr="00D95391">
        <w:rPr>
          <w:b w:val="0"/>
          <w:bCs w:val="0"/>
          <w:sz w:val="26"/>
          <w:rtl/>
        </w:rPr>
        <w:t xml:space="preserve"> </w:t>
      </w:r>
      <w:r w:rsidRPr="00D95391">
        <w:rPr>
          <w:rFonts w:hint="eastAsia"/>
          <w:b w:val="0"/>
          <w:bCs w:val="0"/>
          <w:sz w:val="26"/>
          <w:rtl/>
        </w:rPr>
        <w:t>והסקה</w:t>
      </w:r>
      <w:r w:rsidRPr="00D95391">
        <w:rPr>
          <w:b w:val="0"/>
          <w:bCs w:val="0"/>
          <w:sz w:val="26"/>
          <w:rtl/>
        </w:rPr>
        <w:t xml:space="preserve"> </w:t>
      </w:r>
      <w:r w:rsidRPr="00D95391">
        <w:rPr>
          <w:rFonts w:hint="eastAsia"/>
          <w:b w:val="0"/>
          <w:bCs w:val="0"/>
          <w:sz w:val="26"/>
          <w:rtl/>
        </w:rPr>
        <w:t>באמצעים</w:t>
      </w:r>
      <w:r w:rsidRPr="00D95391">
        <w:rPr>
          <w:b w:val="0"/>
          <w:bCs w:val="0"/>
          <w:sz w:val="26"/>
          <w:rtl/>
        </w:rPr>
        <w:t xml:space="preserve"> </w:t>
      </w:r>
      <w:r w:rsidRPr="00D95391">
        <w:rPr>
          <w:rFonts w:hint="eastAsia"/>
          <w:b w:val="0"/>
          <w:bCs w:val="0"/>
          <w:sz w:val="26"/>
          <w:rtl/>
        </w:rPr>
        <w:t>חשמליים</w:t>
      </w:r>
      <w:r w:rsidRPr="00D95391">
        <w:rPr>
          <w:b w:val="0"/>
          <w:bCs w:val="0"/>
          <w:sz w:val="26"/>
          <w:rtl/>
        </w:rPr>
        <w:t xml:space="preserve">, </w:t>
      </w:r>
      <w:r w:rsidRPr="00D95391">
        <w:rPr>
          <w:rFonts w:hint="eastAsia"/>
          <w:b w:val="0"/>
          <w:bCs w:val="0"/>
          <w:sz w:val="26"/>
          <w:rtl/>
        </w:rPr>
        <w:t>כמו</w:t>
      </w:r>
      <w:r w:rsidRPr="00D95391">
        <w:rPr>
          <w:b w:val="0"/>
          <w:bCs w:val="0"/>
          <w:sz w:val="26"/>
          <w:rtl/>
        </w:rPr>
        <w:t xml:space="preserve"> </w:t>
      </w:r>
      <w:r w:rsidRPr="00D95391">
        <w:rPr>
          <w:rFonts w:hint="eastAsia"/>
          <w:b w:val="0"/>
          <w:bCs w:val="0"/>
          <w:sz w:val="26"/>
          <w:rtl/>
        </w:rPr>
        <w:t>גם</w:t>
      </w:r>
      <w:r w:rsidRPr="00D95391">
        <w:rPr>
          <w:b w:val="0"/>
          <w:bCs w:val="0"/>
          <w:sz w:val="26"/>
          <w:rtl/>
        </w:rPr>
        <w:t xml:space="preserve"> </w:t>
      </w:r>
      <w:r w:rsidRPr="00D95391">
        <w:rPr>
          <w:rFonts w:hint="eastAsia"/>
          <w:b w:val="0"/>
          <w:bCs w:val="0"/>
          <w:sz w:val="26"/>
          <w:rtl/>
        </w:rPr>
        <w:t>ל</w:t>
      </w:r>
      <w:r w:rsidR="007A234E" w:rsidRPr="00D95391">
        <w:rPr>
          <w:rFonts w:hint="eastAsia"/>
          <w:b w:val="0"/>
          <w:bCs w:val="0"/>
          <w:sz w:val="26"/>
          <w:rtl/>
        </w:rPr>
        <w:t>א</w:t>
      </w:r>
      <w:r w:rsidRPr="00D95391">
        <w:rPr>
          <w:rFonts w:hint="eastAsia"/>
          <w:b w:val="0"/>
          <w:bCs w:val="0"/>
          <w:sz w:val="26"/>
          <w:rtl/>
        </w:rPr>
        <w:t>ספקת</w:t>
      </w:r>
      <w:r w:rsidRPr="00D95391">
        <w:rPr>
          <w:b w:val="0"/>
          <w:bCs w:val="0"/>
          <w:sz w:val="26"/>
          <w:rtl/>
        </w:rPr>
        <w:t xml:space="preserve"> </w:t>
      </w:r>
      <w:r w:rsidRPr="00D95391">
        <w:rPr>
          <w:rFonts w:hint="eastAsia"/>
          <w:b w:val="0"/>
          <w:bCs w:val="0"/>
          <w:sz w:val="26"/>
          <w:rtl/>
        </w:rPr>
        <w:t>מים</w:t>
      </w:r>
      <w:r w:rsidRPr="00D95391">
        <w:rPr>
          <w:b w:val="0"/>
          <w:bCs w:val="0"/>
          <w:sz w:val="26"/>
          <w:rtl/>
        </w:rPr>
        <w:t xml:space="preserve"> </w:t>
      </w:r>
      <w:r w:rsidRPr="00D95391">
        <w:rPr>
          <w:rFonts w:hint="eastAsia"/>
          <w:b w:val="0"/>
          <w:bCs w:val="0"/>
          <w:sz w:val="26"/>
          <w:rtl/>
        </w:rPr>
        <w:t>חמים</w:t>
      </w:r>
      <w:r w:rsidRPr="00D95391">
        <w:rPr>
          <w:b w:val="0"/>
          <w:bCs w:val="0"/>
          <w:sz w:val="26"/>
          <w:rtl/>
        </w:rPr>
        <w:t xml:space="preserve"> במקלחות. על אף שהתקנות לא מחייבות במפורש התקנת מזגן ודוד חשמלי, עלה הרושם כי </w:t>
      </w:r>
      <w:r w:rsidRPr="00D95391">
        <w:rPr>
          <w:rFonts w:hint="eastAsia"/>
          <w:b w:val="0"/>
          <w:bCs w:val="0"/>
          <w:sz w:val="26"/>
          <w:rtl/>
        </w:rPr>
        <w:t>במציאות</w:t>
      </w:r>
      <w:r w:rsidRPr="00D95391">
        <w:rPr>
          <w:b w:val="0"/>
          <w:bCs w:val="0"/>
          <w:sz w:val="26"/>
          <w:rtl/>
        </w:rPr>
        <w:t xml:space="preserve"> הקיימת מזגן </w:t>
      </w:r>
      <w:r w:rsidRPr="00D95391">
        <w:rPr>
          <w:rFonts w:hint="eastAsia"/>
          <w:b w:val="0"/>
          <w:bCs w:val="0"/>
          <w:sz w:val="26"/>
          <w:rtl/>
        </w:rPr>
        <w:t>משמש</w:t>
      </w:r>
      <w:r w:rsidRPr="00D95391">
        <w:rPr>
          <w:b w:val="0"/>
          <w:bCs w:val="0"/>
          <w:sz w:val="26"/>
          <w:rtl/>
        </w:rPr>
        <w:t xml:space="preserve"> מגורים רבים ודוד חשמלי הינו הוצאה אפשרית מתבקשת, הן בשיקולי עלות תועלת (צריכת חשמל לחימום המים). </w:t>
      </w:r>
    </w:p>
    <w:p w:rsidR="00AA4EA1" w:rsidRPr="00D95391" w:rsidRDefault="00AA4EA1" w:rsidP="00AA4EA1">
      <w:pPr>
        <w:pStyle w:val="HesberHeading"/>
        <w:rPr>
          <w:b w:val="0"/>
          <w:bCs w:val="0"/>
          <w:sz w:val="26"/>
          <w:rtl/>
        </w:rPr>
      </w:pPr>
      <w:r w:rsidRPr="00D95391">
        <w:rPr>
          <w:rFonts w:hint="eastAsia"/>
          <w:b w:val="0"/>
          <w:bCs w:val="0"/>
          <w:sz w:val="26"/>
          <w:rtl/>
        </w:rPr>
        <w:t>לשם</w:t>
      </w:r>
      <w:r w:rsidRPr="00D95391">
        <w:rPr>
          <w:b w:val="0"/>
          <w:bCs w:val="0"/>
          <w:sz w:val="26"/>
          <w:rtl/>
        </w:rPr>
        <w:t xml:space="preserve"> </w:t>
      </w:r>
      <w:r w:rsidRPr="00D95391">
        <w:rPr>
          <w:rFonts w:hint="eastAsia"/>
          <w:b w:val="0"/>
          <w:bCs w:val="0"/>
          <w:sz w:val="26"/>
          <w:rtl/>
        </w:rPr>
        <w:t>חישוב</w:t>
      </w:r>
      <w:r w:rsidRPr="00D95391">
        <w:rPr>
          <w:b w:val="0"/>
          <w:bCs w:val="0"/>
          <w:sz w:val="26"/>
          <w:rtl/>
        </w:rPr>
        <w:t xml:space="preserve"> </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w:t>
      </w:r>
      <w:r w:rsidRPr="00D95391">
        <w:rPr>
          <w:rFonts w:hint="eastAsia"/>
          <w:b w:val="0"/>
          <w:bCs w:val="0"/>
          <w:sz w:val="26"/>
          <w:rtl/>
        </w:rPr>
        <w:t>בחשבון</w:t>
      </w:r>
      <w:r w:rsidRPr="00D95391">
        <w:rPr>
          <w:b w:val="0"/>
          <w:bCs w:val="0"/>
          <w:sz w:val="26"/>
          <w:rtl/>
        </w:rPr>
        <w:t xml:space="preserve"> </w:t>
      </w:r>
      <w:r w:rsidRPr="00D95391">
        <w:rPr>
          <w:rFonts w:hint="eastAsia"/>
          <w:b w:val="0"/>
          <w:bCs w:val="0"/>
          <w:sz w:val="26"/>
          <w:rtl/>
        </w:rPr>
        <w:t>מחירי</w:t>
      </w:r>
      <w:r w:rsidRPr="00D95391">
        <w:rPr>
          <w:b w:val="0"/>
          <w:bCs w:val="0"/>
          <w:sz w:val="26"/>
          <w:rtl/>
        </w:rPr>
        <w:t xml:space="preserve"> </w:t>
      </w:r>
      <w:r w:rsidRPr="00D95391">
        <w:rPr>
          <w:rFonts w:hint="eastAsia"/>
          <w:b w:val="0"/>
          <w:bCs w:val="0"/>
          <w:sz w:val="26"/>
          <w:rtl/>
        </w:rPr>
        <w:t>יד</w:t>
      </w:r>
      <w:r w:rsidRPr="00D95391">
        <w:rPr>
          <w:b w:val="0"/>
          <w:bCs w:val="0"/>
          <w:sz w:val="26"/>
          <w:rtl/>
        </w:rPr>
        <w:t xml:space="preserve"> </w:t>
      </w:r>
      <w:r w:rsidRPr="00D95391">
        <w:rPr>
          <w:rFonts w:hint="eastAsia"/>
          <w:b w:val="0"/>
          <w:bCs w:val="0"/>
          <w:sz w:val="26"/>
          <w:rtl/>
        </w:rPr>
        <w:t>שניה</w:t>
      </w:r>
      <w:r w:rsidRPr="00D95391">
        <w:rPr>
          <w:b w:val="0"/>
          <w:bCs w:val="0"/>
          <w:sz w:val="26"/>
          <w:rtl/>
        </w:rPr>
        <w:t xml:space="preserve"> </w:t>
      </w:r>
      <w:r w:rsidRPr="00D95391">
        <w:rPr>
          <w:rFonts w:hint="eastAsia"/>
          <w:b w:val="0"/>
          <w:bCs w:val="0"/>
          <w:sz w:val="26"/>
          <w:rtl/>
        </w:rPr>
        <w:t>לריהוט</w:t>
      </w:r>
      <w:r w:rsidRPr="00D95391">
        <w:rPr>
          <w:b w:val="0"/>
          <w:bCs w:val="0"/>
          <w:sz w:val="26"/>
          <w:rtl/>
        </w:rPr>
        <w:t xml:space="preserve"> </w:t>
      </w:r>
      <w:r w:rsidRPr="00D95391">
        <w:rPr>
          <w:rFonts w:hint="eastAsia"/>
          <w:b w:val="0"/>
          <w:bCs w:val="0"/>
          <w:sz w:val="26"/>
          <w:rtl/>
        </w:rPr>
        <w:t>הנדרש</w:t>
      </w:r>
      <w:r w:rsidRPr="00D95391">
        <w:rPr>
          <w:b w:val="0"/>
          <w:bCs w:val="0"/>
          <w:sz w:val="26"/>
          <w:rtl/>
        </w:rPr>
        <w:t xml:space="preserve"> </w:t>
      </w:r>
      <w:r w:rsidRPr="00D95391">
        <w:rPr>
          <w:rFonts w:hint="eastAsia"/>
          <w:b w:val="0"/>
          <w:bCs w:val="0"/>
          <w:sz w:val="26"/>
          <w:rtl/>
        </w:rPr>
        <w:t>בתקנות</w:t>
      </w:r>
      <w:r w:rsidRPr="00D95391">
        <w:rPr>
          <w:b w:val="0"/>
          <w:bCs w:val="0"/>
          <w:sz w:val="26"/>
          <w:rtl/>
        </w:rPr>
        <w:t xml:space="preserve"> </w:t>
      </w:r>
      <w:r w:rsidRPr="00D95391">
        <w:rPr>
          <w:rFonts w:hint="eastAsia"/>
          <w:b w:val="0"/>
          <w:bCs w:val="0"/>
          <w:sz w:val="26"/>
          <w:rtl/>
        </w:rPr>
        <w:t>המגורים</w:t>
      </w:r>
      <w:r w:rsidRPr="00D95391">
        <w:rPr>
          <w:b w:val="0"/>
          <w:bCs w:val="0"/>
          <w:sz w:val="26"/>
          <w:rtl/>
        </w:rPr>
        <w:t>, ומחירי יד ראשונה למוצרי החשמל והאבזור הבסיסי הנדרש (כרית, מצעים, שמיכת צמר). הוחלט להסתמך על מחירי יד ראשונה למכשירי החשמל והאבזור הבסיסי, מתוך הנחה של שיקולי עלות תועלת.</w:t>
      </w:r>
      <w:r w:rsidRPr="00D95391">
        <w:rPr>
          <w:rFonts w:hint="cs"/>
          <w:b w:val="0"/>
          <w:bCs w:val="0"/>
          <w:sz w:val="26"/>
          <w:rtl/>
        </w:rPr>
        <w:t xml:space="preserve"> </w:t>
      </w:r>
    </w:p>
    <w:p w:rsidR="00AA4EA1" w:rsidRPr="00D95391" w:rsidRDefault="00AA4EA1" w:rsidP="00AA4EA1">
      <w:pPr>
        <w:pStyle w:val="HesberHeading"/>
        <w:rPr>
          <w:b w:val="0"/>
          <w:bCs w:val="0"/>
          <w:sz w:val="26"/>
          <w:rtl/>
        </w:rPr>
      </w:pPr>
    </w:p>
    <w:tbl>
      <w:tblPr>
        <w:bidiVisual/>
        <w:tblW w:w="9840" w:type="dxa"/>
        <w:tblInd w:w="98" w:type="dxa"/>
        <w:tblLook w:val="04A0" w:firstRow="1" w:lastRow="0" w:firstColumn="1" w:lastColumn="0" w:noHBand="0" w:noVBand="1"/>
      </w:tblPr>
      <w:tblGrid>
        <w:gridCol w:w="2380"/>
        <w:gridCol w:w="1840"/>
        <w:gridCol w:w="1420"/>
        <w:gridCol w:w="1220"/>
        <w:gridCol w:w="1080"/>
        <w:gridCol w:w="1900"/>
      </w:tblGrid>
      <w:tr w:rsidR="00AA4EA1" w:rsidRPr="00D95391" w:rsidTr="00AA4EA1">
        <w:trPr>
          <w:trHeight w:val="315"/>
        </w:trPr>
        <w:tc>
          <w:tcPr>
            <w:tcW w:w="23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spacing w:val="0"/>
                <w:sz w:val="22"/>
                <w:szCs w:val="22"/>
                <w:rtl/>
                <w:lang w:eastAsia="en-US"/>
              </w:rPr>
            </w:pPr>
            <w:r w:rsidRPr="00D95391">
              <w:rPr>
                <w:rFonts w:ascii="Arial" w:eastAsia="Times New Roman" w:hAnsi="Arial" w:cs="Arial"/>
                <w:b/>
                <w:bCs/>
                <w:spacing w:val="0"/>
                <w:sz w:val="22"/>
                <w:szCs w:val="22"/>
                <w:rtl/>
                <w:lang w:eastAsia="en-US"/>
              </w:rPr>
              <w:t>ריהוט וציוד</w:t>
            </w:r>
          </w:p>
        </w:tc>
        <w:tc>
          <w:tcPr>
            <w:tcW w:w="184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4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2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08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90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r>
      <w:tr w:rsidR="00AA4EA1" w:rsidRPr="00D95391" w:rsidTr="00AA4EA1">
        <w:trPr>
          <w:trHeight w:val="285"/>
        </w:trPr>
        <w:tc>
          <w:tcPr>
            <w:tcW w:w="23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נושא</w:t>
            </w:r>
          </w:p>
        </w:tc>
        <w:tc>
          <w:tcPr>
            <w:tcW w:w="184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אביזר</w:t>
            </w:r>
          </w:p>
        </w:tc>
        <w:tc>
          <w:tcPr>
            <w:tcW w:w="14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w:t>
            </w:r>
          </w:p>
        </w:tc>
        <w:tc>
          <w:tcPr>
            <w:tcW w:w="12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משך חיים</w:t>
            </w:r>
          </w:p>
        </w:tc>
        <w:tc>
          <w:tcPr>
            <w:tcW w:w="108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שנתית</w:t>
            </w:r>
          </w:p>
        </w:tc>
        <w:tc>
          <w:tcPr>
            <w:tcW w:w="1900" w:type="dxa"/>
            <w:tcBorders>
              <w:top w:val="single" w:sz="8" w:space="0" w:color="auto"/>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חודשית לעובד</w:t>
            </w:r>
          </w:p>
        </w:tc>
      </w:tr>
      <w:tr w:rsidR="00AA4EA1" w:rsidRPr="00D95391" w:rsidTr="00AA4EA1">
        <w:trPr>
          <w:trHeight w:val="285"/>
        </w:trPr>
        <w:tc>
          <w:tcPr>
            <w:tcW w:w="2380" w:type="dxa"/>
            <w:vMerge w:val="restart"/>
            <w:tcBorders>
              <w:top w:val="nil"/>
              <w:left w:val="single" w:sz="8" w:space="0" w:color="auto"/>
              <w:bottom w:val="single" w:sz="4" w:space="0" w:color="000000"/>
              <w:right w:val="single" w:sz="4" w:space="0" w:color="auto"/>
            </w:tcBorders>
            <w:shd w:val="clear" w:color="000000" w:fill="BFBFBF"/>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 xml:space="preserve">אביזרי מגורים וריהוט </w:t>
            </w:r>
            <w:r w:rsidRPr="00D95391">
              <w:rPr>
                <w:rFonts w:ascii="Arial" w:eastAsia="Times New Roman" w:hAnsi="Arial" w:cs="Arial"/>
                <w:b/>
                <w:bCs/>
                <w:color w:val="auto"/>
                <w:spacing w:val="0"/>
                <w:sz w:val="22"/>
                <w:szCs w:val="22"/>
                <w:rtl/>
                <w:lang w:eastAsia="en-US"/>
              </w:rPr>
              <w:lastRenderedPageBreak/>
              <w:t>הכרחי</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lastRenderedPageBreak/>
              <w:t>מיטה + מזרון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w:t>
            </w:r>
            <w:r w:rsidRPr="00D95391">
              <w:rPr>
                <w:rFonts w:ascii="Arial" w:eastAsia="Times New Roman" w:hAnsi="Arial" w:cs="Arial"/>
                <w:color w:val="auto"/>
                <w:spacing w:val="0"/>
                <w:sz w:val="22"/>
                <w:szCs w:val="22"/>
                <w:lang w:eastAsia="en-US"/>
              </w:rPr>
              <w:lastRenderedPageBreak/>
              <w:t xml:space="preserve">450.0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90.0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7.5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כרית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61.5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12.3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מצעים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118.0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23.6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שמיכת צמר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144.0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28.8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ארון בגדים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275.0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55.0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פינת אוכל</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2.1 </w:t>
            </w:r>
          </w:p>
        </w:tc>
      </w:tr>
      <w:tr w:rsidR="00AA4EA1" w:rsidRPr="00D95391" w:rsidTr="00AA4EA1">
        <w:trPr>
          <w:trHeight w:val="285"/>
        </w:trPr>
        <w:tc>
          <w:tcPr>
            <w:tcW w:w="2380" w:type="dxa"/>
            <w:vMerge w:val="restart"/>
            <w:tcBorders>
              <w:top w:val="nil"/>
              <w:left w:val="single" w:sz="8" w:space="0" w:color="auto"/>
              <w:bottom w:val="single" w:sz="4" w:space="0" w:color="auto"/>
              <w:right w:val="single" w:sz="4" w:space="0" w:color="auto"/>
            </w:tcBorders>
            <w:shd w:val="clear" w:color="auto" w:fill="auto"/>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מכשירי חשמל</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מקרר</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1,650.0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220.0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w:t>
            </w:r>
            <w:r w:rsidR="007A234E" w:rsidRPr="00D95391">
              <w:rPr>
                <w:rFonts w:ascii="Arial" w:eastAsia="Times New Roman" w:hAnsi="Arial" w:cs="Arial" w:hint="cs"/>
                <w:color w:val="auto"/>
                <w:spacing w:val="0"/>
                <w:sz w:val="22"/>
                <w:szCs w:val="22"/>
                <w:rtl/>
                <w:lang w:eastAsia="en-US"/>
              </w:rPr>
              <w:t xml:space="preserve"> </w:t>
            </w:r>
            <w:r w:rsidRPr="00D95391">
              <w:rPr>
                <w:rFonts w:ascii="Arial" w:eastAsia="Times New Roman" w:hAnsi="Arial" w:cs="Arial"/>
                <w:color w:val="auto"/>
                <w:spacing w:val="0"/>
                <w:sz w:val="22"/>
                <w:szCs w:val="22"/>
                <w:rtl/>
                <w:lang w:eastAsia="en-US"/>
              </w:rPr>
              <w:t>כביסה</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2.9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תאורה</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0.8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דוד שמש</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4.3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מזגן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600.0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12.5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התקנת מזגן</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1,800.0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כיריים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AA4EA1" w:rsidTr="00AA4EA1">
        <w:trPr>
          <w:trHeight w:val="315"/>
        </w:trPr>
        <w:tc>
          <w:tcPr>
            <w:tcW w:w="2380" w:type="dxa"/>
            <w:tcBorders>
              <w:top w:val="nil"/>
              <w:left w:val="single" w:sz="8" w:space="0" w:color="auto"/>
              <w:bottom w:val="single" w:sz="8"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סה"כ</w:t>
            </w:r>
          </w:p>
        </w:tc>
        <w:tc>
          <w:tcPr>
            <w:tcW w:w="5560" w:type="dxa"/>
            <w:gridSpan w:val="4"/>
            <w:tcBorders>
              <w:top w:val="single" w:sz="4" w:space="0" w:color="auto"/>
              <w:left w:val="single" w:sz="4" w:space="0" w:color="auto"/>
              <w:bottom w:val="single" w:sz="8" w:space="0" w:color="auto"/>
              <w:right w:val="single" w:sz="4" w:space="0" w:color="000000"/>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righ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4 עובדים</w:t>
            </w:r>
          </w:p>
        </w:tc>
        <w:tc>
          <w:tcPr>
            <w:tcW w:w="1900" w:type="dxa"/>
            <w:tcBorders>
              <w:top w:val="nil"/>
              <w:left w:val="single" w:sz="4" w:space="0" w:color="auto"/>
              <w:bottom w:val="single" w:sz="8" w:space="0" w:color="auto"/>
              <w:right w:val="single" w:sz="8" w:space="0" w:color="auto"/>
            </w:tcBorders>
            <w:shd w:val="clear" w:color="000000" w:fill="C0C0C0"/>
            <w:noWrap/>
            <w:vAlign w:val="center"/>
            <w:hideMark/>
          </w:tcPr>
          <w:p w:rsidR="00AA4EA1" w:rsidRPr="00AA4EA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lang w:eastAsia="en-US"/>
              </w:rPr>
              <w:t>50.7</w:t>
            </w:r>
          </w:p>
        </w:tc>
      </w:tr>
    </w:tbl>
    <w:p w:rsidR="00AA4EA1" w:rsidRDefault="00AA4EA1" w:rsidP="00AA4EA1">
      <w:pPr>
        <w:pStyle w:val="HesberHeading"/>
        <w:rPr>
          <w:b w:val="0"/>
          <w:bCs w:val="0"/>
          <w:sz w:val="26"/>
          <w:rtl/>
        </w:rPr>
      </w:pPr>
      <w:r>
        <w:rPr>
          <w:rFonts w:hint="cs"/>
          <w:b w:val="0"/>
          <w:bCs w:val="0"/>
          <w:sz w:val="26"/>
          <w:rtl/>
        </w:rPr>
        <w:t xml:space="preserve"> </w:t>
      </w:r>
    </w:p>
    <w:p w:rsidR="00AA4EA1" w:rsidRDefault="00AA4EA1" w:rsidP="00AA4EA1">
      <w:pPr>
        <w:pStyle w:val="HesberHeading"/>
        <w:rPr>
          <w:b w:val="0"/>
          <w:bCs w:val="0"/>
          <w:sz w:val="26"/>
          <w:rtl/>
        </w:rPr>
      </w:pPr>
    </w:p>
    <w:p w:rsidR="003738CE" w:rsidRPr="004900A8" w:rsidRDefault="00AA4EA1" w:rsidP="001B726B">
      <w:pPr>
        <w:pStyle w:val="Hesber1st"/>
        <w:tabs>
          <w:tab w:val="clear" w:pos="680"/>
        </w:tabs>
        <w:rPr>
          <w:rtl/>
        </w:rPr>
      </w:pPr>
      <w:r>
        <w:rPr>
          <w:rFonts w:hint="cs"/>
          <w:sz w:val="26"/>
          <w:rtl/>
        </w:rPr>
        <w:t xml:space="preserve"> </w:t>
      </w:r>
    </w:p>
    <w:p w:rsidR="003320F7" w:rsidRDefault="003320F7"/>
    <w:p w:rsidR="00544F41" w:rsidRDefault="00544F41"/>
    <w:sectPr w:rsidR="00544F41" w:rsidSect="00A235CE">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164" w:rsidRDefault="00AF6164" w:rsidP="00FE6A1F">
      <w:pPr>
        <w:spacing w:before="0" w:line="240" w:lineRule="auto"/>
      </w:pPr>
      <w:r>
        <w:separator/>
      </w:r>
    </w:p>
  </w:endnote>
  <w:endnote w:type="continuationSeparator" w:id="0">
    <w:p w:rsidR="00AF6164" w:rsidRDefault="00AF6164" w:rsidP="00FE6A1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2C4C0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CE" w:rsidRDefault="003738CE" w:rsidP="00A235CE">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2C4C0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164" w:rsidRDefault="00AF6164" w:rsidP="00FE6A1F">
      <w:pPr>
        <w:spacing w:before="0" w:line="240" w:lineRule="auto"/>
      </w:pPr>
      <w:r>
        <w:separator/>
      </w:r>
    </w:p>
  </w:footnote>
  <w:footnote w:type="continuationSeparator" w:id="0">
    <w:p w:rsidR="00AF6164" w:rsidRDefault="00AF6164" w:rsidP="00FE6A1F">
      <w:pPr>
        <w:spacing w:before="0" w:line="240" w:lineRule="auto"/>
      </w:pPr>
      <w:r>
        <w:continuationSeparator/>
      </w:r>
    </w:p>
  </w:footnote>
  <w:footnote w:id="1">
    <w:p w:rsidR="003738CE" w:rsidRDefault="003738CE" w:rsidP="00F02829">
      <w:pPr>
        <w:pStyle w:val="ab"/>
        <w:rPr>
          <w:rtl/>
        </w:rPr>
      </w:pPr>
      <w:r>
        <w:rPr>
          <w:rStyle w:val="ad"/>
        </w:rPr>
        <w:footnoteRef/>
      </w:r>
      <w:r>
        <w:rPr>
          <w:rtl/>
        </w:rPr>
        <w:t xml:space="preserve"> </w:t>
      </w:r>
      <w:r>
        <w:rPr>
          <w:rFonts w:hint="cs"/>
          <w:rtl/>
        </w:rPr>
        <w:t xml:space="preserve">ס"ח </w:t>
      </w:r>
      <w:proofErr w:type="spellStart"/>
      <w:r>
        <w:rPr>
          <w:rFonts w:hint="cs"/>
          <w:rtl/>
        </w:rPr>
        <w:t>התשנ"א</w:t>
      </w:r>
      <w:proofErr w:type="spellEnd"/>
      <w:r>
        <w:rPr>
          <w:rFonts w:hint="cs"/>
          <w:rtl/>
        </w:rPr>
        <w:t>, עמ' 112</w:t>
      </w:r>
      <w:r w:rsidR="00F02829">
        <w:rPr>
          <w:rFonts w:hint="cs"/>
          <w:rtl/>
        </w:rPr>
        <w:t xml:space="preserve">; </w:t>
      </w:r>
      <w:proofErr w:type="spellStart"/>
      <w:r w:rsidR="00F02829">
        <w:rPr>
          <w:rFonts w:hint="cs"/>
          <w:rtl/>
        </w:rPr>
        <w:t>התש"ס</w:t>
      </w:r>
      <w:proofErr w:type="spellEnd"/>
      <w:r w:rsidR="00F02829">
        <w:rPr>
          <w:rFonts w:hint="cs"/>
          <w:rtl/>
        </w:rPr>
        <w:t xml:space="preserve">, </w:t>
      </w:r>
      <w:proofErr w:type="spellStart"/>
      <w:r w:rsidR="00F02829">
        <w:rPr>
          <w:rFonts w:hint="cs"/>
          <w:rtl/>
        </w:rPr>
        <w:t>עמ</w:t>
      </w:r>
      <w:proofErr w:type="spellEnd"/>
      <w:r w:rsidR="00F02829">
        <w:rPr>
          <w:rFonts w:hint="cs"/>
          <w:rtl/>
        </w:rPr>
        <w:t xml:space="preserve"> 85.</w:t>
      </w:r>
    </w:p>
  </w:footnote>
  <w:footnote w:id="2">
    <w:p w:rsidR="003738CE" w:rsidRDefault="003738CE">
      <w:pPr>
        <w:pStyle w:val="ab"/>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w:t>
      </w:r>
      <w:proofErr w:type="spellEnd"/>
      <w:r>
        <w:rPr>
          <w:rFonts w:hint="cs"/>
          <w:rtl/>
        </w:rPr>
        <w:t>, עמ' 774</w:t>
      </w:r>
      <w:r w:rsidR="00F02829">
        <w:rPr>
          <w:rFonts w:hint="cs"/>
          <w:rtl/>
        </w:rPr>
        <w:t xml:space="preserve">; </w:t>
      </w:r>
      <w:proofErr w:type="spellStart"/>
      <w:r w:rsidR="00F02829">
        <w:rPr>
          <w:rFonts w:hint="cs"/>
          <w:rtl/>
        </w:rPr>
        <w:t>התשס"ג</w:t>
      </w:r>
      <w:proofErr w:type="spellEnd"/>
      <w:r w:rsidR="00F02829">
        <w:rPr>
          <w:rFonts w:hint="cs"/>
          <w:rtl/>
        </w:rPr>
        <w:t>, עמ' 67.</w:t>
      </w:r>
    </w:p>
  </w:footnote>
  <w:footnote w:id="3">
    <w:p w:rsidR="00072B12" w:rsidRPr="00072B12" w:rsidRDefault="00072B12" w:rsidP="00072B12">
      <w:pPr>
        <w:pStyle w:val="ab"/>
        <w:rPr>
          <w:rtl/>
        </w:rPr>
      </w:pPr>
      <w:r>
        <w:rPr>
          <w:rStyle w:val="ad"/>
        </w:rPr>
        <w:footnoteRef/>
      </w:r>
      <w:r>
        <w:rPr>
          <w:rtl/>
        </w:rPr>
        <w:t xml:space="preserve"> </w:t>
      </w:r>
      <w:r w:rsidRPr="00072B12">
        <w:rPr>
          <w:rFonts w:hint="cs"/>
          <w:rtl/>
        </w:rPr>
        <w:t xml:space="preserve">ס"ח </w:t>
      </w:r>
      <w:proofErr w:type="spellStart"/>
      <w:r w:rsidRPr="00072B12">
        <w:rPr>
          <w:rFonts w:hint="cs"/>
          <w:rtl/>
        </w:rPr>
        <w:t>התשע"ה</w:t>
      </w:r>
      <w:proofErr w:type="spellEnd"/>
      <w:r w:rsidRPr="00072B12">
        <w:rPr>
          <w:rFonts w:hint="cs"/>
          <w:rtl/>
        </w:rPr>
        <w:t>, עמ' 84.</w:t>
      </w:r>
    </w:p>
    <w:p w:rsidR="00072B12" w:rsidRDefault="00072B12">
      <w:pPr>
        <w:pStyle w:val="ab"/>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AF6164">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6"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CE" w:rsidRDefault="00AF6164" w:rsidP="00A235CE">
    <w:pPr>
      <w:pStyle w:val="a3"/>
      <w:tabs>
        <w:tab w:val="clear" w:pos="8306"/>
      </w:tabs>
      <w:ind w:left="-58" w:right="-1800" w:hanging="1701"/>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7"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p w:rsidR="003738CE" w:rsidRDefault="003738C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C02" w:rsidRDefault="00AF6164">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5"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9CB6D74"/>
    <w:multiLevelType w:val="hybridMultilevel"/>
    <w:tmpl w:val="903A93FE"/>
    <w:lvl w:ilvl="0" w:tplc="FF20379A">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1587D"/>
    <w:multiLevelType w:val="hybridMultilevel"/>
    <w:tmpl w:val="AFF03CD2"/>
    <w:lvl w:ilvl="0" w:tplc="9B2A29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901967"/>
    <w:multiLevelType w:val="hybridMultilevel"/>
    <w:tmpl w:val="6AF0F71C"/>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5">
    <w:nsid w:val="560C4993"/>
    <w:multiLevelType w:val="hybridMultilevel"/>
    <w:tmpl w:val="9BBCF12C"/>
    <w:lvl w:ilvl="0" w:tplc="BB94CAB8">
      <w:start w:val="1"/>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8551A1F"/>
    <w:multiLevelType w:val="hybridMultilevel"/>
    <w:tmpl w:val="0A909836"/>
    <w:lvl w:ilvl="0" w:tplc="F42835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7"/>
  </w:num>
  <w:num w:numId="5">
    <w:abstractNumId w:val="4"/>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E92"/>
    <w:rsid w:val="00023617"/>
    <w:rsid w:val="00030B53"/>
    <w:rsid w:val="00032478"/>
    <w:rsid w:val="00034AFE"/>
    <w:rsid w:val="0004043A"/>
    <w:rsid w:val="00072B12"/>
    <w:rsid w:val="0007503F"/>
    <w:rsid w:val="000908DD"/>
    <w:rsid w:val="0009480E"/>
    <w:rsid w:val="000D06BD"/>
    <w:rsid w:val="000F346A"/>
    <w:rsid w:val="000F657C"/>
    <w:rsid w:val="001033C0"/>
    <w:rsid w:val="00103E22"/>
    <w:rsid w:val="00106B5F"/>
    <w:rsid w:val="00117A92"/>
    <w:rsid w:val="00124028"/>
    <w:rsid w:val="00140033"/>
    <w:rsid w:val="00152A4C"/>
    <w:rsid w:val="00167D39"/>
    <w:rsid w:val="00181B8D"/>
    <w:rsid w:val="001851BD"/>
    <w:rsid w:val="00193189"/>
    <w:rsid w:val="001B726B"/>
    <w:rsid w:val="001C14A9"/>
    <w:rsid w:val="001C7143"/>
    <w:rsid w:val="001D302E"/>
    <w:rsid w:val="001E0D3D"/>
    <w:rsid w:val="001F45C7"/>
    <w:rsid w:val="001F5CF6"/>
    <w:rsid w:val="00202092"/>
    <w:rsid w:val="002316CA"/>
    <w:rsid w:val="00252565"/>
    <w:rsid w:val="002619F1"/>
    <w:rsid w:val="00273D94"/>
    <w:rsid w:val="00283243"/>
    <w:rsid w:val="00287714"/>
    <w:rsid w:val="0029609A"/>
    <w:rsid w:val="002B40CC"/>
    <w:rsid w:val="002C4C02"/>
    <w:rsid w:val="003007E4"/>
    <w:rsid w:val="00305E94"/>
    <w:rsid w:val="00322081"/>
    <w:rsid w:val="003320F7"/>
    <w:rsid w:val="0036777B"/>
    <w:rsid w:val="0037139A"/>
    <w:rsid w:val="003738CE"/>
    <w:rsid w:val="0039319A"/>
    <w:rsid w:val="003C43BB"/>
    <w:rsid w:val="003F02CC"/>
    <w:rsid w:val="003F5E04"/>
    <w:rsid w:val="004116BC"/>
    <w:rsid w:val="00455165"/>
    <w:rsid w:val="0046599C"/>
    <w:rsid w:val="0047210F"/>
    <w:rsid w:val="00482E4A"/>
    <w:rsid w:val="00485AB6"/>
    <w:rsid w:val="004D7E9C"/>
    <w:rsid w:val="004F7572"/>
    <w:rsid w:val="00504CC4"/>
    <w:rsid w:val="00512CB7"/>
    <w:rsid w:val="00534881"/>
    <w:rsid w:val="00540506"/>
    <w:rsid w:val="00543FA5"/>
    <w:rsid w:val="00544F41"/>
    <w:rsid w:val="005572E1"/>
    <w:rsid w:val="005976E3"/>
    <w:rsid w:val="005C1472"/>
    <w:rsid w:val="005E4810"/>
    <w:rsid w:val="005E588E"/>
    <w:rsid w:val="005F283A"/>
    <w:rsid w:val="005F7606"/>
    <w:rsid w:val="00605C31"/>
    <w:rsid w:val="00617F6B"/>
    <w:rsid w:val="00634094"/>
    <w:rsid w:val="00636918"/>
    <w:rsid w:val="006474FA"/>
    <w:rsid w:val="0065102B"/>
    <w:rsid w:val="006A2FC5"/>
    <w:rsid w:val="006E64F5"/>
    <w:rsid w:val="006E720C"/>
    <w:rsid w:val="006F5C4C"/>
    <w:rsid w:val="00743ACE"/>
    <w:rsid w:val="00773AF1"/>
    <w:rsid w:val="00783A8B"/>
    <w:rsid w:val="00792A16"/>
    <w:rsid w:val="007A234E"/>
    <w:rsid w:val="007A3994"/>
    <w:rsid w:val="007A7441"/>
    <w:rsid w:val="007C3132"/>
    <w:rsid w:val="007C5AE3"/>
    <w:rsid w:val="007C643E"/>
    <w:rsid w:val="007D5006"/>
    <w:rsid w:val="007D56FE"/>
    <w:rsid w:val="00810BB6"/>
    <w:rsid w:val="00817E1C"/>
    <w:rsid w:val="008427AD"/>
    <w:rsid w:val="008530F5"/>
    <w:rsid w:val="00854F63"/>
    <w:rsid w:val="0088409D"/>
    <w:rsid w:val="008B1F09"/>
    <w:rsid w:val="008B6E48"/>
    <w:rsid w:val="008B7D5B"/>
    <w:rsid w:val="008D2F0C"/>
    <w:rsid w:val="00903A33"/>
    <w:rsid w:val="0092740A"/>
    <w:rsid w:val="00935FA2"/>
    <w:rsid w:val="00956C66"/>
    <w:rsid w:val="00967E21"/>
    <w:rsid w:val="00975C7F"/>
    <w:rsid w:val="00982D5E"/>
    <w:rsid w:val="00983631"/>
    <w:rsid w:val="00983C54"/>
    <w:rsid w:val="00983CAC"/>
    <w:rsid w:val="00987A89"/>
    <w:rsid w:val="00992FE3"/>
    <w:rsid w:val="009B3061"/>
    <w:rsid w:val="009D440D"/>
    <w:rsid w:val="009F10D4"/>
    <w:rsid w:val="00A224D8"/>
    <w:rsid w:val="00A235CE"/>
    <w:rsid w:val="00A32AC2"/>
    <w:rsid w:val="00A3792A"/>
    <w:rsid w:val="00A56524"/>
    <w:rsid w:val="00A56BA0"/>
    <w:rsid w:val="00A609EE"/>
    <w:rsid w:val="00A73C78"/>
    <w:rsid w:val="00AA17E9"/>
    <w:rsid w:val="00AA4EA1"/>
    <w:rsid w:val="00AE47C5"/>
    <w:rsid w:val="00AF6164"/>
    <w:rsid w:val="00B13B8E"/>
    <w:rsid w:val="00B5187F"/>
    <w:rsid w:val="00B53B9A"/>
    <w:rsid w:val="00B575E5"/>
    <w:rsid w:val="00B605F4"/>
    <w:rsid w:val="00BA6BF4"/>
    <w:rsid w:val="00BB3AA9"/>
    <w:rsid w:val="00BB7E30"/>
    <w:rsid w:val="00BC6CF3"/>
    <w:rsid w:val="00BD4006"/>
    <w:rsid w:val="00BF1FD8"/>
    <w:rsid w:val="00C26A9C"/>
    <w:rsid w:val="00C27EC9"/>
    <w:rsid w:val="00C606EA"/>
    <w:rsid w:val="00C61B77"/>
    <w:rsid w:val="00C809D9"/>
    <w:rsid w:val="00C823B4"/>
    <w:rsid w:val="00C910EA"/>
    <w:rsid w:val="00CC1E2E"/>
    <w:rsid w:val="00CE39A8"/>
    <w:rsid w:val="00CE7352"/>
    <w:rsid w:val="00D34888"/>
    <w:rsid w:val="00D52CF4"/>
    <w:rsid w:val="00D81843"/>
    <w:rsid w:val="00D95391"/>
    <w:rsid w:val="00D969DA"/>
    <w:rsid w:val="00DB28FE"/>
    <w:rsid w:val="00DD0068"/>
    <w:rsid w:val="00DD1CE2"/>
    <w:rsid w:val="00DE329F"/>
    <w:rsid w:val="00DE7269"/>
    <w:rsid w:val="00E13B47"/>
    <w:rsid w:val="00E345FC"/>
    <w:rsid w:val="00E36198"/>
    <w:rsid w:val="00E45468"/>
    <w:rsid w:val="00E805C3"/>
    <w:rsid w:val="00E84186"/>
    <w:rsid w:val="00E93841"/>
    <w:rsid w:val="00EB4E92"/>
    <w:rsid w:val="00EC5EE6"/>
    <w:rsid w:val="00F02829"/>
    <w:rsid w:val="00F16BD8"/>
    <w:rsid w:val="00F21244"/>
    <w:rsid w:val="00F213A0"/>
    <w:rsid w:val="00F40B64"/>
    <w:rsid w:val="00F559A6"/>
    <w:rsid w:val="00F67F48"/>
    <w:rsid w:val="00F92ADF"/>
    <w:rsid w:val="00FA0002"/>
    <w:rsid w:val="00FA2D27"/>
    <w:rsid w:val="00FB31AA"/>
    <w:rsid w:val="00FB331A"/>
    <w:rsid w:val="00FC6D7F"/>
    <w:rsid w:val="00FE2740"/>
    <w:rsid w:val="00FE5263"/>
    <w:rsid w:val="00FE6A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F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0F7"/>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3320F7"/>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3320F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320F7"/>
  </w:style>
  <w:style w:type="paragraph" w:customStyle="1" w:styleId="TableBlock">
    <w:name w:val="Table Block"/>
    <w:basedOn w:val="TableText"/>
    <w:rsid w:val="003320F7"/>
    <w:pPr>
      <w:ind w:right="0"/>
      <w:jc w:val="both"/>
    </w:pPr>
  </w:style>
  <w:style w:type="paragraph" w:customStyle="1" w:styleId="TableHead">
    <w:name w:val="Table Head"/>
    <w:basedOn w:val="TableText"/>
    <w:rsid w:val="003320F7"/>
    <w:pPr>
      <w:ind w:right="0"/>
      <w:jc w:val="center"/>
    </w:pPr>
    <w:rPr>
      <w:b/>
      <w:bCs/>
    </w:rPr>
  </w:style>
  <w:style w:type="paragraph" w:customStyle="1" w:styleId="HeadMitparsemetBaze">
    <w:name w:val="Head MitparsemetBaze"/>
    <w:basedOn w:val="a"/>
    <w:rsid w:val="003320F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320F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3320F7"/>
    <w:pPr>
      <w:spacing w:before="120" w:after="6000"/>
      <w:ind w:left="1418" w:firstLine="0"/>
      <w:jc w:val="right"/>
    </w:pPr>
    <w:rPr>
      <w:b/>
      <w:bCs/>
    </w:rPr>
  </w:style>
  <w:style w:type="paragraph" w:customStyle="1" w:styleId="Hesber1st">
    <w:name w:val="Hesber 1st"/>
    <w:basedOn w:val="Hesber"/>
    <w:rsid w:val="003320F7"/>
    <w:pPr>
      <w:tabs>
        <w:tab w:val="left" w:pos="680"/>
        <w:tab w:val="left" w:pos="1020"/>
      </w:tabs>
      <w:ind w:firstLine="0"/>
    </w:pPr>
  </w:style>
  <w:style w:type="paragraph" w:customStyle="1" w:styleId="HeadDivreiHesber">
    <w:name w:val="Head DivreiHesber"/>
    <w:basedOn w:val="a"/>
    <w:rsid w:val="003320F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3320F7"/>
  </w:style>
  <w:style w:type="paragraph" w:styleId="a9">
    <w:name w:val="endnote text"/>
    <w:basedOn w:val="a"/>
    <w:link w:val="aa"/>
    <w:semiHidden/>
    <w:rsid w:val="003320F7"/>
    <w:pPr>
      <w:ind w:left="227" w:hanging="227"/>
    </w:pPr>
    <w:rPr>
      <w:sz w:val="14"/>
      <w:szCs w:val="22"/>
    </w:rPr>
  </w:style>
  <w:style w:type="character" w:customStyle="1" w:styleId="aa">
    <w:name w:val="טקסט הערת סיום תו"/>
    <w:basedOn w:val="a0"/>
    <w:link w:val="a9"/>
    <w:semiHidden/>
    <w:rsid w:val="003320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3320F7"/>
  </w:style>
  <w:style w:type="paragraph" w:customStyle="1" w:styleId="Hesber">
    <w:name w:val="Hesber"/>
    <w:basedOn w:val="a"/>
    <w:rsid w:val="003320F7"/>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3320F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uiPriority w:val="99"/>
    <w:semiHidden/>
    <w:rsid w:val="003320F7"/>
    <w:rPr>
      <w:rFonts w:ascii="Arial" w:eastAsia="Arial Unicode MS" w:hAnsi="Arial" w:cs="David"/>
      <w:snapToGrid w:val="0"/>
      <w:color w:val="000000"/>
      <w:sz w:val="14"/>
      <w:szCs w:val="20"/>
      <w:lang w:eastAsia="ja-JP"/>
    </w:rPr>
  </w:style>
  <w:style w:type="character" w:styleId="ad">
    <w:name w:val="footnote reference"/>
    <w:aliases w:val="Footnote Reference"/>
    <w:basedOn w:val="a0"/>
    <w:uiPriority w:val="99"/>
    <w:semiHidden/>
    <w:rsid w:val="003320F7"/>
    <w:rPr>
      <w:vertAlign w:val="superscript"/>
    </w:rPr>
  </w:style>
  <w:style w:type="paragraph" w:customStyle="1" w:styleId="HesberHeading">
    <w:name w:val="Hesber Heading"/>
    <w:basedOn w:val="Hesber"/>
    <w:rsid w:val="003320F7"/>
    <w:pPr>
      <w:tabs>
        <w:tab w:val="left" w:pos="624"/>
        <w:tab w:val="left" w:pos="1247"/>
      </w:tabs>
      <w:ind w:firstLine="0"/>
    </w:pPr>
    <w:rPr>
      <w:b/>
      <w:bCs/>
    </w:rPr>
  </w:style>
  <w:style w:type="character" w:styleId="ae">
    <w:name w:val="endnote reference"/>
    <w:basedOn w:val="a0"/>
    <w:semiHidden/>
    <w:rsid w:val="003320F7"/>
    <w:rPr>
      <w:vertAlign w:val="superscript"/>
    </w:rPr>
  </w:style>
  <w:style w:type="paragraph" w:customStyle="1" w:styleId="TableBlockOutdent">
    <w:name w:val="Table BlockOutdent"/>
    <w:basedOn w:val="TableBlock"/>
    <w:rsid w:val="003320F7"/>
    <w:pPr>
      <w:ind w:left="624" w:hanging="624"/>
    </w:pPr>
  </w:style>
  <w:style w:type="character" w:styleId="af">
    <w:name w:val="page number"/>
    <w:basedOn w:val="a0"/>
    <w:rsid w:val="003320F7"/>
  </w:style>
  <w:style w:type="paragraph" w:customStyle="1" w:styleId="Cover1-Reshumot">
    <w:name w:val="Cover 1-Reshumot"/>
    <w:basedOn w:val="a"/>
    <w:rsid w:val="003320F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320F7"/>
    <w:rPr>
      <w:sz w:val="36"/>
      <w:szCs w:val="52"/>
    </w:rPr>
  </w:style>
  <w:style w:type="paragraph" w:customStyle="1" w:styleId="Cover3-Haknesset">
    <w:name w:val="Cover 3-Haknesset"/>
    <w:basedOn w:val="Cover1-Reshumot"/>
    <w:rsid w:val="003320F7"/>
    <w:rPr>
      <w:b/>
      <w:bCs/>
      <w:spacing w:val="60"/>
    </w:rPr>
  </w:style>
  <w:style w:type="paragraph" w:customStyle="1" w:styleId="Cover4-Date">
    <w:name w:val="Cover 4-Date"/>
    <w:basedOn w:val="a"/>
    <w:rsid w:val="003320F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320F7"/>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B4E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EB4E92"/>
    <w:rPr>
      <w:rFonts w:ascii="Times New Roman" w:hAnsi="Times New Roman" w:cs="Times New Roman"/>
      <w:sz w:val="26"/>
      <w:szCs w:val="26"/>
    </w:rPr>
  </w:style>
  <w:style w:type="character" w:styleId="af0">
    <w:name w:val="annotation reference"/>
    <w:basedOn w:val="a0"/>
    <w:uiPriority w:val="99"/>
    <w:semiHidden/>
    <w:unhideWhenUsed/>
    <w:rsid w:val="00605C31"/>
    <w:rPr>
      <w:sz w:val="16"/>
      <w:szCs w:val="16"/>
    </w:rPr>
  </w:style>
  <w:style w:type="paragraph" w:styleId="af1">
    <w:name w:val="annotation text"/>
    <w:basedOn w:val="a"/>
    <w:link w:val="af2"/>
    <w:uiPriority w:val="99"/>
    <w:semiHidden/>
    <w:unhideWhenUsed/>
    <w:rsid w:val="00605C31"/>
    <w:pPr>
      <w:spacing w:line="240" w:lineRule="auto"/>
    </w:pPr>
    <w:rPr>
      <w:sz w:val="20"/>
      <w:szCs w:val="20"/>
    </w:rPr>
  </w:style>
  <w:style w:type="character" w:customStyle="1" w:styleId="af2">
    <w:name w:val="טקסט הערה תו"/>
    <w:basedOn w:val="a0"/>
    <w:link w:val="af1"/>
    <w:uiPriority w:val="99"/>
    <w:semiHidden/>
    <w:rsid w:val="00605C31"/>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605C31"/>
    <w:rPr>
      <w:b/>
      <w:bCs/>
    </w:rPr>
  </w:style>
  <w:style w:type="character" w:customStyle="1" w:styleId="af4">
    <w:name w:val="נושא הערה תו"/>
    <w:basedOn w:val="af2"/>
    <w:link w:val="af3"/>
    <w:uiPriority w:val="99"/>
    <w:semiHidden/>
    <w:rsid w:val="00605C31"/>
    <w:rPr>
      <w:rFonts w:ascii="Hadasa Roso SL" w:eastAsia="MS Mincho" w:hAnsi="Hadasa Roso SL" w:cs="Hadasa Roso SL"/>
      <w:b/>
      <w:bCs/>
      <w:color w:val="000000"/>
      <w:spacing w:val="1"/>
      <w:sz w:val="20"/>
      <w:szCs w:val="20"/>
      <w:lang w:eastAsia="ja-JP"/>
    </w:rPr>
  </w:style>
  <w:style w:type="table" w:styleId="af5">
    <w:name w:val="Table Grid"/>
    <w:basedOn w:val="a1"/>
    <w:uiPriority w:val="59"/>
    <w:rsid w:val="007C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992FE3"/>
    <w:pPr>
      <w:widowControl/>
      <w:autoSpaceDE/>
      <w:autoSpaceDN/>
      <w:adjustRightInd/>
      <w:spacing w:before="0" w:line="240" w:lineRule="auto"/>
      <w:ind w:left="720" w:firstLine="0"/>
      <w:jc w:val="left"/>
      <w:textAlignment w:val="auto"/>
    </w:pPr>
    <w:rPr>
      <w:rFonts w:ascii="Calibri" w:eastAsia="Calibri" w:hAnsi="Calibri" w:cs="Calibri"/>
      <w:color w:val="auto"/>
      <w:spacing w:val="0"/>
      <w:sz w:val="22"/>
      <w:szCs w:val="22"/>
      <w:lang w:eastAsia="en-US"/>
    </w:rPr>
  </w:style>
  <w:style w:type="paragraph" w:customStyle="1" w:styleId="P22">
    <w:name w:val="P22"/>
    <w:basedOn w:val="P00"/>
    <w:rsid w:val="00152A4C"/>
    <w:pPr>
      <w:tabs>
        <w:tab w:val="clear" w:pos="624"/>
        <w:tab w:val="clear" w:pos="1021"/>
      </w:tabs>
      <w:ind w:right="1021"/>
    </w:pPr>
  </w:style>
  <w:style w:type="paragraph" w:styleId="af7">
    <w:name w:val="Revision"/>
    <w:hidden/>
    <w:uiPriority w:val="99"/>
    <w:semiHidden/>
    <w:rsid w:val="00072B12"/>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F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0F7"/>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3320F7"/>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3320F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320F7"/>
  </w:style>
  <w:style w:type="paragraph" w:customStyle="1" w:styleId="TableBlock">
    <w:name w:val="Table Block"/>
    <w:basedOn w:val="TableText"/>
    <w:rsid w:val="003320F7"/>
    <w:pPr>
      <w:ind w:right="0"/>
      <w:jc w:val="both"/>
    </w:pPr>
  </w:style>
  <w:style w:type="paragraph" w:customStyle="1" w:styleId="TableHead">
    <w:name w:val="Table Head"/>
    <w:basedOn w:val="TableText"/>
    <w:rsid w:val="003320F7"/>
    <w:pPr>
      <w:ind w:right="0"/>
      <w:jc w:val="center"/>
    </w:pPr>
    <w:rPr>
      <w:b/>
      <w:bCs/>
    </w:rPr>
  </w:style>
  <w:style w:type="paragraph" w:customStyle="1" w:styleId="HeadMitparsemetBaze">
    <w:name w:val="Head MitparsemetBaze"/>
    <w:basedOn w:val="a"/>
    <w:rsid w:val="003320F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320F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3320F7"/>
    <w:pPr>
      <w:spacing w:before="120" w:after="6000"/>
      <w:ind w:left="1418" w:firstLine="0"/>
      <w:jc w:val="right"/>
    </w:pPr>
    <w:rPr>
      <w:b/>
      <w:bCs/>
    </w:rPr>
  </w:style>
  <w:style w:type="paragraph" w:customStyle="1" w:styleId="Hesber1st">
    <w:name w:val="Hesber 1st"/>
    <w:basedOn w:val="Hesber"/>
    <w:rsid w:val="003320F7"/>
    <w:pPr>
      <w:tabs>
        <w:tab w:val="left" w:pos="680"/>
        <w:tab w:val="left" w:pos="1020"/>
      </w:tabs>
      <w:ind w:firstLine="0"/>
    </w:pPr>
  </w:style>
  <w:style w:type="paragraph" w:customStyle="1" w:styleId="HeadDivreiHesber">
    <w:name w:val="Head DivreiHesber"/>
    <w:basedOn w:val="a"/>
    <w:rsid w:val="003320F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3320F7"/>
  </w:style>
  <w:style w:type="paragraph" w:styleId="a9">
    <w:name w:val="endnote text"/>
    <w:basedOn w:val="a"/>
    <w:link w:val="aa"/>
    <w:semiHidden/>
    <w:rsid w:val="003320F7"/>
    <w:pPr>
      <w:ind w:left="227" w:hanging="227"/>
    </w:pPr>
    <w:rPr>
      <w:sz w:val="14"/>
      <w:szCs w:val="22"/>
    </w:rPr>
  </w:style>
  <w:style w:type="character" w:customStyle="1" w:styleId="aa">
    <w:name w:val="טקסט הערת סיום תו"/>
    <w:basedOn w:val="a0"/>
    <w:link w:val="a9"/>
    <w:semiHidden/>
    <w:rsid w:val="003320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3320F7"/>
  </w:style>
  <w:style w:type="paragraph" w:customStyle="1" w:styleId="Hesber">
    <w:name w:val="Hesber"/>
    <w:basedOn w:val="a"/>
    <w:rsid w:val="003320F7"/>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3320F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uiPriority w:val="99"/>
    <w:semiHidden/>
    <w:rsid w:val="003320F7"/>
    <w:rPr>
      <w:rFonts w:ascii="Arial" w:eastAsia="Arial Unicode MS" w:hAnsi="Arial" w:cs="David"/>
      <w:snapToGrid w:val="0"/>
      <w:color w:val="000000"/>
      <w:sz w:val="14"/>
      <w:szCs w:val="20"/>
      <w:lang w:eastAsia="ja-JP"/>
    </w:rPr>
  </w:style>
  <w:style w:type="character" w:styleId="ad">
    <w:name w:val="footnote reference"/>
    <w:aliases w:val="Footnote Reference"/>
    <w:basedOn w:val="a0"/>
    <w:uiPriority w:val="99"/>
    <w:semiHidden/>
    <w:rsid w:val="003320F7"/>
    <w:rPr>
      <w:vertAlign w:val="superscript"/>
    </w:rPr>
  </w:style>
  <w:style w:type="paragraph" w:customStyle="1" w:styleId="HesberHeading">
    <w:name w:val="Hesber Heading"/>
    <w:basedOn w:val="Hesber"/>
    <w:rsid w:val="003320F7"/>
    <w:pPr>
      <w:tabs>
        <w:tab w:val="left" w:pos="624"/>
        <w:tab w:val="left" w:pos="1247"/>
      </w:tabs>
      <w:ind w:firstLine="0"/>
    </w:pPr>
    <w:rPr>
      <w:b/>
      <w:bCs/>
    </w:rPr>
  </w:style>
  <w:style w:type="character" w:styleId="ae">
    <w:name w:val="endnote reference"/>
    <w:basedOn w:val="a0"/>
    <w:semiHidden/>
    <w:rsid w:val="003320F7"/>
    <w:rPr>
      <w:vertAlign w:val="superscript"/>
    </w:rPr>
  </w:style>
  <w:style w:type="paragraph" w:customStyle="1" w:styleId="TableBlockOutdent">
    <w:name w:val="Table BlockOutdent"/>
    <w:basedOn w:val="TableBlock"/>
    <w:rsid w:val="003320F7"/>
    <w:pPr>
      <w:ind w:left="624" w:hanging="624"/>
    </w:pPr>
  </w:style>
  <w:style w:type="character" w:styleId="af">
    <w:name w:val="page number"/>
    <w:basedOn w:val="a0"/>
    <w:rsid w:val="003320F7"/>
  </w:style>
  <w:style w:type="paragraph" w:customStyle="1" w:styleId="Cover1-Reshumot">
    <w:name w:val="Cover 1-Reshumot"/>
    <w:basedOn w:val="a"/>
    <w:rsid w:val="003320F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320F7"/>
    <w:rPr>
      <w:sz w:val="36"/>
      <w:szCs w:val="52"/>
    </w:rPr>
  </w:style>
  <w:style w:type="paragraph" w:customStyle="1" w:styleId="Cover3-Haknesset">
    <w:name w:val="Cover 3-Haknesset"/>
    <w:basedOn w:val="Cover1-Reshumot"/>
    <w:rsid w:val="003320F7"/>
    <w:rPr>
      <w:b/>
      <w:bCs/>
      <w:spacing w:val="60"/>
    </w:rPr>
  </w:style>
  <w:style w:type="paragraph" w:customStyle="1" w:styleId="Cover4-Date">
    <w:name w:val="Cover 4-Date"/>
    <w:basedOn w:val="a"/>
    <w:rsid w:val="003320F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320F7"/>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B4E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EB4E92"/>
    <w:rPr>
      <w:rFonts w:ascii="Times New Roman" w:hAnsi="Times New Roman" w:cs="Times New Roman"/>
      <w:sz w:val="26"/>
      <w:szCs w:val="26"/>
    </w:rPr>
  </w:style>
  <w:style w:type="character" w:styleId="af0">
    <w:name w:val="annotation reference"/>
    <w:basedOn w:val="a0"/>
    <w:uiPriority w:val="99"/>
    <w:semiHidden/>
    <w:unhideWhenUsed/>
    <w:rsid w:val="00605C31"/>
    <w:rPr>
      <w:sz w:val="16"/>
      <w:szCs w:val="16"/>
    </w:rPr>
  </w:style>
  <w:style w:type="paragraph" w:styleId="af1">
    <w:name w:val="annotation text"/>
    <w:basedOn w:val="a"/>
    <w:link w:val="af2"/>
    <w:uiPriority w:val="99"/>
    <w:semiHidden/>
    <w:unhideWhenUsed/>
    <w:rsid w:val="00605C31"/>
    <w:pPr>
      <w:spacing w:line="240" w:lineRule="auto"/>
    </w:pPr>
    <w:rPr>
      <w:sz w:val="20"/>
      <w:szCs w:val="20"/>
    </w:rPr>
  </w:style>
  <w:style w:type="character" w:customStyle="1" w:styleId="af2">
    <w:name w:val="טקסט הערה תו"/>
    <w:basedOn w:val="a0"/>
    <w:link w:val="af1"/>
    <w:uiPriority w:val="99"/>
    <w:semiHidden/>
    <w:rsid w:val="00605C31"/>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605C31"/>
    <w:rPr>
      <w:b/>
      <w:bCs/>
    </w:rPr>
  </w:style>
  <w:style w:type="character" w:customStyle="1" w:styleId="af4">
    <w:name w:val="נושא הערה תו"/>
    <w:basedOn w:val="af2"/>
    <w:link w:val="af3"/>
    <w:uiPriority w:val="99"/>
    <w:semiHidden/>
    <w:rsid w:val="00605C31"/>
    <w:rPr>
      <w:rFonts w:ascii="Hadasa Roso SL" w:eastAsia="MS Mincho" w:hAnsi="Hadasa Roso SL" w:cs="Hadasa Roso SL"/>
      <w:b/>
      <w:bCs/>
      <w:color w:val="000000"/>
      <w:spacing w:val="1"/>
      <w:sz w:val="20"/>
      <w:szCs w:val="20"/>
      <w:lang w:eastAsia="ja-JP"/>
    </w:rPr>
  </w:style>
  <w:style w:type="table" w:styleId="af5">
    <w:name w:val="Table Grid"/>
    <w:basedOn w:val="a1"/>
    <w:uiPriority w:val="59"/>
    <w:rsid w:val="007C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992FE3"/>
    <w:pPr>
      <w:widowControl/>
      <w:autoSpaceDE/>
      <w:autoSpaceDN/>
      <w:adjustRightInd/>
      <w:spacing w:before="0" w:line="240" w:lineRule="auto"/>
      <w:ind w:left="720" w:firstLine="0"/>
      <w:jc w:val="left"/>
      <w:textAlignment w:val="auto"/>
    </w:pPr>
    <w:rPr>
      <w:rFonts w:ascii="Calibri" w:eastAsia="Calibri" w:hAnsi="Calibri" w:cs="Calibri"/>
      <w:color w:val="auto"/>
      <w:spacing w:val="0"/>
      <w:sz w:val="22"/>
      <w:szCs w:val="22"/>
      <w:lang w:eastAsia="en-US"/>
    </w:rPr>
  </w:style>
  <w:style w:type="paragraph" w:customStyle="1" w:styleId="P22">
    <w:name w:val="P22"/>
    <w:basedOn w:val="P00"/>
    <w:rsid w:val="00152A4C"/>
    <w:pPr>
      <w:tabs>
        <w:tab w:val="clear" w:pos="624"/>
        <w:tab w:val="clear" w:pos="1021"/>
      </w:tabs>
      <w:ind w:right="1021"/>
    </w:pPr>
  </w:style>
  <w:style w:type="paragraph" w:styleId="af7">
    <w:name w:val="Revision"/>
    <w:hidden/>
    <w:uiPriority w:val="99"/>
    <w:semiHidden/>
    <w:rsid w:val="00072B12"/>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99848">
      <w:bodyDiv w:val="1"/>
      <w:marLeft w:val="0"/>
      <w:marRight w:val="0"/>
      <w:marTop w:val="0"/>
      <w:marBottom w:val="0"/>
      <w:divBdr>
        <w:top w:val="none" w:sz="0" w:space="0" w:color="auto"/>
        <w:left w:val="none" w:sz="0" w:space="0" w:color="auto"/>
        <w:bottom w:val="none" w:sz="0" w:space="0" w:color="auto"/>
        <w:right w:val="none" w:sz="0" w:space="0" w:color="auto"/>
      </w:divBdr>
    </w:div>
    <w:div w:id="198889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59D53-3F83-4E88-8818-C78E5AB6C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C924F09-743E-4DCC-8DCC-CF3D64A756F7}">
  <ds:schemaRefs>
    <ds:schemaRef ds:uri="http://schemas.microsoft.com/sharepoint/v3/contenttype/forms"/>
  </ds:schemaRefs>
</ds:datastoreItem>
</file>

<file path=customXml/itemProps3.xml><?xml version="1.0" encoding="utf-8"?>
<ds:datastoreItem xmlns:ds="http://schemas.openxmlformats.org/officeDocument/2006/customXml" ds:itemID="{FE08658F-70F2-4A27-AE6E-749687FC0D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81B869-4627-4395-B9DA-1E0E15686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966</Words>
  <Characters>4835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Moital</Company>
  <LinksUpToDate>false</LinksUpToDate>
  <CharactersWithSpaces>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dvorae</dc:creator>
  <cp:lastModifiedBy>מעיין בן עמי</cp:lastModifiedBy>
  <cp:revision>2</cp:revision>
  <cp:lastPrinted>2016-05-23T13:24:00Z</cp:lastPrinted>
  <dcterms:created xsi:type="dcterms:W3CDTF">2016-05-23T13:25:00Z</dcterms:created>
  <dcterms:modified xsi:type="dcterms:W3CDTF">2016-05-23T13:25:00Z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2002415</vt:r8>
  </property>
</Properties>
</file>