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564195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5E637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איתן כבל</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מיקי רוזנטל</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5E41EDF1"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פ/1656/20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A443CF">
      <w:pPr>
        <w:pStyle w:val="HeadHatzaotHok"/>
        <w:spacing w:line="240" w:lineRule="auto"/>
        <w:rPr>
          <w:rtl/>
        </w:rPr>
      </w:pPr>
      <w:bookmarkStart w:id="8" w:name="LGS_Subject"/>
      <w:r>
        <w:rPr>
          <w:rFonts w:hint="cs"/>
          <w:rtl/>
        </w:rPr>
        <w:t>הצעת חוק המתווכים במקרקעין (תיקון – אחריות לתשלום דמי תיווך), התשע"ה–2015</w:t>
      </w:r>
      <w:bookmarkEnd w:id="8"/>
    </w:p>
    <w:p w14:paraId="301EF04B" w14:textId="77777777" w:rsidR="004E6BE9" w:rsidRPr="00F67051" w:rsidRDefault="004E6BE9" w:rsidP="00A443CF">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584975" w14:paraId="5D685D5A" w14:textId="77777777" w:rsidTr="001270FD">
        <w:trPr>
          <w:cantSplit/>
        </w:trPr>
        <w:tc>
          <w:tcPr>
            <w:tcW w:w="1871" w:type="dxa"/>
          </w:tcPr>
          <w:p w14:paraId="75F70F26" w14:textId="60129D4B" w:rsidR="00584975" w:rsidRDefault="00584975" w:rsidP="001270FD">
            <w:pPr>
              <w:pStyle w:val="TableSideHeading"/>
              <w:keepLines w:val="0"/>
              <w:rPr>
                <w:rtl/>
              </w:rPr>
            </w:pPr>
            <w:r>
              <w:rPr>
                <w:rFonts w:hint="cs"/>
                <w:rtl/>
              </w:rPr>
              <w:t>תיקון סעיף 9</w:t>
            </w:r>
          </w:p>
        </w:tc>
        <w:tc>
          <w:tcPr>
            <w:tcW w:w="624" w:type="dxa"/>
          </w:tcPr>
          <w:p w14:paraId="220D1E0A" w14:textId="452931C5" w:rsidR="00584975" w:rsidDel="00F3408C" w:rsidRDefault="00584975" w:rsidP="001270FD">
            <w:pPr>
              <w:pStyle w:val="TableText"/>
              <w:keepLines w:val="0"/>
              <w:rPr>
                <w:rtl/>
              </w:rPr>
            </w:pPr>
            <w:r>
              <w:rPr>
                <w:rFonts w:hint="cs"/>
                <w:rtl/>
              </w:rPr>
              <w:t>1.</w:t>
            </w:r>
          </w:p>
        </w:tc>
        <w:tc>
          <w:tcPr>
            <w:tcW w:w="7143" w:type="dxa"/>
          </w:tcPr>
          <w:p w14:paraId="6C463B93" w14:textId="46FCED51" w:rsidR="00584975" w:rsidRPr="00F3408C" w:rsidRDefault="00584975">
            <w:pPr>
              <w:pStyle w:val="TableHead"/>
              <w:jc w:val="both"/>
              <w:rPr>
                <w:b w:val="0"/>
                <w:bCs w:val="0"/>
                <w:rtl/>
              </w:rPr>
            </w:pPr>
            <w:r w:rsidRPr="0064516F">
              <w:rPr>
                <w:b w:val="0"/>
                <w:bCs w:val="0"/>
                <w:rtl/>
              </w:rPr>
              <w:t>בחוק המתווכים במקרקעין, התשנ"ו–1996</w:t>
            </w:r>
            <w:r w:rsidRPr="0064516F">
              <w:rPr>
                <w:b w:val="0"/>
                <w:bCs w:val="0"/>
                <w:szCs w:val="20"/>
                <w:rtl/>
              </w:rPr>
              <w:footnoteReference w:id="2"/>
            </w:r>
            <w:r>
              <w:rPr>
                <w:rFonts w:hint="cs"/>
                <w:b w:val="0"/>
                <w:bCs w:val="0"/>
                <w:rtl/>
              </w:rPr>
              <w:t xml:space="preserve"> (להלן </w:t>
            </w:r>
            <w:r>
              <w:rPr>
                <w:b w:val="0"/>
                <w:bCs w:val="0"/>
                <w:rtl/>
              </w:rPr>
              <w:t>–</w:t>
            </w:r>
            <w:r>
              <w:rPr>
                <w:rFonts w:hint="cs"/>
                <w:b w:val="0"/>
                <w:bCs w:val="0"/>
                <w:rtl/>
              </w:rPr>
              <w:t xml:space="preserve"> החוק העיקרי),</w:t>
            </w:r>
            <w:r w:rsidR="00E65A3E">
              <w:rPr>
                <w:rFonts w:hint="cs"/>
                <w:b w:val="0"/>
                <w:bCs w:val="0"/>
                <w:rtl/>
              </w:rPr>
              <w:t xml:space="preserve"> בסעיף 9,  </w:t>
            </w:r>
            <w:r>
              <w:rPr>
                <w:rFonts w:hint="cs"/>
                <w:b w:val="0"/>
                <w:bCs w:val="0"/>
                <w:rtl/>
              </w:rPr>
              <w:t xml:space="preserve"> אחרי סעיף קטן (א) יבוא:</w:t>
            </w:r>
          </w:p>
        </w:tc>
      </w:tr>
      <w:tr w:rsidR="00584975" w14:paraId="3071577D" w14:textId="77777777" w:rsidTr="001270FD">
        <w:trPr>
          <w:cantSplit/>
        </w:trPr>
        <w:tc>
          <w:tcPr>
            <w:tcW w:w="1871" w:type="dxa"/>
          </w:tcPr>
          <w:p w14:paraId="42FA89B6" w14:textId="77777777" w:rsidR="00584975" w:rsidRDefault="00584975" w:rsidP="001270FD">
            <w:pPr>
              <w:pStyle w:val="TableSideHeading"/>
              <w:keepLines w:val="0"/>
              <w:rPr>
                <w:rtl/>
              </w:rPr>
            </w:pPr>
          </w:p>
        </w:tc>
        <w:tc>
          <w:tcPr>
            <w:tcW w:w="624" w:type="dxa"/>
          </w:tcPr>
          <w:p w14:paraId="2081E15D" w14:textId="77777777" w:rsidR="00584975" w:rsidRDefault="00584975" w:rsidP="001270FD">
            <w:pPr>
              <w:pStyle w:val="TableText"/>
              <w:keepLines w:val="0"/>
              <w:rPr>
                <w:rtl/>
              </w:rPr>
            </w:pPr>
          </w:p>
        </w:tc>
        <w:tc>
          <w:tcPr>
            <w:tcW w:w="7143" w:type="dxa"/>
          </w:tcPr>
          <w:p w14:paraId="31AF62E2" w14:textId="5E3B5F13" w:rsidR="00584975" w:rsidRPr="0064516F" w:rsidRDefault="00584975" w:rsidP="00510C30">
            <w:pPr>
              <w:pStyle w:val="TableBlock"/>
              <w:rPr>
                <w:rtl/>
              </w:rPr>
            </w:pPr>
            <w:r>
              <w:rPr>
                <w:rFonts w:hint="cs"/>
                <w:rtl/>
              </w:rPr>
              <w:t>"(א1)</w:t>
            </w:r>
            <w:r>
              <w:rPr>
                <w:rtl/>
              </w:rPr>
              <w:tab/>
            </w:r>
            <w:r>
              <w:rPr>
                <w:rFonts w:hint="cs"/>
                <w:rtl/>
              </w:rPr>
              <w:t>מתווך במקרקעין ימסור ללקוח</w:t>
            </w:r>
            <w:r w:rsidR="005E1F12">
              <w:rPr>
                <w:rFonts w:hint="cs"/>
                <w:rtl/>
              </w:rPr>
              <w:t xml:space="preserve"> את נוסח</w:t>
            </w:r>
            <w:r>
              <w:rPr>
                <w:rFonts w:hint="cs"/>
                <w:rtl/>
              </w:rPr>
              <w:t xml:space="preserve"> </w:t>
            </w:r>
            <w:r w:rsidR="005E1F12">
              <w:rPr>
                <w:rFonts w:hint="cs"/>
                <w:rtl/>
              </w:rPr>
              <w:t>ה</w:t>
            </w:r>
            <w:r>
              <w:rPr>
                <w:rFonts w:hint="cs"/>
                <w:rtl/>
              </w:rPr>
              <w:t>הזמנה בכתב לביצוע פעולת תיווך במקרקעין כאמור בסעיף קטן (א)</w:t>
            </w:r>
            <w:r w:rsidR="00E65A3E">
              <w:rPr>
                <w:rFonts w:hint="cs"/>
                <w:rtl/>
              </w:rPr>
              <w:t>,</w:t>
            </w:r>
            <w:r w:rsidR="005E1F12">
              <w:rPr>
                <w:rFonts w:hint="cs"/>
                <w:rtl/>
              </w:rPr>
              <w:t xml:space="preserve"> שבו מצויינים גם דמי התיווך שהמתווך יהיה זכאי לקבל,</w:t>
            </w:r>
            <w:r>
              <w:rPr>
                <w:rFonts w:hint="cs"/>
                <w:rtl/>
              </w:rPr>
              <w:t xml:space="preserve"> לפחות 24 שעות </w:t>
            </w:r>
            <w:r w:rsidR="00A73FB4">
              <w:rPr>
                <w:rFonts w:hint="cs"/>
                <w:rtl/>
              </w:rPr>
              <w:t>לפני מועד החתימה על ההזמנה; חתם לקוח על הזמנה בכתב לביצוע פעולת תיווך במקרקעין ללא שניתנה לו זכות עיון כאמור</w:t>
            </w:r>
            <w:r w:rsidR="00770AAF">
              <w:rPr>
                <w:rFonts w:hint="cs"/>
                <w:rtl/>
              </w:rPr>
              <w:t>,</w:t>
            </w:r>
            <w:r w:rsidR="00A73FB4">
              <w:rPr>
                <w:rFonts w:hint="cs"/>
                <w:rtl/>
              </w:rPr>
              <w:t xml:space="preserve"> </w:t>
            </w:r>
            <w:r w:rsidR="00770AAF">
              <w:rPr>
                <w:rFonts w:hint="cs"/>
                <w:rtl/>
              </w:rPr>
              <w:t>רשאי הוא</w:t>
            </w:r>
            <w:r w:rsidR="00A73FB4">
              <w:rPr>
                <w:rFonts w:hint="cs"/>
                <w:rtl/>
              </w:rPr>
              <w:t xml:space="preserve"> לבטל את ההזמנה בתוך 24 שעות </w:t>
            </w:r>
            <w:r w:rsidR="00E65A3E">
              <w:rPr>
                <w:rFonts w:hint="cs"/>
                <w:rtl/>
              </w:rPr>
              <w:t>ממועד החתימה</w:t>
            </w:r>
            <w:r w:rsidR="00E87797">
              <w:rPr>
                <w:rFonts w:hint="cs"/>
                <w:rtl/>
              </w:rPr>
              <w:t>,</w:t>
            </w:r>
            <w:r w:rsidR="00E66482">
              <w:rPr>
                <w:rFonts w:hint="cs"/>
                <w:rtl/>
              </w:rPr>
              <w:t xml:space="preserve"> </w:t>
            </w:r>
            <w:r w:rsidR="005E1F12">
              <w:rPr>
                <w:rFonts w:hint="cs"/>
                <w:rtl/>
              </w:rPr>
              <w:t xml:space="preserve">אלא אם כן התקשר </w:t>
            </w:r>
            <w:r w:rsidR="00510C30">
              <w:rPr>
                <w:rFonts w:hint="cs"/>
                <w:rtl/>
              </w:rPr>
              <w:t>ה</w:t>
            </w:r>
            <w:r w:rsidR="00770AAF">
              <w:rPr>
                <w:rFonts w:hint="cs"/>
                <w:rtl/>
              </w:rPr>
              <w:t xml:space="preserve">לקוח </w:t>
            </w:r>
            <w:r w:rsidR="005E1F12">
              <w:rPr>
                <w:rFonts w:hint="cs"/>
                <w:rtl/>
              </w:rPr>
              <w:t>ב</w:t>
            </w:r>
            <w:r w:rsidR="00770AAF">
              <w:rPr>
                <w:rFonts w:hint="cs"/>
                <w:rtl/>
              </w:rPr>
              <w:t>עסקה</w:t>
            </w:r>
            <w:r w:rsidR="00A73FB4">
              <w:rPr>
                <w:rFonts w:hint="cs"/>
                <w:rtl/>
              </w:rPr>
              <w:t xml:space="preserve"> </w:t>
            </w:r>
            <w:r w:rsidR="00770AAF">
              <w:rPr>
                <w:rFonts w:hint="cs"/>
                <w:rtl/>
              </w:rPr>
              <w:t xml:space="preserve">לקנייה או </w:t>
            </w:r>
            <w:r w:rsidR="005E1F12">
              <w:rPr>
                <w:rFonts w:hint="cs"/>
                <w:rtl/>
              </w:rPr>
              <w:t>ל</w:t>
            </w:r>
            <w:r w:rsidR="00770AAF">
              <w:rPr>
                <w:rFonts w:hint="cs"/>
                <w:rtl/>
              </w:rPr>
              <w:t xml:space="preserve">השכרה של </w:t>
            </w:r>
            <w:r w:rsidR="00A73FB4">
              <w:rPr>
                <w:rFonts w:hint="cs"/>
                <w:rtl/>
              </w:rPr>
              <w:t xml:space="preserve">מקרקעין בעקבות התיווך, </w:t>
            </w:r>
            <w:r w:rsidR="005E1F12">
              <w:rPr>
                <w:rFonts w:hint="cs"/>
                <w:rtl/>
              </w:rPr>
              <w:t>אולם</w:t>
            </w:r>
            <w:r w:rsidR="00272D74">
              <w:rPr>
                <w:rFonts w:hint="cs"/>
                <w:rtl/>
              </w:rPr>
              <w:t>,</w:t>
            </w:r>
            <w:r w:rsidR="005E1F12">
              <w:rPr>
                <w:rFonts w:hint="cs"/>
                <w:rtl/>
              </w:rPr>
              <w:t xml:space="preserve"> </w:t>
            </w:r>
            <w:r w:rsidR="00A73FB4">
              <w:rPr>
                <w:rFonts w:hint="cs"/>
                <w:rtl/>
              </w:rPr>
              <w:t xml:space="preserve">המתווך יהיה זכאי לדמי תיווך </w:t>
            </w:r>
            <w:r w:rsidR="005E1F12">
              <w:rPr>
                <w:rFonts w:hint="cs"/>
                <w:rtl/>
              </w:rPr>
              <w:t xml:space="preserve">בסכום </w:t>
            </w:r>
            <w:r w:rsidR="00A73FB4">
              <w:rPr>
                <w:rFonts w:hint="cs"/>
                <w:rtl/>
              </w:rPr>
              <w:t>שלא יעל</w:t>
            </w:r>
            <w:r w:rsidR="005E1F12">
              <w:rPr>
                <w:rFonts w:hint="cs"/>
                <w:rtl/>
              </w:rPr>
              <w:t>ה</w:t>
            </w:r>
            <w:r w:rsidR="00A73FB4">
              <w:rPr>
                <w:rFonts w:hint="cs"/>
                <w:rtl/>
              </w:rPr>
              <w:t xml:space="preserve"> על </w:t>
            </w:r>
            <w:r w:rsidR="00770AAF">
              <w:rPr>
                <w:rFonts w:hint="cs"/>
                <w:rtl/>
              </w:rPr>
              <w:t>0.5%</w:t>
            </w:r>
            <w:r w:rsidR="00A73FB4">
              <w:rPr>
                <w:rFonts w:hint="cs"/>
                <w:rtl/>
              </w:rPr>
              <w:t xml:space="preserve"> משווי הדירה או </w:t>
            </w:r>
            <w:r w:rsidR="00B213FA">
              <w:rPr>
                <w:rFonts w:hint="cs"/>
                <w:rtl/>
              </w:rPr>
              <w:t>סכום</w:t>
            </w:r>
            <w:r w:rsidR="00A73FB4">
              <w:rPr>
                <w:rFonts w:hint="cs"/>
                <w:rtl/>
              </w:rPr>
              <w:t xml:space="preserve"> השווה לשבוע שכירות, לפי העניין.</w:t>
            </w:r>
            <w:r w:rsidR="00770AAF">
              <w:rPr>
                <w:rFonts w:hint="cs"/>
                <w:rtl/>
              </w:rPr>
              <w:t>"</w:t>
            </w:r>
          </w:p>
        </w:tc>
      </w:tr>
      <w:tr w:rsidR="004E6BE9" w14:paraId="65D2F707" w14:textId="77777777" w:rsidTr="001270FD">
        <w:trPr>
          <w:cantSplit/>
        </w:trPr>
        <w:tc>
          <w:tcPr>
            <w:tcW w:w="1871" w:type="dxa"/>
          </w:tcPr>
          <w:p w14:paraId="0FB2DA19" w14:textId="77777777" w:rsidR="004E6BE9" w:rsidRDefault="004E6BE9" w:rsidP="001270FD">
            <w:pPr>
              <w:pStyle w:val="TableSideHeading"/>
              <w:keepLines w:val="0"/>
            </w:pPr>
            <w:r>
              <w:rPr>
                <w:rtl/>
              </w:rPr>
              <w:t>תיקון סעיף 14</w:t>
            </w:r>
          </w:p>
        </w:tc>
        <w:tc>
          <w:tcPr>
            <w:tcW w:w="624" w:type="dxa"/>
          </w:tcPr>
          <w:p w14:paraId="5B65AD8C" w14:textId="5587FBE2" w:rsidR="004E6BE9" w:rsidRDefault="004E6BE9" w:rsidP="00510C30">
            <w:pPr>
              <w:pStyle w:val="TableText"/>
              <w:keepLines w:val="0"/>
            </w:pPr>
            <w:r>
              <w:rPr>
                <w:rtl/>
              </w:rPr>
              <w:t>2.</w:t>
            </w:r>
          </w:p>
        </w:tc>
        <w:tc>
          <w:tcPr>
            <w:tcW w:w="7143" w:type="dxa"/>
          </w:tcPr>
          <w:p w14:paraId="66BFC41A" w14:textId="53573355" w:rsidR="004E6BE9" w:rsidRPr="00466DC7" w:rsidRDefault="004E6BE9" w:rsidP="00510C30">
            <w:pPr>
              <w:pStyle w:val="TableHead"/>
              <w:jc w:val="both"/>
              <w:rPr>
                <w:b w:val="0"/>
                <w:bCs w:val="0"/>
              </w:rPr>
            </w:pPr>
            <w:r>
              <w:rPr>
                <w:b w:val="0"/>
                <w:bCs w:val="0"/>
                <w:rtl/>
              </w:rPr>
              <w:t>בסעיף 14</w:t>
            </w:r>
            <w:r w:rsidR="00272D74">
              <w:rPr>
                <w:rFonts w:hint="cs"/>
                <w:b w:val="0"/>
                <w:bCs w:val="0"/>
                <w:rtl/>
              </w:rPr>
              <w:t xml:space="preserve"> לחוק העיקרי</w:t>
            </w:r>
            <w:r w:rsidR="00F3408C">
              <w:rPr>
                <w:rFonts w:hint="cs"/>
                <w:b w:val="0"/>
                <w:bCs w:val="0"/>
                <w:rtl/>
              </w:rPr>
              <w:t>,</w:t>
            </w:r>
            <w:r>
              <w:rPr>
                <w:b w:val="0"/>
                <w:bCs w:val="0"/>
                <w:rtl/>
              </w:rPr>
              <w:t xml:space="preserve">  אחרי סעיף קטן (ב) </w:t>
            </w:r>
            <w:r w:rsidR="00FB0BC0">
              <w:rPr>
                <w:rFonts w:hint="cs"/>
                <w:b w:val="0"/>
                <w:bCs w:val="0"/>
                <w:rtl/>
              </w:rPr>
              <w:t>יבוא:</w:t>
            </w:r>
          </w:p>
        </w:tc>
      </w:tr>
      <w:tr w:rsidR="004E6BE9" w14:paraId="4C04EDF0" w14:textId="77777777" w:rsidTr="001270FD">
        <w:trPr>
          <w:cantSplit/>
        </w:trPr>
        <w:tc>
          <w:tcPr>
            <w:tcW w:w="1871" w:type="dxa"/>
          </w:tcPr>
          <w:p w14:paraId="695BC2B9" w14:textId="77777777" w:rsidR="004E6BE9" w:rsidRPr="00C93083" w:rsidRDefault="004E6BE9" w:rsidP="001270FD">
            <w:pPr>
              <w:pStyle w:val="TableSideHeading"/>
              <w:keepLines w:val="0"/>
            </w:pPr>
          </w:p>
        </w:tc>
        <w:tc>
          <w:tcPr>
            <w:tcW w:w="624" w:type="dxa"/>
          </w:tcPr>
          <w:p w14:paraId="004A24BA" w14:textId="77777777" w:rsidR="004E6BE9" w:rsidRDefault="004E6BE9" w:rsidP="001270FD">
            <w:pPr>
              <w:pStyle w:val="TableText"/>
              <w:keepLines w:val="0"/>
            </w:pPr>
          </w:p>
        </w:tc>
        <w:tc>
          <w:tcPr>
            <w:tcW w:w="7143" w:type="dxa"/>
          </w:tcPr>
          <w:p w14:paraId="1BBD6629" w14:textId="2CFB31F0" w:rsidR="004E6BE9" w:rsidRPr="00C34DE2" w:rsidRDefault="004E6BE9" w:rsidP="00510C30">
            <w:pPr>
              <w:pStyle w:val="TableBlock"/>
            </w:pPr>
            <w:r>
              <w:rPr>
                <w:rtl/>
              </w:rPr>
              <w:t>"(ג)</w:t>
            </w:r>
            <w:r w:rsidR="00272D74">
              <w:rPr>
                <w:rtl/>
              </w:rPr>
              <w:tab/>
            </w:r>
            <w:r w:rsidR="005E1F12">
              <w:rPr>
                <w:rFonts w:hint="cs"/>
                <w:rtl/>
              </w:rPr>
              <w:t xml:space="preserve">מתווך במקרקעין הזכאי לדמי תיווך בשל תיווכו </w:t>
            </w:r>
            <w:r w:rsidR="00261DC8">
              <w:rPr>
                <w:rFonts w:hint="cs"/>
                <w:rtl/>
              </w:rPr>
              <w:t>בעסק</w:t>
            </w:r>
            <w:r w:rsidR="005E1F12">
              <w:rPr>
                <w:rFonts w:hint="cs"/>
                <w:rtl/>
              </w:rPr>
              <w:t>ה</w:t>
            </w:r>
            <w:r w:rsidR="00261DC8">
              <w:rPr>
                <w:rFonts w:hint="cs"/>
                <w:rtl/>
              </w:rPr>
              <w:t xml:space="preserve"> שעניינ</w:t>
            </w:r>
            <w:r w:rsidR="005E1F12">
              <w:rPr>
                <w:rFonts w:hint="cs"/>
                <w:rtl/>
              </w:rPr>
              <w:t>ה</w:t>
            </w:r>
            <w:r w:rsidR="00261DC8">
              <w:rPr>
                <w:rFonts w:hint="cs"/>
                <w:rtl/>
              </w:rPr>
              <w:t xml:space="preserve"> שכירות של מקרקעין למגורים </w:t>
            </w:r>
            <w:r w:rsidR="003C6C1D">
              <w:rPr>
                <w:rFonts w:hint="cs"/>
                <w:rtl/>
              </w:rPr>
              <w:t xml:space="preserve">(בסעיף זה </w:t>
            </w:r>
            <w:r w:rsidR="003C6C1D">
              <w:rPr>
                <w:rtl/>
              </w:rPr>
              <w:t>–</w:t>
            </w:r>
            <w:r w:rsidR="003C6C1D">
              <w:rPr>
                <w:rFonts w:hint="cs"/>
                <w:rtl/>
              </w:rPr>
              <w:t xml:space="preserve"> עסקת שכירות למגורים),</w:t>
            </w:r>
            <w:r>
              <w:rPr>
                <w:rFonts w:hint="cs"/>
                <w:rtl/>
              </w:rPr>
              <w:t xml:space="preserve"> יגבה </w:t>
            </w:r>
            <w:r w:rsidR="005E1F12">
              <w:rPr>
                <w:rFonts w:hint="cs"/>
                <w:rtl/>
              </w:rPr>
              <w:t xml:space="preserve">את </w:t>
            </w:r>
            <w:r>
              <w:rPr>
                <w:rFonts w:hint="cs"/>
                <w:rtl/>
              </w:rPr>
              <w:t xml:space="preserve">דמי </w:t>
            </w:r>
            <w:r w:rsidR="00510C30">
              <w:rPr>
                <w:rFonts w:hint="cs"/>
                <w:rtl/>
              </w:rPr>
              <w:t>ה</w:t>
            </w:r>
            <w:r>
              <w:rPr>
                <w:rFonts w:hint="cs"/>
                <w:rtl/>
              </w:rPr>
              <w:t>תיווך</w:t>
            </w:r>
            <w:r w:rsidR="005B6907">
              <w:rPr>
                <w:rFonts w:hint="cs"/>
                <w:rtl/>
              </w:rPr>
              <w:t xml:space="preserve"> </w:t>
            </w:r>
            <w:r w:rsidR="005E1F12">
              <w:rPr>
                <w:rFonts w:hint="cs"/>
                <w:rtl/>
              </w:rPr>
              <w:t>בחלקים שווים מהמשכיר ומהשוכר</w:t>
            </w:r>
            <w:r w:rsidR="005B6907">
              <w:rPr>
                <w:rFonts w:hint="cs"/>
                <w:rtl/>
              </w:rPr>
              <w:t xml:space="preserve"> שהתקשרו עמו בהסכם</w:t>
            </w:r>
            <w:r w:rsidR="003C6C1D">
              <w:rPr>
                <w:rFonts w:hint="cs"/>
                <w:rtl/>
              </w:rPr>
              <w:t xml:space="preserve"> לביצוע פעולת תיווך במקרקעין</w:t>
            </w:r>
            <w:r w:rsidR="005E1F12">
              <w:rPr>
                <w:rFonts w:hint="cs"/>
                <w:rtl/>
              </w:rPr>
              <w:t>, אף אם המשכיר לא חתם על הזמנה בכתב לביצוע פעולת תיווך במקרקעין</w:t>
            </w:r>
            <w:r w:rsidR="005B6907">
              <w:rPr>
                <w:rFonts w:hint="cs"/>
                <w:rtl/>
              </w:rPr>
              <w:t>.</w:t>
            </w:r>
          </w:p>
        </w:tc>
      </w:tr>
      <w:tr w:rsidR="005B6907" w14:paraId="546B2A7D" w14:textId="77777777" w:rsidTr="001270FD">
        <w:trPr>
          <w:cantSplit/>
        </w:trPr>
        <w:tc>
          <w:tcPr>
            <w:tcW w:w="1871" w:type="dxa"/>
          </w:tcPr>
          <w:p w14:paraId="5DEEE4F3" w14:textId="77777777" w:rsidR="005B6907" w:rsidRDefault="005B6907" w:rsidP="001270FD">
            <w:pPr>
              <w:pStyle w:val="TableSideHeading"/>
              <w:keepLines w:val="0"/>
              <w:rPr>
                <w:rtl/>
              </w:rPr>
            </w:pPr>
          </w:p>
        </w:tc>
        <w:tc>
          <w:tcPr>
            <w:tcW w:w="624" w:type="dxa"/>
          </w:tcPr>
          <w:p w14:paraId="30D2321E" w14:textId="77777777" w:rsidR="005B6907" w:rsidRDefault="005B6907" w:rsidP="005B6907">
            <w:pPr>
              <w:pStyle w:val="TableText"/>
            </w:pPr>
          </w:p>
        </w:tc>
        <w:tc>
          <w:tcPr>
            <w:tcW w:w="7143" w:type="dxa"/>
          </w:tcPr>
          <w:p w14:paraId="0AD97BB3" w14:textId="270B5ABB" w:rsidR="005B6907" w:rsidRDefault="00272D74" w:rsidP="00510C30">
            <w:pPr>
              <w:pStyle w:val="TableBlock"/>
              <w:rPr>
                <w:rtl/>
              </w:rPr>
            </w:pPr>
            <w:r>
              <w:rPr>
                <w:rFonts w:hint="cs"/>
                <w:rtl/>
              </w:rPr>
              <w:t>(ד)</w:t>
            </w:r>
            <w:r>
              <w:rPr>
                <w:rtl/>
              </w:rPr>
              <w:tab/>
            </w:r>
            <w:r w:rsidR="00CC269B">
              <w:rPr>
                <w:rFonts w:hint="cs"/>
                <w:rtl/>
              </w:rPr>
              <w:t>על א</w:t>
            </w:r>
            <w:r w:rsidR="005E1F12">
              <w:rPr>
                <w:rFonts w:hint="cs"/>
                <w:rtl/>
              </w:rPr>
              <w:t>ף</w:t>
            </w:r>
            <w:r w:rsidR="00CC269B">
              <w:rPr>
                <w:rFonts w:hint="cs"/>
                <w:rtl/>
              </w:rPr>
              <w:t xml:space="preserve"> האמור בסעיף קטן (ג), </w:t>
            </w:r>
            <w:r w:rsidR="005B6907">
              <w:rPr>
                <w:rFonts w:hint="cs"/>
                <w:rtl/>
              </w:rPr>
              <w:t xml:space="preserve">בעסקת </w:t>
            </w:r>
            <w:r w:rsidR="00BE3072">
              <w:rPr>
                <w:rFonts w:hint="cs"/>
                <w:rtl/>
              </w:rPr>
              <w:t xml:space="preserve">שכירות למגורים </w:t>
            </w:r>
            <w:r w:rsidR="005B6907">
              <w:rPr>
                <w:rFonts w:hint="cs"/>
                <w:rtl/>
              </w:rPr>
              <w:t>רשאי מתווך במקרקעין</w:t>
            </w:r>
            <w:r w:rsidR="00BE3072">
              <w:rPr>
                <w:rFonts w:hint="cs"/>
                <w:rtl/>
              </w:rPr>
              <w:t xml:space="preserve"> </w:t>
            </w:r>
            <w:r w:rsidR="005B6907">
              <w:rPr>
                <w:rFonts w:hint="cs"/>
                <w:rtl/>
              </w:rPr>
              <w:t>לא לגבות דמי תיווך מאחד הצדדים</w:t>
            </w:r>
            <w:r w:rsidR="008273DC">
              <w:rPr>
                <w:rFonts w:hint="cs"/>
                <w:rtl/>
              </w:rPr>
              <w:t xml:space="preserve"> </w:t>
            </w:r>
            <w:r w:rsidR="00321384">
              <w:rPr>
                <w:rFonts w:hint="cs"/>
                <w:rtl/>
              </w:rPr>
              <w:t>שהתקשרו עמו בהסכם</w:t>
            </w:r>
            <w:r w:rsidR="00CC269B">
              <w:rPr>
                <w:rFonts w:hint="cs"/>
                <w:rtl/>
              </w:rPr>
              <w:t>, ובלבד שדמי</w:t>
            </w:r>
            <w:r w:rsidR="005B6907">
              <w:rPr>
                <w:rFonts w:hint="cs"/>
                <w:rtl/>
              </w:rPr>
              <w:t xml:space="preserve"> התיווך </w:t>
            </w:r>
            <w:r w:rsidR="00321384">
              <w:rPr>
                <w:rFonts w:hint="cs"/>
                <w:rtl/>
              </w:rPr>
              <w:t xml:space="preserve">שיגבה </w:t>
            </w:r>
            <w:r w:rsidR="00CC269B">
              <w:rPr>
                <w:rFonts w:hint="cs"/>
                <w:rtl/>
              </w:rPr>
              <w:t xml:space="preserve">לא יעלו על </w:t>
            </w:r>
            <w:r w:rsidR="005B6907">
              <w:rPr>
                <w:rFonts w:hint="cs"/>
                <w:rtl/>
              </w:rPr>
              <w:t xml:space="preserve">מחצית </w:t>
            </w:r>
            <w:r w:rsidR="00CC269B">
              <w:rPr>
                <w:rFonts w:hint="cs"/>
                <w:rtl/>
              </w:rPr>
              <w:t>מדמי</w:t>
            </w:r>
            <w:r w:rsidR="005B6907">
              <w:rPr>
                <w:rFonts w:hint="cs"/>
                <w:rtl/>
              </w:rPr>
              <w:t xml:space="preserve"> </w:t>
            </w:r>
            <w:r w:rsidR="00CC269B">
              <w:rPr>
                <w:rFonts w:hint="cs"/>
                <w:rtl/>
              </w:rPr>
              <w:t>ה</w:t>
            </w:r>
            <w:r w:rsidR="005B6907">
              <w:rPr>
                <w:rFonts w:hint="cs"/>
                <w:rtl/>
              </w:rPr>
              <w:t>שכירות</w:t>
            </w:r>
            <w:r w:rsidR="00390DC6">
              <w:rPr>
                <w:rFonts w:hint="cs"/>
                <w:rtl/>
              </w:rPr>
              <w:t xml:space="preserve"> לחודש</w:t>
            </w:r>
            <w:r w:rsidR="00CC269B">
              <w:rPr>
                <w:rFonts w:hint="cs"/>
                <w:rtl/>
              </w:rPr>
              <w:t>,</w:t>
            </w:r>
            <w:r w:rsidR="005B6907">
              <w:rPr>
                <w:rFonts w:hint="cs"/>
                <w:rtl/>
              </w:rPr>
              <w:t xml:space="preserve"> כפי שסוכם בין הצדדים</w:t>
            </w:r>
            <w:r w:rsidR="00321384">
              <w:rPr>
                <w:rFonts w:hint="cs"/>
                <w:rtl/>
              </w:rPr>
              <w:t xml:space="preserve"> לעסקת השכירות למגורים.</w:t>
            </w:r>
            <w:r>
              <w:rPr>
                <w:rFonts w:hint="cs"/>
                <w:rtl/>
              </w:rPr>
              <w:t>"</w:t>
            </w:r>
          </w:p>
        </w:tc>
      </w:tr>
    </w:tbl>
    <w:p w14:paraId="7F6961AE" w14:textId="77777777" w:rsidR="00E13C27" w:rsidRPr="004E6BE9" w:rsidRDefault="00E13C27" w:rsidP="004E6BE9">
      <w:pPr>
        <w:pStyle w:val="HeadDivreiHesber"/>
        <w:spacing w:before="0" w:after="0" w:line="240" w:lineRule="auto"/>
        <w:jc w:val="both"/>
        <w:rPr>
          <w:rtl/>
        </w:rPr>
      </w:pPr>
    </w:p>
    <w:p w14:paraId="7F6961CA" w14:textId="77777777" w:rsidR="002D1EE3" w:rsidRDefault="002D1EE3" w:rsidP="002D1EE3">
      <w:pPr>
        <w:pStyle w:val="HeadDivreiHesber"/>
        <w:rPr>
          <w:rtl/>
        </w:rPr>
      </w:pPr>
      <w:r w:rsidRPr="0027450A">
        <w:rPr>
          <w:rFonts w:hint="cs"/>
          <w:rtl/>
        </w:rPr>
        <w:t>דברי הסבר</w:t>
      </w:r>
    </w:p>
    <w:p w14:paraId="49442E60" w14:textId="3408DCBD" w:rsidR="004E6BE9" w:rsidRPr="00B13B28" w:rsidRDefault="004E6BE9" w:rsidP="00272D74">
      <w:pPr>
        <w:pStyle w:val="Hesber"/>
        <w:rPr>
          <w:rtl/>
        </w:rPr>
      </w:pPr>
      <w:r w:rsidRPr="00B13B28">
        <w:rPr>
          <w:rtl/>
        </w:rPr>
        <w:t xml:space="preserve">מחירי הדיור בישראל עולים מדי שנה, </w:t>
      </w:r>
      <w:r w:rsidR="00993FE5" w:rsidRPr="00B13B28">
        <w:rPr>
          <w:rFonts w:hint="eastAsia"/>
          <w:rtl/>
        </w:rPr>
        <w:t>ובהתאמה</w:t>
      </w:r>
      <w:r w:rsidR="00993FE5" w:rsidRPr="00B13B28">
        <w:rPr>
          <w:rtl/>
        </w:rPr>
        <w:t xml:space="preserve"> </w:t>
      </w:r>
      <w:r w:rsidR="00993FE5" w:rsidRPr="00B13B28">
        <w:rPr>
          <w:rFonts w:hint="eastAsia"/>
          <w:rtl/>
        </w:rPr>
        <w:t>עולים</w:t>
      </w:r>
      <w:r w:rsidR="00993FE5" w:rsidRPr="00B13B28">
        <w:rPr>
          <w:rtl/>
        </w:rPr>
        <w:t xml:space="preserve"> </w:t>
      </w:r>
      <w:r w:rsidRPr="00B13B28">
        <w:rPr>
          <w:rtl/>
        </w:rPr>
        <w:t xml:space="preserve">דמי התיווך </w:t>
      </w:r>
      <w:r w:rsidR="00B13B28" w:rsidRPr="00B13B28">
        <w:rPr>
          <w:rFonts w:hint="eastAsia"/>
          <w:rtl/>
        </w:rPr>
        <w:t>עבור</w:t>
      </w:r>
      <w:r w:rsidR="00B13B28" w:rsidRPr="00B13B28">
        <w:rPr>
          <w:rtl/>
        </w:rPr>
        <w:t xml:space="preserve"> </w:t>
      </w:r>
      <w:r w:rsidR="00B13B28" w:rsidRPr="00B13B28">
        <w:rPr>
          <w:rFonts w:hint="eastAsia"/>
          <w:rtl/>
        </w:rPr>
        <w:t>ה</w:t>
      </w:r>
      <w:r w:rsidRPr="00B13B28">
        <w:rPr>
          <w:rtl/>
        </w:rPr>
        <w:t xml:space="preserve">עסקה. </w:t>
      </w:r>
      <w:r w:rsidRPr="00FB0BC0">
        <w:rPr>
          <w:rFonts w:hint="eastAsia"/>
          <w:rtl/>
        </w:rPr>
        <w:t>ממשלת</w:t>
      </w:r>
      <w:r w:rsidRPr="00FB0BC0">
        <w:rPr>
          <w:rtl/>
        </w:rPr>
        <w:t xml:space="preserve"> </w:t>
      </w:r>
      <w:r w:rsidRPr="00FB0BC0">
        <w:rPr>
          <w:rFonts w:hint="eastAsia"/>
          <w:rtl/>
        </w:rPr>
        <w:t>ישראל</w:t>
      </w:r>
      <w:r w:rsidRPr="00FB0BC0">
        <w:rPr>
          <w:rtl/>
        </w:rPr>
        <w:t xml:space="preserve"> </w:t>
      </w:r>
      <w:r w:rsidR="00BD2D65" w:rsidRPr="00510C30">
        <w:rPr>
          <w:rFonts w:hint="eastAsia"/>
          <w:rtl/>
        </w:rPr>
        <w:t>מקדמת</w:t>
      </w:r>
      <w:r w:rsidR="00BD2D65" w:rsidRPr="00510C30">
        <w:rPr>
          <w:rtl/>
        </w:rPr>
        <w:t xml:space="preserve"> </w:t>
      </w:r>
      <w:r w:rsidRPr="00FB0BC0">
        <w:rPr>
          <w:rFonts w:hint="eastAsia"/>
          <w:rtl/>
        </w:rPr>
        <w:t>בתחום</w:t>
      </w:r>
      <w:r w:rsidRPr="00FB0BC0">
        <w:rPr>
          <w:rtl/>
        </w:rPr>
        <w:t xml:space="preserve"> </w:t>
      </w:r>
      <w:r w:rsidRPr="00FB0BC0">
        <w:rPr>
          <w:rFonts w:hint="eastAsia"/>
          <w:rtl/>
        </w:rPr>
        <w:t>הדיור</w:t>
      </w:r>
      <w:r w:rsidRPr="00FB0BC0">
        <w:rPr>
          <w:rtl/>
        </w:rPr>
        <w:t xml:space="preserve"> </w:t>
      </w:r>
      <w:r w:rsidR="00BD2D65" w:rsidRPr="00510C30">
        <w:rPr>
          <w:rFonts w:hint="eastAsia"/>
          <w:rtl/>
        </w:rPr>
        <w:t>מדיניות</w:t>
      </w:r>
      <w:r w:rsidR="00BD2D65" w:rsidRPr="00510C30">
        <w:rPr>
          <w:rtl/>
        </w:rPr>
        <w:t xml:space="preserve"> המעודדת </w:t>
      </w:r>
      <w:r w:rsidRPr="00FB0BC0">
        <w:rPr>
          <w:rFonts w:hint="eastAsia"/>
          <w:rtl/>
        </w:rPr>
        <w:t>השכרה</w:t>
      </w:r>
      <w:r w:rsidRPr="00FB0BC0">
        <w:rPr>
          <w:rtl/>
        </w:rPr>
        <w:t xml:space="preserve"> </w:t>
      </w:r>
      <w:r w:rsidRPr="00FB0BC0">
        <w:rPr>
          <w:rFonts w:hint="eastAsia"/>
          <w:rtl/>
        </w:rPr>
        <w:t>ארוכת</w:t>
      </w:r>
      <w:r w:rsidRPr="00FB0BC0">
        <w:rPr>
          <w:rtl/>
        </w:rPr>
        <w:t xml:space="preserve"> </w:t>
      </w:r>
      <w:r w:rsidRPr="00FB0BC0">
        <w:rPr>
          <w:rFonts w:hint="eastAsia"/>
          <w:rtl/>
        </w:rPr>
        <w:t>טווח</w:t>
      </w:r>
      <w:r w:rsidR="00BD2D65" w:rsidRPr="00510C30">
        <w:rPr>
          <w:rtl/>
        </w:rPr>
        <w:t>,</w:t>
      </w:r>
      <w:r w:rsidRPr="00FB0BC0">
        <w:rPr>
          <w:rtl/>
        </w:rPr>
        <w:t xml:space="preserve"> </w:t>
      </w:r>
      <w:r w:rsidRPr="00FB0BC0">
        <w:rPr>
          <w:rFonts w:hint="eastAsia"/>
          <w:rtl/>
        </w:rPr>
        <w:t>במיוחד</w:t>
      </w:r>
      <w:r w:rsidRPr="00FB0BC0">
        <w:rPr>
          <w:rtl/>
        </w:rPr>
        <w:t xml:space="preserve"> </w:t>
      </w:r>
      <w:r w:rsidRPr="00FB0BC0">
        <w:rPr>
          <w:rFonts w:hint="eastAsia"/>
          <w:rtl/>
        </w:rPr>
        <w:t>באזורי</w:t>
      </w:r>
      <w:r w:rsidRPr="00FB0BC0">
        <w:rPr>
          <w:rtl/>
        </w:rPr>
        <w:t xml:space="preserve"> </w:t>
      </w:r>
      <w:r w:rsidRPr="00FB0BC0">
        <w:rPr>
          <w:rFonts w:hint="eastAsia"/>
          <w:rtl/>
        </w:rPr>
        <w:t>הביקוש</w:t>
      </w:r>
      <w:r w:rsidRPr="00FB0BC0">
        <w:rPr>
          <w:rtl/>
        </w:rPr>
        <w:t>.</w:t>
      </w:r>
      <w:r w:rsidRPr="00B13B28">
        <w:rPr>
          <w:rtl/>
        </w:rPr>
        <w:t xml:space="preserve"> המשמעות היא כי דווקא אלו הזקוקים לדיור להשכרה</w:t>
      </w:r>
      <w:r w:rsidR="00272D74">
        <w:rPr>
          <w:rFonts w:hint="cs"/>
          <w:rtl/>
        </w:rPr>
        <w:t xml:space="preserve"> </w:t>
      </w:r>
      <w:r w:rsidR="00272D74">
        <w:rPr>
          <w:rFonts w:hint="eastAsia"/>
          <w:rtl/>
        </w:rPr>
        <w:t>–</w:t>
      </w:r>
      <w:r w:rsidR="00272D74">
        <w:rPr>
          <w:rFonts w:hint="cs"/>
          <w:rtl/>
        </w:rPr>
        <w:t xml:space="preserve"> </w:t>
      </w:r>
      <w:r w:rsidRPr="00B13B28">
        <w:rPr>
          <w:rtl/>
        </w:rPr>
        <w:t>משפחות צעירות, סטודנטי</w:t>
      </w:r>
      <w:r w:rsidR="00B13B28" w:rsidRPr="00B13B28">
        <w:rPr>
          <w:rFonts w:hint="eastAsia"/>
          <w:rtl/>
        </w:rPr>
        <w:t>ם</w:t>
      </w:r>
      <w:r w:rsidR="00B13B28" w:rsidRPr="00B13B28">
        <w:rPr>
          <w:rtl/>
        </w:rPr>
        <w:t xml:space="preserve">, </w:t>
      </w:r>
      <w:r w:rsidR="00B13B28" w:rsidRPr="00B13B28">
        <w:rPr>
          <w:rFonts w:hint="eastAsia"/>
          <w:rtl/>
        </w:rPr>
        <w:t>משפחות</w:t>
      </w:r>
      <w:r w:rsidR="00B13B28" w:rsidRPr="00B13B28">
        <w:rPr>
          <w:rtl/>
        </w:rPr>
        <w:t xml:space="preserve"> </w:t>
      </w:r>
      <w:r w:rsidR="00B13B28" w:rsidRPr="00B13B28">
        <w:rPr>
          <w:rFonts w:hint="eastAsia"/>
          <w:rtl/>
        </w:rPr>
        <w:t>מעוטות</w:t>
      </w:r>
      <w:r w:rsidR="00B13B28" w:rsidRPr="00B13B28">
        <w:rPr>
          <w:rtl/>
        </w:rPr>
        <w:t xml:space="preserve"> </w:t>
      </w:r>
      <w:r w:rsidR="00B13B28" w:rsidRPr="00B13B28">
        <w:rPr>
          <w:rFonts w:hint="eastAsia"/>
          <w:rtl/>
        </w:rPr>
        <w:t>הכנסה</w:t>
      </w:r>
      <w:r w:rsidR="00B13B28" w:rsidRPr="00B13B28">
        <w:rPr>
          <w:rtl/>
        </w:rPr>
        <w:t xml:space="preserve"> </w:t>
      </w:r>
      <w:r w:rsidR="00B13B28" w:rsidRPr="00B13B28">
        <w:rPr>
          <w:rFonts w:hint="eastAsia"/>
          <w:rtl/>
        </w:rPr>
        <w:t>ואוכלוסיות</w:t>
      </w:r>
      <w:r w:rsidR="00B13B28" w:rsidRPr="00B13B28">
        <w:rPr>
          <w:rtl/>
        </w:rPr>
        <w:t xml:space="preserve"> </w:t>
      </w:r>
      <w:r w:rsidR="00B13B28" w:rsidRPr="00B13B28">
        <w:rPr>
          <w:rFonts w:hint="eastAsia"/>
          <w:rtl/>
        </w:rPr>
        <w:t>אחרות</w:t>
      </w:r>
      <w:r w:rsidR="00B13B28" w:rsidRPr="00B13B28">
        <w:rPr>
          <w:rtl/>
        </w:rPr>
        <w:t>,</w:t>
      </w:r>
      <w:r w:rsidRPr="00B13B28">
        <w:rPr>
          <w:rtl/>
        </w:rPr>
        <w:t xml:space="preserve"> נאלצות כבר היום</w:t>
      </w:r>
      <w:r w:rsidR="00390DC6">
        <w:rPr>
          <w:rFonts w:hint="cs"/>
          <w:rtl/>
        </w:rPr>
        <w:t>,</w:t>
      </w:r>
      <w:r w:rsidRPr="00B13B28">
        <w:rPr>
          <w:rtl/>
        </w:rPr>
        <w:t xml:space="preserve"> וי</w:t>
      </w:r>
      <w:r w:rsidR="00272D74">
        <w:rPr>
          <w:rFonts w:hint="cs"/>
          <w:rtl/>
        </w:rPr>
        <w:t>י</w:t>
      </w:r>
      <w:r w:rsidRPr="00B13B28">
        <w:rPr>
          <w:rtl/>
        </w:rPr>
        <w:t>דרשו גם בעתיד</w:t>
      </w:r>
      <w:r w:rsidR="00390DC6">
        <w:rPr>
          <w:rFonts w:hint="cs"/>
          <w:rtl/>
        </w:rPr>
        <w:t>,</w:t>
      </w:r>
      <w:r w:rsidRPr="00B13B28">
        <w:rPr>
          <w:rtl/>
        </w:rPr>
        <w:t xml:space="preserve"> לה</w:t>
      </w:r>
      <w:r w:rsidR="00B13B28" w:rsidRPr="00B13B28">
        <w:rPr>
          <w:rFonts w:hint="eastAsia"/>
          <w:rtl/>
        </w:rPr>
        <w:t>י</w:t>
      </w:r>
      <w:r w:rsidRPr="00B13B28">
        <w:rPr>
          <w:rFonts w:hint="eastAsia"/>
          <w:rtl/>
        </w:rPr>
        <w:t>עזר</w:t>
      </w:r>
      <w:r w:rsidRPr="00B13B28">
        <w:rPr>
          <w:rtl/>
        </w:rPr>
        <w:t xml:space="preserve"> בשירותי תיווך וזאת בשל ההיצע המוגבל כיום של הדירות להשכרה ו</w:t>
      </w:r>
      <w:r w:rsidR="00B13B28" w:rsidRPr="00B13B28">
        <w:rPr>
          <w:rFonts w:hint="eastAsia"/>
          <w:rtl/>
        </w:rPr>
        <w:t>אי</w:t>
      </w:r>
      <w:r w:rsidR="00B13B28" w:rsidRPr="00B13B28">
        <w:rPr>
          <w:rtl/>
        </w:rPr>
        <w:t xml:space="preserve"> הסדרתו של </w:t>
      </w:r>
      <w:r w:rsidRPr="00B13B28">
        <w:rPr>
          <w:rtl/>
        </w:rPr>
        <w:t>השוק.</w:t>
      </w:r>
    </w:p>
    <w:p w14:paraId="2F58F24C" w14:textId="29E4D34E" w:rsidR="004E6BE9" w:rsidRPr="00B13B28" w:rsidRDefault="004E6BE9" w:rsidP="00510C30">
      <w:pPr>
        <w:pStyle w:val="Hesber"/>
        <w:rPr>
          <w:rtl/>
        </w:rPr>
      </w:pPr>
      <w:r w:rsidRPr="00B13B28">
        <w:rPr>
          <w:rFonts w:hint="eastAsia"/>
          <w:rtl/>
        </w:rPr>
        <w:t>מבדיקה</w:t>
      </w:r>
      <w:r w:rsidRPr="00B13B28">
        <w:rPr>
          <w:rtl/>
        </w:rPr>
        <w:t xml:space="preserve"> עולה כי מתווכים פונים אל בעלי </w:t>
      </w:r>
      <w:r w:rsidRPr="00B13B28">
        <w:rPr>
          <w:rFonts w:hint="eastAsia"/>
          <w:rtl/>
        </w:rPr>
        <w:t>נכסים</w:t>
      </w:r>
      <w:r w:rsidRPr="00B13B28">
        <w:rPr>
          <w:rtl/>
        </w:rPr>
        <w:t xml:space="preserve"> </w:t>
      </w:r>
      <w:r w:rsidRPr="00B13B28">
        <w:rPr>
          <w:rFonts w:hint="eastAsia"/>
          <w:rtl/>
        </w:rPr>
        <w:t>למגורים</w:t>
      </w:r>
      <w:r w:rsidR="0055260B">
        <w:rPr>
          <w:rFonts w:hint="cs"/>
          <w:rtl/>
        </w:rPr>
        <w:t xml:space="preserve"> המיועדים להשכרה</w:t>
      </w:r>
      <w:r w:rsidRPr="00B13B28">
        <w:rPr>
          <w:rtl/>
        </w:rPr>
        <w:t xml:space="preserve"> ומציעים את שירותיהם בתמורה לתשלום דמי התיווך אשר יושת על השוכר בלבד, </w:t>
      </w:r>
      <w:r w:rsidRPr="00B13B28">
        <w:rPr>
          <w:rFonts w:hint="eastAsia"/>
          <w:rtl/>
        </w:rPr>
        <w:t>דבר</w:t>
      </w:r>
      <w:r w:rsidRPr="00B13B28">
        <w:rPr>
          <w:rtl/>
        </w:rPr>
        <w:t xml:space="preserve"> שגורם </w:t>
      </w:r>
      <w:r w:rsidR="00EA2763">
        <w:rPr>
          <w:rFonts w:hint="cs"/>
          <w:rtl/>
        </w:rPr>
        <w:t>ל</w:t>
      </w:r>
      <w:r w:rsidRPr="00B13B28">
        <w:rPr>
          <w:rFonts w:hint="eastAsia"/>
          <w:rtl/>
        </w:rPr>
        <w:t>הוצאה</w:t>
      </w:r>
      <w:r w:rsidRPr="00B13B28">
        <w:rPr>
          <w:rtl/>
        </w:rPr>
        <w:t xml:space="preserve"> </w:t>
      </w:r>
      <w:r w:rsidRPr="00B13B28">
        <w:rPr>
          <w:rFonts w:hint="eastAsia"/>
          <w:rtl/>
        </w:rPr>
        <w:t>כבדה</w:t>
      </w:r>
      <w:r w:rsidRPr="00B13B28">
        <w:rPr>
          <w:rtl/>
        </w:rPr>
        <w:t xml:space="preserve"> </w:t>
      </w:r>
      <w:r w:rsidRPr="00B13B28">
        <w:rPr>
          <w:rFonts w:hint="eastAsia"/>
          <w:rtl/>
        </w:rPr>
        <w:t>ביותר</w:t>
      </w:r>
      <w:r w:rsidRPr="00B13B28">
        <w:rPr>
          <w:rtl/>
        </w:rPr>
        <w:t xml:space="preserve"> </w:t>
      </w:r>
      <w:r w:rsidRPr="00B13B28">
        <w:rPr>
          <w:rFonts w:hint="eastAsia"/>
          <w:rtl/>
        </w:rPr>
        <w:t>על</w:t>
      </w:r>
      <w:r w:rsidRPr="00B13B28">
        <w:rPr>
          <w:rtl/>
        </w:rPr>
        <w:t xml:space="preserve"> </w:t>
      </w:r>
      <w:r w:rsidRPr="00B13B28">
        <w:rPr>
          <w:rFonts w:hint="eastAsia"/>
          <w:rtl/>
        </w:rPr>
        <w:t>שוכרי</w:t>
      </w:r>
      <w:r w:rsidRPr="00B13B28">
        <w:rPr>
          <w:rtl/>
        </w:rPr>
        <w:t xml:space="preserve"> </w:t>
      </w:r>
      <w:r w:rsidRPr="00B13B28">
        <w:rPr>
          <w:rFonts w:hint="eastAsia"/>
          <w:rtl/>
        </w:rPr>
        <w:t>הדירות</w:t>
      </w:r>
      <w:r w:rsidRPr="00B13B28">
        <w:rPr>
          <w:rtl/>
        </w:rPr>
        <w:t xml:space="preserve"> </w:t>
      </w:r>
      <w:r w:rsidR="005E1F12">
        <w:rPr>
          <w:rFonts w:hint="cs"/>
          <w:rtl/>
        </w:rPr>
        <w:t>ש</w:t>
      </w:r>
      <w:r w:rsidRPr="00B13B28">
        <w:rPr>
          <w:rFonts w:hint="eastAsia"/>
          <w:rtl/>
        </w:rPr>
        <w:t>כאמור</w:t>
      </w:r>
      <w:r w:rsidR="00EA2763">
        <w:rPr>
          <w:rFonts w:hint="cs"/>
          <w:rtl/>
        </w:rPr>
        <w:t>,</w:t>
      </w:r>
      <w:r w:rsidRPr="00B13B28">
        <w:rPr>
          <w:rtl/>
        </w:rPr>
        <w:t xml:space="preserve"> ברוב המקרים אינם משתייכים לקבוצות בעלות ההכנסה הגבוהה ביותר במשק. </w:t>
      </w:r>
    </w:p>
    <w:p w14:paraId="58406AB1" w14:textId="197CC2C7" w:rsidR="00EE5218" w:rsidRDefault="00EA2763" w:rsidP="00510C30">
      <w:pPr>
        <w:pStyle w:val="Hesber"/>
        <w:rPr>
          <w:rtl/>
        </w:rPr>
      </w:pPr>
      <w:r>
        <w:rPr>
          <w:rFonts w:hint="cs"/>
          <w:rtl/>
        </w:rPr>
        <w:t>מוצע</w:t>
      </w:r>
      <w:r w:rsidR="004E6BE9" w:rsidRPr="00B13B28">
        <w:rPr>
          <w:rtl/>
        </w:rPr>
        <w:t xml:space="preserve"> לחלק את האחריות לתשלום דמי התיווך </w:t>
      </w:r>
      <w:r w:rsidR="00A4606F">
        <w:rPr>
          <w:rFonts w:hint="cs"/>
          <w:rtl/>
        </w:rPr>
        <w:t>בין</w:t>
      </w:r>
      <w:r w:rsidR="00A4606F" w:rsidRPr="00B13B28">
        <w:rPr>
          <w:rtl/>
        </w:rPr>
        <w:t xml:space="preserve"> </w:t>
      </w:r>
      <w:r w:rsidR="004E6BE9" w:rsidRPr="00B13B28">
        <w:rPr>
          <w:rtl/>
        </w:rPr>
        <w:t>הצדדים המעורבים בעסק</w:t>
      </w:r>
      <w:r w:rsidR="00E65A3E">
        <w:rPr>
          <w:rFonts w:hint="cs"/>
          <w:rtl/>
        </w:rPr>
        <w:t>ת השכירות</w:t>
      </w:r>
      <w:r w:rsidR="005E1F12">
        <w:rPr>
          <w:rFonts w:hint="cs"/>
          <w:rtl/>
        </w:rPr>
        <w:t xml:space="preserve"> </w:t>
      </w:r>
      <w:r w:rsidR="005E1F12">
        <w:rPr>
          <w:rtl/>
        </w:rPr>
        <w:t>–</w:t>
      </w:r>
      <w:r w:rsidR="005E1F12">
        <w:rPr>
          <w:rFonts w:hint="cs"/>
          <w:rtl/>
        </w:rPr>
        <w:t xml:space="preserve"> המשכיר והשוכר או השוכרים</w:t>
      </w:r>
      <w:r w:rsidR="00FB0BC0">
        <w:rPr>
          <w:rFonts w:hint="cs"/>
          <w:rtl/>
        </w:rPr>
        <w:t xml:space="preserve">. </w:t>
      </w:r>
      <w:r w:rsidR="008273DC">
        <w:rPr>
          <w:rFonts w:hint="cs"/>
          <w:rtl/>
        </w:rPr>
        <w:t>עם זאת</w:t>
      </w:r>
      <w:r w:rsidR="00FB0BC0">
        <w:rPr>
          <w:rFonts w:hint="cs"/>
          <w:rtl/>
        </w:rPr>
        <w:t xml:space="preserve">, המתווך רשאי להחליט שלא לחייב את המשכיר בדמי תיווך, ובלבד שבמקרה זה השוכר לא יידרש לשלם מעל מחצית מדמי </w:t>
      </w:r>
      <w:r w:rsidR="005E1F12">
        <w:rPr>
          <w:rFonts w:hint="cs"/>
          <w:rtl/>
        </w:rPr>
        <w:t>השכירות לחודש</w:t>
      </w:r>
      <w:r w:rsidR="00FB0BC0">
        <w:rPr>
          <w:rFonts w:hint="cs"/>
          <w:rtl/>
        </w:rPr>
        <w:t>.</w:t>
      </w:r>
      <w:r w:rsidR="00D44144">
        <w:rPr>
          <w:rFonts w:hint="cs"/>
          <w:rtl/>
        </w:rPr>
        <w:t xml:space="preserve"> </w:t>
      </w:r>
      <w:r w:rsidR="00FB0BC0">
        <w:rPr>
          <w:rFonts w:hint="cs"/>
          <w:rtl/>
        </w:rPr>
        <w:t xml:space="preserve">באופן זה ניתן להבטיח </w:t>
      </w:r>
      <w:r w:rsidR="00FB0BC0" w:rsidRPr="00510C30">
        <w:rPr>
          <w:rFonts w:hint="eastAsia"/>
          <w:rtl/>
        </w:rPr>
        <w:t>ש</w:t>
      </w:r>
      <w:r w:rsidR="004E6BE9" w:rsidRPr="00390DC6">
        <w:rPr>
          <w:rFonts w:hint="eastAsia"/>
          <w:rtl/>
        </w:rPr>
        <w:t>עלות</w:t>
      </w:r>
      <w:r w:rsidR="004E6BE9" w:rsidRPr="00390DC6">
        <w:rPr>
          <w:rtl/>
        </w:rPr>
        <w:t xml:space="preserve"> </w:t>
      </w:r>
      <w:r w:rsidR="00FB0BC0" w:rsidRPr="00510C30">
        <w:rPr>
          <w:rFonts w:hint="eastAsia"/>
          <w:rtl/>
        </w:rPr>
        <w:t>דמי</w:t>
      </w:r>
      <w:r w:rsidR="00FB0BC0" w:rsidRPr="00510C30">
        <w:rPr>
          <w:rtl/>
        </w:rPr>
        <w:t xml:space="preserve"> התיווך </w:t>
      </w:r>
      <w:r w:rsidR="004E6BE9" w:rsidRPr="00390DC6">
        <w:rPr>
          <w:rFonts w:hint="eastAsia"/>
          <w:rtl/>
        </w:rPr>
        <w:t>המושתת</w:t>
      </w:r>
      <w:r w:rsidR="004E6BE9" w:rsidRPr="00390DC6">
        <w:rPr>
          <w:rtl/>
        </w:rPr>
        <w:t xml:space="preserve"> </w:t>
      </w:r>
      <w:r w:rsidR="004E6BE9" w:rsidRPr="00390DC6">
        <w:rPr>
          <w:rFonts w:hint="eastAsia"/>
          <w:rtl/>
        </w:rPr>
        <w:t>על</w:t>
      </w:r>
      <w:r w:rsidR="004E6BE9" w:rsidRPr="00390DC6">
        <w:rPr>
          <w:rtl/>
        </w:rPr>
        <w:t xml:space="preserve"> </w:t>
      </w:r>
      <w:r w:rsidR="004E6BE9" w:rsidRPr="00390DC6">
        <w:rPr>
          <w:rFonts w:hint="eastAsia"/>
          <w:rtl/>
        </w:rPr>
        <w:t>השוכר</w:t>
      </w:r>
      <w:r w:rsidR="004E6BE9" w:rsidRPr="00390DC6">
        <w:rPr>
          <w:rtl/>
        </w:rPr>
        <w:t xml:space="preserve"> </w:t>
      </w:r>
      <w:r w:rsidR="005E1F12">
        <w:rPr>
          <w:rFonts w:hint="cs"/>
          <w:rtl/>
        </w:rPr>
        <w:t>תעלה על</w:t>
      </w:r>
      <w:r w:rsidR="00FB0BC0" w:rsidRPr="00510C30">
        <w:rPr>
          <w:rtl/>
        </w:rPr>
        <w:t xml:space="preserve"> מחצית מדמי התיווך</w:t>
      </w:r>
      <w:r w:rsidR="005E1F12">
        <w:rPr>
          <w:rFonts w:hint="cs"/>
          <w:rtl/>
        </w:rPr>
        <w:t xml:space="preserve"> שהיו נגבים אילו שני הצדדים היו נושאים בתשלום דמי התיווך</w:t>
      </w:r>
      <w:r w:rsidR="00FB0BC0" w:rsidRPr="00510C30">
        <w:rPr>
          <w:rtl/>
        </w:rPr>
        <w:t>.</w:t>
      </w:r>
    </w:p>
    <w:p w14:paraId="770E027F" w14:textId="710399B0" w:rsidR="00EE5218" w:rsidRPr="00B13B28" w:rsidRDefault="00EE5218" w:rsidP="00510C30">
      <w:pPr>
        <w:pStyle w:val="Hesber"/>
        <w:rPr>
          <w:rtl/>
        </w:rPr>
      </w:pPr>
      <w:r>
        <w:rPr>
          <w:rFonts w:hint="cs"/>
          <w:rtl/>
        </w:rPr>
        <w:t xml:space="preserve">בנוסף, מוצע לחייב את המתווך </w:t>
      </w:r>
      <w:r w:rsidR="008A0FE4">
        <w:rPr>
          <w:rFonts w:hint="cs"/>
          <w:rtl/>
        </w:rPr>
        <w:t>למסור</w:t>
      </w:r>
      <w:r>
        <w:rPr>
          <w:rFonts w:hint="cs"/>
          <w:rtl/>
        </w:rPr>
        <w:t xml:space="preserve"> ללקוח את ההזמנה בכתב לביצוע פעולת תיווך במקרקעין לפחות 24 שעות לפני שהלקוח נדרש לחתום על הזמנה זו, וזאת במטרה לאפשר ללקוח זמן לעיין </w:t>
      </w:r>
      <w:r w:rsidR="008A0FE4">
        <w:rPr>
          <w:rFonts w:hint="cs"/>
          <w:rtl/>
        </w:rPr>
        <w:t>בהזמנה ולהבין את התנאים להם הוא מתחייב בטרם החתימה. לקוח אשר חתם על הזמנה בכתב לביצוע פעולת תיווך במקרקעין בלי שניתנה לו הזדמנות לעיין בה כמפורט לעיל, יהיה רשאי לבטל את ההזמנה בתוך 24 שעות ממועד החתימה.</w:t>
      </w:r>
      <w:r w:rsidR="00E87797">
        <w:rPr>
          <w:rFonts w:hint="cs"/>
          <w:rtl/>
        </w:rPr>
        <w:t xml:space="preserve"> עם זאת, מוצע שאם </w:t>
      </w:r>
      <w:r w:rsidR="005E1F12">
        <w:rPr>
          <w:rFonts w:hint="cs"/>
          <w:rtl/>
        </w:rPr>
        <w:t xml:space="preserve">בנסיבות האמורות </w:t>
      </w:r>
      <w:r w:rsidR="00E87797">
        <w:rPr>
          <w:rFonts w:hint="cs"/>
          <w:rtl/>
        </w:rPr>
        <w:t xml:space="preserve">חתם </w:t>
      </w:r>
      <w:r w:rsidR="005E1F12">
        <w:rPr>
          <w:rFonts w:hint="cs"/>
          <w:rtl/>
        </w:rPr>
        <w:t xml:space="preserve">הלקוח על עסקת המקרקעין </w:t>
      </w:r>
      <w:r w:rsidR="00E87797">
        <w:rPr>
          <w:rFonts w:hint="cs"/>
          <w:rtl/>
        </w:rPr>
        <w:t xml:space="preserve">בעקבות </w:t>
      </w:r>
      <w:r w:rsidR="0098238E">
        <w:rPr>
          <w:rFonts w:hint="cs"/>
          <w:rtl/>
        </w:rPr>
        <w:t>פעולת התיווך,</w:t>
      </w:r>
      <w:r w:rsidR="005D28AC">
        <w:rPr>
          <w:rFonts w:hint="cs"/>
          <w:rtl/>
        </w:rPr>
        <w:t xml:space="preserve"> המתווך יהיה זכאי ל-0.5% מ</w:t>
      </w:r>
      <w:r w:rsidR="0098238E">
        <w:rPr>
          <w:rFonts w:hint="cs"/>
          <w:rtl/>
        </w:rPr>
        <w:t>ערך הדירה בעסקאות לרכישת דירה או לסכום השווה ל</w:t>
      </w:r>
      <w:r w:rsidR="005E1F12">
        <w:rPr>
          <w:rFonts w:hint="cs"/>
          <w:rtl/>
        </w:rPr>
        <w:t>ד</w:t>
      </w:r>
      <w:r w:rsidR="0098238E">
        <w:rPr>
          <w:rFonts w:hint="cs"/>
          <w:rtl/>
        </w:rPr>
        <w:t xml:space="preserve">מי השכירות </w:t>
      </w:r>
      <w:r w:rsidR="005E1F12">
        <w:rPr>
          <w:rFonts w:hint="cs"/>
          <w:rtl/>
        </w:rPr>
        <w:t xml:space="preserve">לשבוע כפי שהוסכם </w:t>
      </w:r>
      <w:r w:rsidR="0098238E">
        <w:rPr>
          <w:rFonts w:hint="cs"/>
          <w:rtl/>
        </w:rPr>
        <w:t>בעסק</w:t>
      </w:r>
      <w:r w:rsidR="005E1F12">
        <w:rPr>
          <w:rFonts w:hint="cs"/>
          <w:rtl/>
        </w:rPr>
        <w:t>ה</w:t>
      </w:r>
      <w:r w:rsidR="0098238E">
        <w:rPr>
          <w:rFonts w:hint="cs"/>
          <w:rtl/>
        </w:rPr>
        <w:t xml:space="preserve"> </w:t>
      </w:r>
      <w:r w:rsidR="005D28AC">
        <w:rPr>
          <w:rFonts w:hint="cs"/>
          <w:rtl/>
        </w:rPr>
        <w:t>לשכיר</w:t>
      </w:r>
      <w:r w:rsidR="0098238E">
        <w:rPr>
          <w:rFonts w:hint="cs"/>
          <w:rtl/>
        </w:rPr>
        <w:t>ת</w:t>
      </w:r>
      <w:r w:rsidR="005D28AC">
        <w:rPr>
          <w:rFonts w:hint="cs"/>
          <w:rtl/>
        </w:rPr>
        <w:t xml:space="preserve"> דירה</w:t>
      </w:r>
      <w:r w:rsidR="0098238E">
        <w:rPr>
          <w:rFonts w:hint="cs"/>
          <w:rtl/>
        </w:rPr>
        <w:t>.</w:t>
      </w:r>
      <w:r w:rsidR="00E87797">
        <w:rPr>
          <w:rFonts w:hint="cs"/>
          <w:rtl/>
        </w:rPr>
        <w:t xml:space="preserve">  </w:t>
      </w:r>
      <w:r w:rsidR="008A0FE4">
        <w:rPr>
          <w:rFonts w:hint="cs"/>
          <w:rtl/>
        </w:rPr>
        <w:t xml:space="preserve"> </w:t>
      </w:r>
    </w:p>
    <w:p w14:paraId="7F6961CB" w14:textId="77777777" w:rsidR="00E13C27" w:rsidRDefault="00E13C27" w:rsidP="00E13C27">
      <w:pPr>
        <w:pStyle w:val="Hesber"/>
        <w:rPr>
          <w:rtl/>
        </w:rPr>
      </w:pPr>
    </w:p>
    <w:p w14:paraId="2181E435" w14:textId="77777777" w:rsidR="00272D74" w:rsidRDefault="00272D74" w:rsidP="00E13C27">
      <w:pPr>
        <w:pStyle w:val="Hesber"/>
        <w:rPr>
          <w:rtl/>
        </w:rPr>
      </w:pPr>
    </w:p>
    <w:p w14:paraId="2F2B7E1F" w14:textId="77777777" w:rsidR="00272D74" w:rsidRPr="0022704F" w:rsidRDefault="00272D74" w:rsidP="00272D7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32922735" w14:textId="77777777" w:rsidR="00272D74" w:rsidRPr="0022704F" w:rsidRDefault="00272D74" w:rsidP="00272D7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BF6DBB8" w14:textId="77777777" w:rsidR="00272D74" w:rsidRPr="0022704F" w:rsidRDefault="00272D74" w:rsidP="00272D7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857F5EA" w14:textId="77777777" w:rsidR="00272D74" w:rsidRPr="00935520" w:rsidRDefault="00272D74" w:rsidP="00272D74">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י"ט בתמוז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5308FDE6" w14:textId="77777777" w:rsidR="00272D74" w:rsidRDefault="00272D74" w:rsidP="00E13C27">
      <w:pPr>
        <w:pStyle w:val="Hesber"/>
        <w:rPr>
          <w:rtl/>
        </w:rPr>
      </w:pPr>
    </w:p>
    <w:sectPr w:rsidR="00272D74"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660EEB" w14:textId="77777777" w:rsidR="00857819" w:rsidRDefault="00857819">
      <w:r>
        <w:separator/>
      </w:r>
    </w:p>
  </w:endnote>
  <w:endnote w:type="continuationSeparator" w:id="0">
    <w:p w14:paraId="773A4C45" w14:textId="77777777" w:rsidR="00857819" w:rsidRDefault="00857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26F24">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9BFF5" w14:textId="77777777" w:rsidR="00857819" w:rsidRDefault="00857819">
      <w:r>
        <w:separator/>
      </w:r>
    </w:p>
  </w:footnote>
  <w:footnote w:type="continuationSeparator" w:id="0">
    <w:p w14:paraId="17DC9C64" w14:textId="77777777" w:rsidR="00857819" w:rsidRDefault="00857819">
      <w:r>
        <w:continuationSeparator/>
      </w:r>
    </w:p>
  </w:footnote>
  <w:footnote w:type="continuationNotice" w:id="1">
    <w:p w14:paraId="0F29846D" w14:textId="77777777" w:rsidR="00857819" w:rsidRDefault="00857819"/>
  </w:footnote>
  <w:footnote w:id="2">
    <w:p w14:paraId="61F6C4F8" w14:textId="77777777" w:rsidR="00584975" w:rsidRPr="00272D74" w:rsidRDefault="00584975" w:rsidP="00272D74">
      <w:pPr>
        <w:pStyle w:val="a4"/>
      </w:pPr>
      <w:r w:rsidRPr="00272D74">
        <w:rPr>
          <w:rStyle w:val="a6"/>
        </w:rPr>
        <w:footnoteRef/>
      </w:r>
      <w:r w:rsidRPr="00272D74">
        <w:rPr>
          <w:rtl/>
        </w:rPr>
        <w:t xml:space="preserve"> ס"ח התשנ"ו, עמ' 70</w:t>
      </w:r>
      <w:r w:rsidRPr="00272D7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2BBC"/>
    <w:rsid w:val="000A542E"/>
    <w:rsid w:val="001009B7"/>
    <w:rsid w:val="00101BEB"/>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61DC8"/>
    <w:rsid w:val="002728B4"/>
    <w:rsid w:val="00272D74"/>
    <w:rsid w:val="0027600C"/>
    <w:rsid w:val="00292712"/>
    <w:rsid w:val="002A487D"/>
    <w:rsid w:val="002C2E29"/>
    <w:rsid w:val="002D1EE3"/>
    <w:rsid w:val="002D41E9"/>
    <w:rsid w:val="002F1D80"/>
    <w:rsid w:val="00321384"/>
    <w:rsid w:val="003232A2"/>
    <w:rsid w:val="00325C14"/>
    <w:rsid w:val="00341685"/>
    <w:rsid w:val="003710F6"/>
    <w:rsid w:val="00386E88"/>
    <w:rsid w:val="00390DC6"/>
    <w:rsid w:val="00396585"/>
    <w:rsid w:val="003C6C1D"/>
    <w:rsid w:val="003D74A0"/>
    <w:rsid w:val="004033D8"/>
    <w:rsid w:val="004073F0"/>
    <w:rsid w:val="00412A7D"/>
    <w:rsid w:val="00416B4D"/>
    <w:rsid w:val="00417CFC"/>
    <w:rsid w:val="00426F24"/>
    <w:rsid w:val="00453084"/>
    <w:rsid w:val="004B24ED"/>
    <w:rsid w:val="004D2D82"/>
    <w:rsid w:val="004D3876"/>
    <w:rsid w:val="004E2FCB"/>
    <w:rsid w:val="004E4552"/>
    <w:rsid w:val="004E6BE9"/>
    <w:rsid w:val="00510C30"/>
    <w:rsid w:val="0055260B"/>
    <w:rsid w:val="00553C9D"/>
    <w:rsid w:val="00562A66"/>
    <w:rsid w:val="00584975"/>
    <w:rsid w:val="005A4D5C"/>
    <w:rsid w:val="005B064E"/>
    <w:rsid w:val="005B6907"/>
    <w:rsid w:val="005D28AC"/>
    <w:rsid w:val="005D51AE"/>
    <w:rsid w:val="005E1F12"/>
    <w:rsid w:val="005E637E"/>
    <w:rsid w:val="00607709"/>
    <w:rsid w:val="0062674B"/>
    <w:rsid w:val="006363B2"/>
    <w:rsid w:val="00644940"/>
    <w:rsid w:val="006818A9"/>
    <w:rsid w:val="006A2D81"/>
    <w:rsid w:val="006C1D0D"/>
    <w:rsid w:val="0070601E"/>
    <w:rsid w:val="00712C72"/>
    <w:rsid w:val="00735FE9"/>
    <w:rsid w:val="0076383D"/>
    <w:rsid w:val="00763CAA"/>
    <w:rsid w:val="00765F66"/>
    <w:rsid w:val="00770AAF"/>
    <w:rsid w:val="007C3FA6"/>
    <w:rsid w:val="007D585A"/>
    <w:rsid w:val="007D5A12"/>
    <w:rsid w:val="007E4A77"/>
    <w:rsid w:val="007E59F9"/>
    <w:rsid w:val="00810BCD"/>
    <w:rsid w:val="00812C98"/>
    <w:rsid w:val="00814D92"/>
    <w:rsid w:val="008273DC"/>
    <w:rsid w:val="0083181D"/>
    <w:rsid w:val="00857819"/>
    <w:rsid w:val="00874BBC"/>
    <w:rsid w:val="00892135"/>
    <w:rsid w:val="00895449"/>
    <w:rsid w:val="00897879"/>
    <w:rsid w:val="008A0FE4"/>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38E"/>
    <w:rsid w:val="00982412"/>
    <w:rsid w:val="00983A8D"/>
    <w:rsid w:val="00993FE5"/>
    <w:rsid w:val="009A7257"/>
    <w:rsid w:val="009D6E0A"/>
    <w:rsid w:val="00A10B1F"/>
    <w:rsid w:val="00A14672"/>
    <w:rsid w:val="00A26BD6"/>
    <w:rsid w:val="00A443CF"/>
    <w:rsid w:val="00A4606F"/>
    <w:rsid w:val="00A5765C"/>
    <w:rsid w:val="00A601DE"/>
    <w:rsid w:val="00A6611D"/>
    <w:rsid w:val="00A73FB4"/>
    <w:rsid w:val="00A82CB7"/>
    <w:rsid w:val="00AA2F03"/>
    <w:rsid w:val="00AC36F7"/>
    <w:rsid w:val="00AC63A4"/>
    <w:rsid w:val="00AD239E"/>
    <w:rsid w:val="00B00011"/>
    <w:rsid w:val="00B10265"/>
    <w:rsid w:val="00B13B28"/>
    <w:rsid w:val="00B21211"/>
    <w:rsid w:val="00B213FA"/>
    <w:rsid w:val="00B35784"/>
    <w:rsid w:val="00B733A7"/>
    <w:rsid w:val="00B975AD"/>
    <w:rsid w:val="00BB1AF7"/>
    <w:rsid w:val="00BC45FB"/>
    <w:rsid w:val="00BD2D65"/>
    <w:rsid w:val="00BE3072"/>
    <w:rsid w:val="00BF148D"/>
    <w:rsid w:val="00C23B1A"/>
    <w:rsid w:val="00C310EB"/>
    <w:rsid w:val="00C9176A"/>
    <w:rsid w:val="00CC269B"/>
    <w:rsid w:val="00CF1AA2"/>
    <w:rsid w:val="00D44144"/>
    <w:rsid w:val="00D63620"/>
    <w:rsid w:val="00D8410D"/>
    <w:rsid w:val="00D867D7"/>
    <w:rsid w:val="00DA435A"/>
    <w:rsid w:val="00DA7AFE"/>
    <w:rsid w:val="00DB7060"/>
    <w:rsid w:val="00DE3153"/>
    <w:rsid w:val="00DF4B80"/>
    <w:rsid w:val="00E06736"/>
    <w:rsid w:val="00E13C27"/>
    <w:rsid w:val="00E33BBD"/>
    <w:rsid w:val="00E45103"/>
    <w:rsid w:val="00E65A3E"/>
    <w:rsid w:val="00E66482"/>
    <w:rsid w:val="00E665B9"/>
    <w:rsid w:val="00E87797"/>
    <w:rsid w:val="00EA01E6"/>
    <w:rsid w:val="00EA2763"/>
    <w:rsid w:val="00EA3DE8"/>
    <w:rsid w:val="00EA758F"/>
    <w:rsid w:val="00ED4A6F"/>
    <w:rsid w:val="00EE5218"/>
    <w:rsid w:val="00EF3A3A"/>
    <w:rsid w:val="00F04BB7"/>
    <w:rsid w:val="00F3408C"/>
    <w:rsid w:val="00F628D6"/>
    <w:rsid w:val="00F67051"/>
    <w:rsid w:val="00FA5E88"/>
    <w:rsid w:val="00FB0B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272D74"/>
    <w:pPr>
      <w:snapToGrid w:val="0"/>
      <w:spacing w:before="0" w:line="240" w:lineRule="auto"/>
      <w:ind w:left="227" w:hanging="227"/>
      <w:jc w:val="left"/>
    </w:pPr>
    <w:rPr>
      <w:rFonts w:ascii="Arial" w:eastAsia="Arial Unicode MS" w:hAnsi="Arial" w:cs="David"/>
      <w:snapToGrid w:val="0"/>
      <w:spacing w:val="0"/>
      <w:sz w:val="20"/>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272D74"/>
    <w:rPr>
      <w:rFonts w:ascii="Arial" w:eastAsia="Arial Unicode MS" w:hAnsi="Arial" w:cs="David"/>
      <w:snapToGrid w:val="0"/>
      <w:color w:val="000000"/>
      <w:lang w:eastAsia="ja-JP"/>
    </w:rPr>
  </w:style>
  <w:style w:type="character" w:customStyle="1" w:styleId="default">
    <w:name w:val="default"/>
    <w:basedOn w:val="a0"/>
    <w:rsid w:val="002D41E9"/>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272D74"/>
    <w:pPr>
      <w:snapToGrid w:val="0"/>
      <w:spacing w:before="0" w:line="240" w:lineRule="auto"/>
      <w:ind w:left="227" w:hanging="227"/>
      <w:jc w:val="left"/>
    </w:pPr>
    <w:rPr>
      <w:rFonts w:ascii="Arial" w:eastAsia="Arial Unicode MS" w:hAnsi="Arial" w:cs="David"/>
      <w:snapToGrid w:val="0"/>
      <w:spacing w:val="0"/>
      <w:sz w:val="20"/>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272D74"/>
    <w:rPr>
      <w:rFonts w:ascii="Arial" w:eastAsia="Arial Unicode MS" w:hAnsi="Arial" w:cs="David"/>
      <w:snapToGrid w:val="0"/>
      <w:color w:val="000000"/>
      <w:lang w:eastAsia="ja-JP"/>
    </w:rPr>
  </w:style>
  <w:style w:type="character" w:customStyle="1" w:styleId="default">
    <w:name w:val="default"/>
    <w:basedOn w:val="a0"/>
    <w:rsid w:val="002D41E9"/>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34AFC-128A-4854-A8E0-67D840B4F2B9}"/>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EF5CE43F-93CE-4D31-A54D-293FB1C37E11}"/>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2656</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2015-07-05T09:02:00Z</cp:lastPrinted>
  <dcterms:created xsi:type="dcterms:W3CDTF">2016-05-30T08:01:00Z</dcterms:created>
  <dcterms:modified xsi:type="dcterms:W3CDTF">2016-05-30T08:01:00Z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2003056</vt:r8>
  </property>
</Properties>
</file>