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6E1306" w14:textId="77777777" w:rsidR="00361898" w:rsidRPr="0000131B" w:rsidRDefault="00361898" w:rsidP="00361898">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570678</w:t>
      </w:r>
      <w:bookmarkEnd w:id="0"/>
    </w:p>
    <w:p w14:paraId="39DC9D21" w14:textId="77777777" w:rsidR="00361898" w:rsidRPr="00DB7060" w:rsidRDefault="00361898" w:rsidP="00361898">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5F84CD8F" w14:textId="77777777" w:rsidR="00361898" w:rsidRPr="00F67051" w:rsidRDefault="00361898" w:rsidP="00361898">
      <w:pPr>
        <w:rPr>
          <w:rFonts w:cs="David"/>
          <w:b/>
          <w:bCs/>
          <w:sz w:val="26"/>
          <w:szCs w:val="26"/>
          <w:rtl/>
        </w:rPr>
      </w:pPr>
    </w:p>
    <w:p w14:paraId="04CEC73C" w14:textId="77777777" w:rsidR="00361898" w:rsidRDefault="00361898" w:rsidP="00361898">
      <w:pPr>
        <w:pStyle w:val="David"/>
        <w:spacing w:line="360" w:lineRule="auto"/>
        <w:ind w:left="3544"/>
        <w:rPr>
          <w:b/>
          <w:bCs/>
          <w:rtl/>
        </w:rPr>
      </w:pPr>
      <w:bookmarkStart w:id="2" w:name="LGS_Initiators_List"/>
      <w:r>
        <w:rPr>
          <w:b/>
          <w:bCs/>
          <w:rtl/>
        </w:rPr>
        <w:t>יוזמת:</w:t>
      </w:r>
      <w:r>
        <w:tab/>
      </w:r>
      <w:r>
        <w:rPr>
          <w:b/>
          <w:bCs/>
          <w:rtl/>
        </w:rPr>
        <w:t xml:space="preserve">      חברת הכנסת</w:t>
      </w:r>
      <w:bookmarkEnd w:id="2"/>
      <w:r w:rsidRPr="00F67051">
        <w:rPr>
          <w:b/>
          <w:bCs/>
        </w:rPr>
        <w:tab/>
      </w:r>
      <w:bookmarkStart w:id="3" w:name="LGS_PM_Names"/>
      <w:r>
        <w:rPr>
          <w:rFonts w:hint="cs"/>
          <w:b/>
          <w:bCs/>
          <w:rtl/>
        </w:rPr>
        <w:t>ענת ברקו</w:t>
      </w:r>
      <w:bookmarkEnd w:id="3"/>
    </w:p>
    <w:p w14:paraId="0BBE0BF0" w14:textId="77777777" w:rsidR="00361898" w:rsidRPr="00CF1AA2" w:rsidRDefault="00361898" w:rsidP="00361898">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14DCA013" w14:textId="77777777" w:rsidR="00361898" w:rsidRPr="00904591" w:rsidRDefault="00361898" w:rsidP="0036189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6EF5C0FB" w14:textId="77777777" w:rsidR="00361898" w:rsidRPr="00E06736" w:rsidRDefault="00361898" w:rsidP="00361898">
      <w:pPr>
        <w:pStyle w:val="David"/>
        <w:spacing w:before="0" w:line="240" w:lineRule="auto"/>
        <w:ind w:left="3544"/>
        <w:rPr>
          <w:rtl/>
        </w:rPr>
      </w:pPr>
      <w:r>
        <w:t xml:space="preserve">                                             </w:t>
      </w:r>
      <w:bookmarkStart w:id="6" w:name="Private_Number"/>
      <w:r>
        <w:rPr>
          <w:rFonts w:hint="cs"/>
          <w:rtl/>
        </w:rPr>
        <w:t>פ/2207/20</w:t>
      </w:r>
      <w:bookmarkEnd w:id="6"/>
    </w:p>
    <w:p w14:paraId="64F95358" w14:textId="77777777" w:rsidR="00361898" w:rsidRDefault="00361898" w:rsidP="00361898">
      <w:pPr>
        <w:spacing w:before="0" w:line="360" w:lineRule="auto"/>
        <w:ind w:left="2880" w:firstLine="720"/>
        <w:rPr>
          <w:rFonts w:cs="David"/>
          <w:sz w:val="26"/>
          <w:szCs w:val="26"/>
          <w:rtl/>
        </w:rPr>
      </w:pPr>
    </w:p>
    <w:p w14:paraId="4BFF420A" w14:textId="77777777" w:rsidR="00361898" w:rsidRPr="00F67051" w:rsidRDefault="00361898" w:rsidP="00361898">
      <w:pPr>
        <w:pStyle w:val="HeadHatzaotHok"/>
        <w:rPr>
          <w:rtl/>
        </w:rPr>
      </w:pPr>
      <w:bookmarkStart w:id="7" w:name="LGS_Subject"/>
      <w:r>
        <w:rPr>
          <w:rFonts w:hint="cs"/>
          <w:rtl/>
        </w:rPr>
        <w:t>הצעת חוק הנוער (שפיטה, ענישה ודרכי טיפול) (תיקון – קטין שביצע מעשה טרור), התשע"ו–2015</w:t>
      </w:r>
      <w:bookmarkEnd w:id="7"/>
    </w:p>
    <w:p w14:paraId="1A956921" w14:textId="77777777" w:rsidR="00361898" w:rsidRDefault="00361898" w:rsidP="00361898">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361898" w14:paraId="680C04DD" w14:textId="77777777" w:rsidTr="0051506B">
        <w:trPr>
          <w:cantSplit/>
        </w:trPr>
        <w:tc>
          <w:tcPr>
            <w:tcW w:w="1871" w:type="dxa"/>
          </w:tcPr>
          <w:p w14:paraId="70EED540" w14:textId="77777777" w:rsidR="00361898" w:rsidRPr="0051506B" w:rsidRDefault="00361898" w:rsidP="0051506B">
            <w:pPr>
              <w:pStyle w:val="TableSideHeading"/>
              <w:ind w:right="0"/>
            </w:pPr>
            <w:r w:rsidRPr="00B40D08">
              <w:rPr>
                <w:rFonts w:hint="cs"/>
                <w:rtl/>
              </w:rPr>
              <w:t xml:space="preserve">תיקון סעיף </w:t>
            </w:r>
            <w:r w:rsidRPr="0051506B">
              <w:rPr>
                <w:rFonts w:hint="cs"/>
                <w:rtl/>
              </w:rPr>
              <w:t>25</w:t>
            </w:r>
          </w:p>
        </w:tc>
        <w:tc>
          <w:tcPr>
            <w:tcW w:w="624" w:type="dxa"/>
          </w:tcPr>
          <w:p w14:paraId="1577F648" w14:textId="77777777" w:rsidR="00361898" w:rsidRPr="0051506B" w:rsidRDefault="00361898" w:rsidP="0051506B">
            <w:pPr>
              <w:pStyle w:val="TableText"/>
              <w:ind w:right="0"/>
              <w:jc w:val="both"/>
            </w:pPr>
            <w:r w:rsidRPr="0051506B">
              <w:rPr>
                <w:rFonts w:hint="cs"/>
                <w:rtl/>
              </w:rPr>
              <w:t xml:space="preserve">1. </w:t>
            </w:r>
          </w:p>
        </w:tc>
        <w:tc>
          <w:tcPr>
            <w:tcW w:w="7143" w:type="dxa"/>
          </w:tcPr>
          <w:p w14:paraId="362FEFB7" w14:textId="77777777" w:rsidR="00361898" w:rsidRPr="007276ED" w:rsidRDefault="00361898" w:rsidP="0051506B">
            <w:pPr>
              <w:pStyle w:val="TableBlock"/>
            </w:pPr>
            <w:r w:rsidRPr="007276ED">
              <w:rPr>
                <w:rtl/>
              </w:rPr>
              <w:t xml:space="preserve">בחוק </w:t>
            </w:r>
            <w:r w:rsidRPr="007276ED">
              <w:rPr>
                <w:rFonts w:hint="cs"/>
                <w:rtl/>
              </w:rPr>
              <w:t>הנוער (שפיטה, ענישה ודרכי טיפול)</w:t>
            </w:r>
            <w:r w:rsidRPr="007276ED">
              <w:rPr>
                <w:rtl/>
              </w:rPr>
              <w:t>, התשל"</w:t>
            </w:r>
            <w:r w:rsidRPr="007276ED">
              <w:rPr>
                <w:rFonts w:hint="cs"/>
                <w:rtl/>
              </w:rPr>
              <w:t>א</w:t>
            </w:r>
            <w:r w:rsidRPr="007276ED">
              <w:rPr>
                <w:rtl/>
              </w:rPr>
              <w:t>–197</w:t>
            </w:r>
            <w:r w:rsidRPr="007276ED">
              <w:rPr>
                <w:rFonts w:hint="cs"/>
                <w:rtl/>
              </w:rPr>
              <w:t>1</w:t>
            </w:r>
            <w:r w:rsidRPr="007276ED">
              <w:rPr>
                <w:rStyle w:val="a6"/>
                <w:rtl/>
              </w:rPr>
              <w:footnoteReference w:id="2"/>
            </w:r>
            <w:r w:rsidRPr="007276ED">
              <w:rPr>
                <w:rFonts w:hint="cs"/>
                <w:rtl/>
              </w:rPr>
              <w:t xml:space="preserve">, </w:t>
            </w:r>
            <w:r>
              <w:rPr>
                <w:rFonts w:hint="cs"/>
                <w:rtl/>
              </w:rPr>
              <w:t xml:space="preserve">בסעיף 25, </w:t>
            </w:r>
            <w:r w:rsidRPr="007276ED">
              <w:rPr>
                <w:rFonts w:hint="cs"/>
                <w:rtl/>
              </w:rPr>
              <w:t>אחרי סעיף</w:t>
            </w:r>
            <w:r>
              <w:rPr>
                <w:rFonts w:hint="cs"/>
                <w:rtl/>
              </w:rPr>
              <w:t xml:space="preserve"> קטן</w:t>
            </w:r>
            <w:r w:rsidRPr="007276ED">
              <w:rPr>
                <w:rFonts w:hint="cs"/>
                <w:rtl/>
              </w:rPr>
              <w:t xml:space="preserve"> (</w:t>
            </w:r>
            <w:r>
              <w:rPr>
                <w:rFonts w:hint="cs"/>
                <w:rtl/>
              </w:rPr>
              <w:t>ה</w:t>
            </w:r>
            <w:r w:rsidRPr="007276ED">
              <w:rPr>
                <w:rFonts w:hint="cs"/>
                <w:rtl/>
              </w:rPr>
              <w:t xml:space="preserve">) יבוא: </w:t>
            </w:r>
          </w:p>
        </w:tc>
      </w:tr>
      <w:tr w:rsidR="00361898" w14:paraId="621F4CE8" w14:textId="77777777" w:rsidTr="0051506B">
        <w:trPr>
          <w:cantSplit/>
        </w:trPr>
        <w:tc>
          <w:tcPr>
            <w:tcW w:w="1871" w:type="dxa"/>
          </w:tcPr>
          <w:p w14:paraId="302373C5" w14:textId="77777777" w:rsidR="00361898" w:rsidRDefault="00361898" w:rsidP="0051506B">
            <w:pPr>
              <w:pStyle w:val="TableSideHeading"/>
              <w:keepLines w:val="0"/>
              <w:rPr>
                <w:rtl/>
              </w:rPr>
            </w:pPr>
          </w:p>
        </w:tc>
        <w:tc>
          <w:tcPr>
            <w:tcW w:w="624" w:type="dxa"/>
          </w:tcPr>
          <w:p w14:paraId="5B1D0C1B" w14:textId="77777777" w:rsidR="00361898" w:rsidRDefault="00361898" w:rsidP="0051506B">
            <w:pPr>
              <w:pStyle w:val="TableText"/>
              <w:keepLines w:val="0"/>
              <w:rPr>
                <w:rtl/>
              </w:rPr>
            </w:pPr>
          </w:p>
        </w:tc>
        <w:tc>
          <w:tcPr>
            <w:tcW w:w="7143" w:type="dxa"/>
          </w:tcPr>
          <w:p w14:paraId="046642DA" w14:textId="76505FD9" w:rsidR="00361898" w:rsidRPr="00C92FE8" w:rsidRDefault="00361898" w:rsidP="00B964FD">
            <w:pPr>
              <w:pStyle w:val="TableBlock"/>
              <w:rPr>
                <w:rtl/>
              </w:rPr>
            </w:pPr>
            <w:r>
              <w:rPr>
                <w:rFonts w:hint="cs"/>
                <w:rtl/>
              </w:rPr>
              <w:t>"(ו)</w:t>
            </w:r>
            <w:r>
              <w:rPr>
                <w:rtl/>
              </w:rPr>
              <w:tab/>
            </w:r>
            <w:r>
              <w:rPr>
                <w:rFonts w:hint="cs"/>
                <w:rtl/>
              </w:rPr>
              <w:t xml:space="preserve">האמור בסעיף קטן </w:t>
            </w:r>
            <w:r w:rsidRPr="00BA05CC">
              <w:rPr>
                <w:rFonts w:hint="cs"/>
                <w:rtl/>
              </w:rPr>
              <w:t>(ד) לא יחול על קטין שהורשע בעבירה שהיא מעשה טרור</w:t>
            </w:r>
            <w:r>
              <w:rPr>
                <w:rFonts w:hint="cs"/>
                <w:rtl/>
              </w:rPr>
              <w:t>,</w:t>
            </w:r>
            <w:r w:rsidRPr="00BA05CC">
              <w:rPr>
                <w:rFonts w:hint="cs"/>
                <w:rtl/>
              </w:rPr>
              <w:t xml:space="preserve"> כהגדרתו בחוק איסור מימון טרור התשס"ה</w:t>
            </w:r>
            <w:r>
              <w:rPr>
                <w:rtl/>
              </w:rPr>
              <w:t>–</w:t>
            </w:r>
            <w:r w:rsidRPr="00BA05CC">
              <w:rPr>
                <w:rFonts w:hint="cs"/>
                <w:rtl/>
              </w:rPr>
              <w:t>2005</w:t>
            </w:r>
            <w:r>
              <w:rPr>
                <w:rStyle w:val="a6"/>
                <w:rtl/>
              </w:rPr>
              <w:footnoteReference w:id="3"/>
            </w:r>
            <w:r w:rsidRPr="00BA05CC">
              <w:rPr>
                <w:rFonts w:hint="cs"/>
                <w:rtl/>
              </w:rPr>
              <w:t>,</w:t>
            </w:r>
            <w:r>
              <w:rPr>
                <w:rFonts w:hint="cs"/>
                <w:rtl/>
              </w:rPr>
              <w:t xml:space="preserve"> </w:t>
            </w:r>
            <w:r w:rsidRPr="00BA05CC">
              <w:rPr>
                <w:rFonts w:hint="cs"/>
                <w:rtl/>
              </w:rPr>
              <w:t>ואולם קטין כאמור ירצה את עונש המאסר שנגזר עליו במעון נעול עד הגיעו לגיל 14</w:t>
            </w:r>
            <w:r>
              <w:rPr>
                <w:rFonts w:hint="cs"/>
                <w:rtl/>
              </w:rPr>
              <w:t>."</w:t>
            </w:r>
          </w:p>
        </w:tc>
      </w:tr>
    </w:tbl>
    <w:p w14:paraId="65D64475" w14:textId="77777777" w:rsidR="00361898" w:rsidRDefault="00361898" w:rsidP="00361898">
      <w:pPr>
        <w:pStyle w:val="HeadDivreiHesber"/>
        <w:rPr>
          <w:rtl/>
        </w:rPr>
      </w:pPr>
      <w:r w:rsidRPr="0027450A">
        <w:rPr>
          <w:rFonts w:hint="cs"/>
          <w:rtl/>
        </w:rPr>
        <w:t>דברי הסבר</w:t>
      </w:r>
    </w:p>
    <w:p w14:paraId="680D3716" w14:textId="77777777" w:rsidR="00361898" w:rsidRPr="007276ED" w:rsidRDefault="00361898" w:rsidP="00361898">
      <w:pPr>
        <w:pStyle w:val="Hesber"/>
        <w:rPr>
          <w:rtl/>
        </w:rPr>
      </w:pPr>
      <w:r w:rsidRPr="007276ED">
        <w:rPr>
          <w:rFonts w:hint="cs"/>
          <w:rtl/>
        </w:rPr>
        <w:t xml:space="preserve">החומרה שאנו מייחסים לטרור ולמעשי הטרור הגורמים לנפגעים בנפש וברכוש, והעובדה כי מעשי טרור אלה מתבצעים גם על ידי קטינים, מחייבות התייחסות מחמירה גם לקטינים שהורשעו בעבירות, קל וחומר בעבירות חמורות. זאת </w:t>
      </w:r>
      <w:r>
        <w:rPr>
          <w:rFonts w:hint="cs"/>
          <w:rtl/>
        </w:rPr>
        <w:t>כדי</w:t>
      </w:r>
      <w:r w:rsidRPr="007276ED">
        <w:rPr>
          <w:rFonts w:hint="cs"/>
          <w:rtl/>
        </w:rPr>
        <w:t xml:space="preserve"> שלא יוכלו ליהנות מזכויות הניתנות לקטין שעבר עבירה על רקע פלילי.</w:t>
      </w:r>
    </w:p>
    <w:p w14:paraId="5E072720" w14:textId="77777777" w:rsidR="00361898" w:rsidRPr="007276ED" w:rsidRDefault="00361898" w:rsidP="00361898">
      <w:pPr>
        <w:pStyle w:val="Hesber"/>
        <w:rPr>
          <w:rtl/>
        </w:rPr>
      </w:pPr>
      <w:r w:rsidRPr="007276ED">
        <w:rPr>
          <w:rFonts w:hint="cs"/>
          <w:rtl/>
        </w:rPr>
        <w:t>כיום קובע חוק הנוער (שפיטה, ענישה ודרכי טיפול)</w:t>
      </w:r>
      <w:r>
        <w:rPr>
          <w:rFonts w:hint="cs"/>
          <w:rtl/>
        </w:rPr>
        <w:t>, התשל"א</w:t>
      </w:r>
      <w:r>
        <w:rPr>
          <w:rtl/>
        </w:rPr>
        <w:t>–</w:t>
      </w:r>
      <w:r>
        <w:rPr>
          <w:rFonts w:hint="cs"/>
          <w:rtl/>
        </w:rPr>
        <w:t>1971,</w:t>
      </w:r>
      <w:r w:rsidRPr="007276ED">
        <w:rPr>
          <w:rtl/>
        </w:rPr>
        <w:t xml:space="preserve"> </w:t>
      </w:r>
      <w:r w:rsidRPr="007276ED">
        <w:rPr>
          <w:rFonts w:hint="cs"/>
          <w:rtl/>
        </w:rPr>
        <w:t>בסעיף 25</w:t>
      </w:r>
      <w:r>
        <w:rPr>
          <w:rFonts w:hint="cs"/>
          <w:rtl/>
        </w:rPr>
        <w:t>(ד)</w:t>
      </w:r>
      <w:r w:rsidRPr="007276ED">
        <w:rPr>
          <w:rFonts w:hint="cs"/>
          <w:rtl/>
        </w:rPr>
        <w:t xml:space="preserve"> כי "</w:t>
      </w:r>
      <w:r w:rsidRPr="007276ED">
        <w:rPr>
          <w:rtl/>
        </w:rPr>
        <w:t>קטין שבשעת גזירת דינו טרם מלאו לו ארבע עשרה שנה, לא יוטל עליו מאסר</w:t>
      </w:r>
      <w:r w:rsidRPr="007276ED">
        <w:t>.</w:t>
      </w:r>
      <w:r w:rsidRPr="007276ED">
        <w:rPr>
          <w:rFonts w:hint="cs"/>
          <w:rtl/>
        </w:rPr>
        <w:t>"</w:t>
      </w:r>
    </w:p>
    <w:p w14:paraId="5374D230" w14:textId="4EDCA0B1" w:rsidR="00361898" w:rsidRPr="007276ED" w:rsidRDefault="00361898" w:rsidP="00C24F9C">
      <w:pPr>
        <w:pStyle w:val="Hesber"/>
      </w:pPr>
      <w:r w:rsidRPr="007276ED">
        <w:rPr>
          <w:rFonts w:hint="cs"/>
          <w:rtl/>
        </w:rPr>
        <w:t xml:space="preserve">בהצעת החוק מוצע להחריג כלל זה ולקבוע כי לא יחול על מי שהרקע למעשה העבירה הוא לאומני, כלומר, טרוריסטי. עם זאת, נקבע בחוק שהקטין שהורשע וקיבל עונש מאסר ירצה אותו עד הגיעו לגיל 14 במעון נעול. </w:t>
      </w:r>
    </w:p>
    <w:p w14:paraId="43B053EE" w14:textId="77777777" w:rsidR="00361898" w:rsidRDefault="00361898" w:rsidP="00361898">
      <w:pPr>
        <w:pStyle w:val="Hesber1st"/>
        <w:tabs>
          <w:tab w:val="clear" w:pos="680"/>
        </w:tabs>
        <w:ind w:firstLine="340"/>
        <w:rPr>
          <w:rtl/>
        </w:rPr>
      </w:pPr>
    </w:p>
    <w:p w14:paraId="62B528B7" w14:textId="77777777" w:rsidR="00C24F9C" w:rsidRPr="0022704F" w:rsidRDefault="00C24F9C" w:rsidP="00C24F9C">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5AE7DAC2" w14:textId="77777777" w:rsidR="00C24F9C" w:rsidRPr="0022704F" w:rsidRDefault="00C24F9C" w:rsidP="00C24F9C">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0BC01BFF" w14:textId="77777777" w:rsidR="00C24F9C" w:rsidRPr="0022704F" w:rsidRDefault="00C24F9C" w:rsidP="00C24F9C">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63FEBF1B" w14:textId="77777777" w:rsidR="00C24F9C" w:rsidRPr="00935520" w:rsidRDefault="00C24F9C" w:rsidP="00C24F9C">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כ"ז בחשוון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9</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F6961CB" w14:textId="5F6E5010" w:rsidR="00E13C27" w:rsidRPr="00C24F9C" w:rsidRDefault="00E13C27" w:rsidP="00361898">
      <w:pPr>
        <w:rPr>
          <w:rtl/>
        </w:rPr>
      </w:pPr>
      <w:bookmarkStart w:id="8" w:name="_GoBack"/>
      <w:bookmarkEnd w:id="8"/>
    </w:p>
    <w:sectPr w:rsidR="00E13C27" w:rsidRPr="00C24F9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84CE3">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E9098CB" w14:textId="77777777" w:rsidR="00361898" w:rsidRDefault="00361898" w:rsidP="00361898">
      <w:pPr>
        <w:pStyle w:val="a4"/>
        <w:rPr>
          <w:rtl/>
        </w:rPr>
      </w:pPr>
      <w:r>
        <w:rPr>
          <w:rStyle w:val="a6"/>
        </w:rPr>
        <w:footnoteRef/>
      </w:r>
      <w:r>
        <w:rPr>
          <w:rtl/>
        </w:rPr>
        <w:t xml:space="preserve"> ס"ח התשל"</w:t>
      </w:r>
      <w:r>
        <w:rPr>
          <w:rFonts w:hint="cs"/>
          <w:rtl/>
        </w:rPr>
        <w:t>א</w:t>
      </w:r>
      <w:r>
        <w:rPr>
          <w:rtl/>
        </w:rPr>
        <w:t xml:space="preserve">, עמ' </w:t>
      </w:r>
      <w:r>
        <w:rPr>
          <w:rFonts w:hint="cs"/>
          <w:rtl/>
        </w:rPr>
        <w:t>134</w:t>
      </w:r>
      <w:r>
        <w:rPr>
          <w:rtl/>
        </w:rPr>
        <w:t>.</w:t>
      </w:r>
    </w:p>
  </w:footnote>
  <w:footnote w:id="3">
    <w:p w14:paraId="6C427A96" w14:textId="77777777" w:rsidR="00361898" w:rsidRDefault="00361898" w:rsidP="00361898">
      <w:pPr>
        <w:pStyle w:val="a4"/>
        <w:rPr>
          <w:rtl/>
        </w:rPr>
      </w:pPr>
      <w:r>
        <w:rPr>
          <w:rStyle w:val="a6"/>
        </w:rPr>
        <w:footnoteRef/>
      </w:r>
      <w:r>
        <w:rPr>
          <w:rtl/>
        </w:rPr>
        <w:t xml:space="preserve"> </w:t>
      </w:r>
      <w:r>
        <w:rPr>
          <w:rFonts w:hint="cs"/>
          <w:rtl/>
        </w:rPr>
        <w:t>ס"ח התשס"ה, עמ' 76.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859C5"/>
    <w:rsid w:val="000A542E"/>
    <w:rsid w:val="00102B6B"/>
    <w:rsid w:val="001052D4"/>
    <w:rsid w:val="0010644B"/>
    <w:rsid w:val="001207F8"/>
    <w:rsid w:val="00121924"/>
    <w:rsid w:val="001279A8"/>
    <w:rsid w:val="0014195F"/>
    <w:rsid w:val="00152609"/>
    <w:rsid w:val="00153E1B"/>
    <w:rsid w:val="001A0623"/>
    <w:rsid w:val="001C23B0"/>
    <w:rsid w:val="001D13AC"/>
    <w:rsid w:val="001D7AAF"/>
    <w:rsid w:val="00203A7F"/>
    <w:rsid w:val="0021633A"/>
    <w:rsid w:val="002200A1"/>
    <w:rsid w:val="002362BF"/>
    <w:rsid w:val="00241B97"/>
    <w:rsid w:val="002425D1"/>
    <w:rsid w:val="00246756"/>
    <w:rsid w:val="00251E58"/>
    <w:rsid w:val="00254605"/>
    <w:rsid w:val="00262520"/>
    <w:rsid w:val="00266D86"/>
    <w:rsid w:val="002728B4"/>
    <w:rsid w:val="0027600C"/>
    <w:rsid w:val="00292712"/>
    <w:rsid w:val="002A487D"/>
    <w:rsid w:val="002C2E29"/>
    <w:rsid w:val="002C3041"/>
    <w:rsid w:val="002D1EE3"/>
    <w:rsid w:val="002F1D80"/>
    <w:rsid w:val="003232A2"/>
    <w:rsid w:val="00325C14"/>
    <w:rsid w:val="003572EF"/>
    <w:rsid w:val="00361898"/>
    <w:rsid w:val="003636E1"/>
    <w:rsid w:val="0036422C"/>
    <w:rsid w:val="003710F6"/>
    <w:rsid w:val="00386E88"/>
    <w:rsid w:val="00396585"/>
    <w:rsid w:val="003D6E38"/>
    <w:rsid w:val="003D74A0"/>
    <w:rsid w:val="004033D8"/>
    <w:rsid w:val="004073F0"/>
    <w:rsid w:val="004114E4"/>
    <w:rsid w:val="00412A7D"/>
    <w:rsid w:val="00416B4D"/>
    <w:rsid w:val="00417CFC"/>
    <w:rsid w:val="00423671"/>
    <w:rsid w:val="00495523"/>
    <w:rsid w:val="004A06DC"/>
    <w:rsid w:val="004B24ED"/>
    <w:rsid w:val="004B6625"/>
    <w:rsid w:val="004D2D82"/>
    <w:rsid w:val="004D3876"/>
    <w:rsid w:val="004E4552"/>
    <w:rsid w:val="004E6CDF"/>
    <w:rsid w:val="00553C9D"/>
    <w:rsid w:val="00562A66"/>
    <w:rsid w:val="00567906"/>
    <w:rsid w:val="00584CE3"/>
    <w:rsid w:val="005B064E"/>
    <w:rsid w:val="005D51AE"/>
    <w:rsid w:val="005F10F8"/>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85D80"/>
    <w:rsid w:val="00892135"/>
    <w:rsid w:val="00895449"/>
    <w:rsid w:val="00897879"/>
    <w:rsid w:val="008A6870"/>
    <w:rsid w:val="008C2DDC"/>
    <w:rsid w:val="008C538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36FC"/>
    <w:rsid w:val="009A7257"/>
    <w:rsid w:val="009D6E0A"/>
    <w:rsid w:val="009E1E33"/>
    <w:rsid w:val="00A14672"/>
    <w:rsid w:val="00A26BD6"/>
    <w:rsid w:val="00A443CF"/>
    <w:rsid w:val="00A6611D"/>
    <w:rsid w:val="00A7594D"/>
    <w:rsid w:val="00A82CB7"/>
    <w:rsid w:val="00A942C1"/>
    <w:rsid w:val="00AA2F03"/>
    <w:rsid w:val="00AC36F7"/>
    <w:rsid w:val="00AC63A4"/>
    <w:rsid w:val="00AD239E"/>
    <w:rsid w:val="00B10265"/>
    <w:rsid w:val="00B16A99"/>
    <w:rsid w:val="00B21211"/>
    <w:rsid w:val="00B35784"/>
    <w:rsid w:val="00B65D4E"/>
    <w:rsid w:val="00B733A7"/>
    <w:rsid w:val="00B75C91"/>
    <w:rsid w:val="00B964FD"/>
    <w:rsid w:val="00B975AD"/>
    <w:rsid w:val="00BA05CC"/>
    <w:rsid w:val="00BA6447"/>
    <w:rsid w:val="00BC45FB"/>
    <w:rsid w:val="00BF148D"/>
    <w:rsid w:val="00C23B1A"/>
    <w:rsid w:val="00C24F9C"/>
    <w:rsid w:val="00C310EB"/>
    <w:rsid w:val="00C9138C"/>
    <w:rsid w:val="00C9176A"/>
    <w:rsid w:val="00CF1AA2"/>
    <w:rsid w:val="00D05476"/>
    <w:rsid w:val="00D17774"/>
    <w:rsid w:val="00D63620"/>
    <w:rsid w:val="00D8410D"/>
    <w:rsid w:val="00D867D7"/>
    <w:rsid w:val="00DB7060"/>
    <w:rsid w:val="00DE3153"/>
    <w:rsid w:val="00E06736"/>
    <w:rsid w:val="00E13C27"/>
    <w:rsid w:val="00E22774"/>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DFD4E02-C70B-481D-8616-3DC53C7D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C538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84707-CE0A-4B02-9971-60A9E270A30B}"/>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E5728B32-EF57-423B-8C51-82956B11D386}"/>
</file>

<file path=docProps/app.xml><?xml version="1.0" encoding="utf-8"?>
<Properties xmlns="http://schemas.openxmlformats.org/officeDocument/2006/extended-properties" xmlns:vt="http://schemas.openxmlformats.org/officeDocument/2006/docPropsVTypes">
  <Template>Normal</Template>
  <TotalTime>58</TotalTime>
  <Pages>1</Pages>
  <Words>218</Words>
  <Characters>1090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15</cp:revision>
  <cp:lastPrinted>2015-11-05T10:42:00Z</cp:lastPrinted>
  <dcterms:created xsi:type="dcterms:W3CDTF">2015-04-20T09:58:00Z</dcterms:created>
  <dcterms:modified xsi:type="dcterms:W3CDTF">2015-11-05T10:45:00Z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2002984</vt:r8>
  </property>
</Properties>
</file>