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577369</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41B2B328" w:rsidR="00E13C27" w:rsidRPr="00CF1AA2" w:rsidRDefault="008F6665" w:rsidP="00550CDA">
      <w:pPr>
        <w:pStyle w:val="David"/>
        <w:spacing w:line="360" w:lineRule="auto"/>
        <w:ind w:left="3544"/>
        <w:rPr>
          <w:b/>
          <w:bCs/>
          <w:sz w:val="16"/>
          <w:szCs w:val="16"/>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תמר זנדברג</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פ/2726/20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Default="00A443CF" w:rsidP="0021633A">
      <w:pPr>
        <w:pStyle w:val="HeadHatzaotHok"/>
        <w:rPr>
          <w:rtl/>
        </w:rPr>
      </w:pPr>
      <w:bookmarkStart w:id="8" w:name="LGS_Subject"/>
      <w:r>
        <w:rPr>
          <w:rFonts w:hint="cs"/>
          <w:rtl/>
        </w:rPr>
        <w:t xml:space="preserve">הצעת חוק לידה בבית (תיקוני חקיקה), </w:t>
      </w:r>
      <w:proofErr w:type="spellStart"/>
      <w:r>
        <w:rPr>
          <w:rFonts w:hint="cs"/>
          <w:rtl/>
        </w:rPr>
        <w:t>התשע"ו</w:t>
      </w:r>
      <w:proofErr w:type="spellEnd"/>
      <w:r>
        <w:rPr>
          <w:rFonts w:hint="cs"/>
          <w:rtl/>
        </w:rPr>
        <w:t>–2016</w:t>
      </w:r>
      <w:bookmarkEnd w:id="8"/>
    </w:p>
    <w:p w14:paraId="40A5EBC1" w14:textId="77777777" w:rsidR="001B1EE0" w:rsidRPr="00F67051" w:rsidRDefault="001B1EE0" w:rsidP="0021633A">
      <w:pPr>
        <w:pStyle w:val="HeadHatzaotHok"/>
        <w:rPr>
          <w:rtl/>
        </w:rPr>
      </w:pPr>
    </w:p>
    <w:tbl>
      <w:tblPr>
        <w:bidiVisual/>
        <w:tblW w:w="9641" w:type="dxa"/>
        <w:tblInd w:w="6" w:type="dxa"/>
        <w:tblCellMar>
          <w:top w:w="57" w:type="dxa"/>
          <w:left w:w="0" w:type="dxa"/>
          <w:bottom w:w="57" w:type="dxa"/>
          <w:right w:w="0" w:type="dxa"/>
        </w:tblCellMar>
        <w:tblLook w:val="0000" w:firstRow="0" w:lastRow="0" w:firstColumn="0" w:lastColumn="0" w:noHBand="0" w:noVBand="0"/>
      </w:tblPr>
      <w:tblGrid>
        <w:gridCol w:w="1875"/>
        <w:gridCol w:w="629"/>
        <w:gridCol w:w="625"/>
        <w:gridCol w:w="624"/>
        <w:gridCol w:w="623"/>
        <w:gridCol w:w="624"/>
        <w:gridCol w:w="4641"/>
      </w:tblGrid>
      <w:tr w:rsidR="00F57CB5" w14:paraId="616B38FD" w14:textId="77777777" w:rsidTr="00D20EAD">
        <w:trPr>
          <w:cantSplit/>
        </w:trPr>
        <w:tc>
          <w:tcPr>
            <w:tcW w:w="1875" w:type="dxa"/>
            <w:tcBorders>
              <w:top w:val="nil"/>
              <w:left w:val="nil"/>
              <w:bottom w:val="nil"/>
              <w:right w:val="nil"/>
            </w:tcBorders>
          </w:tcPr>
          <w:p w14:paraId="7CC4CC63" w14:textId="77777777" w:rsidR="00F57CB5" w:rsidRDefault="00F57CB5" w:rsidP="001C1532">
            <w:pPr>
              <w:pStyle w:val="TableSideHeading"/>
              <w:keepLines w:val="0"/>
            </w:pPr>
            <w:r>
              <w:rPr>
                <w:sz w:val="26"/>
                <w:rtl/>
              </w:rPr>
              <w:t>תיקון חוק הביטוח הלאומי</w:t>
            </w:r>
          </w:p>
        </w:tc>
        <w:tc>
          <w:tcPr>
            <w:tcW w:w="629" w:type="dxa"/>
            <w:tcBorders>
              <w:top w:val="nil"/>
              <w:left w:val="nil"/>
              <w:bottom w:val="nil"/>
              <w:right w:val="nil"/>
            </w:tcBorders>
          </w:tcPr>
          <w:p w14:paraId="24E1E4E8" w14:textId="77777777" w:rsidR="00F57CB5" w:rsidRDefault="00F57CB5" w:rsidP="001C1532">
            <w:pPr>
              <w:pStyle w:val="TableText"/>
              <w:keepLines w:val="0"/>
              <w:numPr>
                <w:ilvl w:val="0"/>
                <w:numId w:val="12"/>
              </w:numPr>
            </w:pPr>
          </w:p>
        </w:tc>
        <w:tc>
          <w:tcPr>
            <w:tcW w:w="7137" w:type="dxa"/>
            <w:gridSpan w:val="5"/>
            <w:tcBorders>
              <w:top w:val="nil"/>
              <w:left w:val="nil"/>
              <w:bottom w:val="nil"/>
              <w:right w:val="nil"/>
            </w:tcBorders>
          </w:tcPr>
          <w:p w14:paraId="09176430" w14:textId="7351DA30" w:rsidR="00F57CB5" w:rsidRDefault="00F57CB5" w:rsidP="00954D6F">
            <w:pPr>
              <w:pStyle w:val="TableBlock"/>
              <w:rPr>
                <w:sz w:val="26"/>
                <w:rtl/>
              </w:rPr>
            </w:pPr>
            <w:r>
              <w:rPr>
                <w:sz w:val="26"/>
                <w:rtl/>
              </w:rPr>
              <w:t xml:space="preserve">בחוק הביטוח הלאומי [נוסח משולב], </w:t>
            </w:r>
            <w:proofErr w:type="spellStart"/>
            <w:r>
              <w:rPr>
                <w:sz w:val="26"/>
                <w:rtl/>
              </w:rPr>
              <w:t>התשנ"ה</w:t>
            </w:r>
            <w:proofErr w:type="spellEnd"/>
            <w:r>
              <w:rPr>
                <w:sz w:val="26"/>
                <w:rtl/>
              </w:rPr>
              <w:t>–1995</w:t>
            </w:r>
            <w:r>
              <w:rPr>
                <w:rStyle w:val="a6"/>
                <w:sz w:val="26"/>
                <w:rtl/>
              </w:rPr>
              <w:footnoteReference w:id="2"/>
            </w:r>
            <w:r w:rsidR="00954D6F">
              <w:rPr>
                <w:rFonts w:hint="cs"/>
                <w:sz w:val="26"/>
                <w:rtl/>
              </w:rPr>
              <w:t xml:space="preserve">, בסעיף 42 </w:t>
            </w:r>
            <w:r w:rsidR="00954D6F">
              <w:rPr>
                <w:rFonts w:hint="eastAsia"/>
                <w:sz w:val="26"/>
                <w:rtl/>
              </w:rPr>
              <w:t xml:space="preserve">– </w:t>
            </w:r>
          </w:p>
        </w:tc>
      </w:tr>
      <w:tr w:rsidR="00D20EAD" w14:paraId="61641EAC" w14:textId="77777777" w:rsidTr="00D20EAD">
        <w:tblPrEx>
          <w:tblLook w:val="01E0" w:firstRow="1" w:lastRow="1" w:firstColumn="1" w:lastColumn="1" w:noHBand="0" w:noVBand="0"/>
        </w:tblPrEx>
        <w:trPr>
          <w:cantSplit/>
          <w:trHeight w:val="60"/>
        </w:trPr>
        <w:tc>
          <w:tcPr>
            <w:tcW w:w="1875" w:type="dxa"/>
          </w:tcPr>
          <w:p w14:paraId="12552602" w14:textId="77777777" w:rsidR="00D20EAD" w:rsidRDefault="00D20EAD">
            <w:pPr>
              <w:pStyle w:val="TableSideHeading"/>
            </w:pPr>
          </w:p>
        </w:tc>
        <w:tc>
          <w:tcPr>
            <w:tcW w:w="629" w:type="dxa"/>
          </w:tcPr>
          <w:p w14:paraId="679FD88A" w14:textId="77777777" w:rsidR="00D20EAD" w:rsidRDefault="00D20EAD">
            <w:pPr>
              <w:pStyle w:val="TableText"/>
            </w:pPr>
          </w:p>
        </w:tc>
        <w:tc>
          <w:tcPr>
            <w:tcW w:w="7137" w:type="dxa"/>
            <w:gridSpan w:val="5"/>
          </w:tcPr>
          <w:p w14:paraId="7C4AEC9C" w14:textId="63B90312" w:rsidR="00D20EAD" w:rsidRDefault="00D20EAD" w:rsidP="00954D6F">
            <w:pPr>
              <w:pStyle w:val="TableBlock"/>
            </w:pPr>
            <w:r>
              <w:rPr>
                <w:rFonts w:hint="cs"/>
                <w:sz w:val="26"/>
                <w:rtl/>
              </w:rPr>
              <w:t>(1)</w:t>
            </w:r>
            <w:r>
              <w:rPr>
                <w:sz w:val="26"/>
                <w:rtl/>
              </w:rPr>
              <w:tab/>
            </w:r>
            <w:r>
              <w:rPr>
                <w:rFonts w:hint="cs"/>
                <w:sz w:val="26"/>
                <w:rtl/>
              </w:rPr>
              <w:t xml:space="preserve">בסעיף קטן (א), פסקה (2) </w:t>
            </w:r>
            <w:r>
              <w:rPr>
                <w:rFonts w:hint="eastAsia"/>
                <w:sz w:val="26"/>
                <w:rtl/>
              </w:rPr>
              <w:t xml:space="preserve">– </w:t>
            </w:r>
            <w:r>
              <w:rPr>
                <w:rFonts w:hint="cs"/>
                <w:sz w:val="26"/>
                <w:rtl/>
              </w:rPr>
              <w:t>תימחק</w:t>
            </w:r>
            <w:r>
              <w:rPr>
                <w:rFonts w:hint="cs"/>
                <w:rtl/>
              </w:rPr>
              <w:t>;</w:t>
            </w:r>
          </w:p>
        </w:tc>
      </w:tr>
      <w:tr w:rsidR="00D20EAD" w14:paraId="38997DB9" w14:textId="77777777" w:rsidTr="000E0CC6">
        <w:tblPrEx>
          <w:tblLook w:val="01E0" w:firstRow="1" w:lastRow="1" w:firstColumn="1" w:lastColumn="1" w:noHBand="0" w:noVBand="0"/>
        </w:tblPrEx>
        <w:trPr>
          <w:cantSplit/>
          <w:trHeight w:val="60"/>
        </w:trPr>
        <w:tc>
          <w:tcPr>
            <w:tcW w:w="1875" w:type="dxa"/>
          </w:tcPr>
          <w:p w14:paraId="022F5C30" w14:textId="77777777" w:rsidR="00D20EAD" w:rsidRDefault="00D20EAD">
            <w:pPr>
              <w:pStyle w:val="TableSideHeading"/>
              <w:rPr>
                <w:rtl/>
              </w:rPr>
            </w:pPr>
          </w:p>
        </w:tc>
        <w:tc>
          <w:tcPr>
            <w:tcW w:w="629" w:type="dxa"/>
          </w:tcPr>
          <w:p w14:paraId="6DF04CF1" w14:textId="77777777" w:rsidR="00D20EAD" w:rsidRDefault="00D20EAD" w:rsidP="00954D6F">
            <w:pPr>
              <w:pStyle w:val="TableText"/>
            </w:pPr>
          </w:p>
        </w:tc>
        <w:tc>
          <w:tcPr>
            <w:tcW w:w="7137" w:type="dxa"/>
            <w:gridSpan w:val="5"/>
          </w:tcPr>
          <w:p w14:paraId="2F430166" w14:textId="1F9993C5" w:rsidR="00D20EAD" w:rsidRDefault="00D20EAD">
            <w:pPr>
              <w:pStyle w:val="TableBlock"/>
              <w:rPr>
                <w:rtl/>
              </w:rPr>
            </w:pPr>
            <w:r>
              <w:rPr>
                <w:rFonts w:hint="cs"/>
                <w:rtl/>
              </w:rPr>
              <w:t>(2)</w:t>
            </w:r>
            <w:r>
              <w:rPr>
                <w:rtl/>
              </w:rPr>
              <w:tab/>
            </w:r>
            <w:r>
              <w:rPr>
                <w:rFonts w:hint="cs"/>
                <w:rtl/>
              </w:rPr>
              <w:t xml:space="preserve">אחרי סעיף קטן (א) יבוא: </w:t>
            </w:r>
          </w:p>
        </w:tc>
      </w:tr>
      <w:tr w:rsidR="00D20EAD" w14:paraId="5F1F137D" w14:textId="77777777" w:rsidTr="00A2696F">
        <w:tblPrEx>
          <w:tblLook w:val="01E0" w:firstRow="1" w:lastRow="1" w:firstColumn="1" w:lastColumn="1" w:noHBand="0" w:noVBand="0"/>
        </w:tblPrEx>
        <w:trPr>
          <w:cantSplit/>
          <w:trHeight w:val="60"/>
        </w:trPr>
        <w:tc>
          <w:tcPr>
            <w:tcW w:w="1875" w:type="dxa"/>
          </w:tcPr>
          <w:p w14:paraId="288F715B" w14:textId="7E3DEBB8" w:rsidR="00D20EAD" w:rsidRDefault="00D20EAD" w:rsidP="00550CDA">
            <w:pPr>
              <w:pStyle w:val="TableSideHeading"/>
            </w:pPr>
          </w:p>
        </w:tc>
        <w:tc>
          <w:tcPr>
            <w:tcW w:w="629" w:type="dxa"/>
          </w:tcPr>
          <w:p w14:paraId="21FC7EBC" w14:textId="77777777" w:rsidR="00D20EAD" w:rsidRDefault="00D20EAD" w:rsidP="00550CDA">
            <w:pPr>
              <w:pStyle w:val="TableText"/>
            </w:pPr>
          </w:p>
        </w:tc>
        <w:tc>
          <w:tcPr>
            <w:tcW w:w="625" w:type="dxa"/>
          </w:tcPr>
          <w:p w14:paraId="6E96C17E" w14:textId="77777777" w:rsidR="00D20EAD" w:rsidRDefault="00D20EAD" w:rsidP="00550CDA">
            <w:pPr>
              <w:pStyle w:val="TableText"/>
            </w:pPr>
          </w:p>
        </w:tc>
        <w:tc>
          <w:tcPr>
            <w:tcW w:w="6512" w:type="dxa"/>
            <w:gridSpan w:val="4"/>
          </w:tcPr>
          <w:p w14:paraId="50FEEEE1" w14:textId="4C19361E" w:rsidR="00D20EAD" w:rsidRDefault="00D20EAD" w:rsidP="00550CDA">
            <w:pPr>
              <w:pStyle w:val="TableBlock"/>
            </w:pPr>
            <w:r>
              <w:rPr>
                <w:rFonts w:hint="cs"/>
                <w:rtl/>
              </w:rPr>
              <w:t>"(א1)</w:t>
            </w:r>
            <w:r>
              <w:rPr>
                <w:rtl/>
              </w:rPr>
              <w:tab/>
            </w:r>
            <w:r>
              <w:rPr>
                <w:rFonts w:hint="cs"/>
                <w:rtl/>
              </w:rPr>
              <w:t>נוסף על הוראות סעיף קטן (א), מבוטחת שילדה זכאית למענק לידה."</w:t>
            </w:r>
          </w:p>
        </w:tc>
      </w:tr>
      <w:tr w:rsidR="00550CDA" w14:paraId="1BF683D2" w14:textId="77777777" w:rsidTr="00D20EAD">
        <w:trPr>
          <w:cantSplit/>
        </w:trPr>
        <w:tc>
          <w:tcPr>
            <w:tcW w:w="1875" w:type="dxa"/>
            <w:tcBorders>
              <w:top w:val="nil"/>
              <w:left w:val="nil"/>
              <w:bottom w:val="nil"/>
              <w:right w:val="nil"/>
            </w:tcBorders>
          </w:tcPr>
          <w:p w14:paraId="3BE0E375" w14:textId="77777777" w:rsidR="00550CDA" w:rsidRDefault="00550CDA" w:rsidP="00550CDA">
            <w:pPr>
              <w:pStyle w:val="TableSideHeading"/>
              <w:keepLines w:val="0"/>
            </w:pPr>
            <w:r>
              <w:rPr>
                <w:sz w:val="26"/>
                <w:rtl/>
              </w:rPr>
              <w:t>תיקון פקודת המיילדות</w:t>
            </w:r>
          </w:p>
        </w:tc>
        <w:tc>
          <w:tcPr>
            <w:tcW w:w="629" w:type="dxa"/>
            <w:tcBorders>
              <w:top w:val="nil"/>
              <w:left w:val="nil"/>
              <w:bottom w:val="nil"/>
              <w:right w:val="nil"/>
            </w:tcBorders>
          </w:tcPr>
          <w:p w14:paraId="3D82E290" w14:textId="77777777" w:rsidR="00550CDA" w:rsidRDefault="00550CDA" w:rsidP="00550CDA">
            <w:pPr>
              <w:pStyle w:val="TableText"/>
              <w:keepLines w:val="0"/>
            </w:pPr>
            <w:r>
              <w:rPr>
                <w:sz w:val="26"/>
                <w:rtl/>
              </w:rPr>
              <w:t>2.</w:t>
            </w:r>
          </w:p>
        </w:tc>
        <w:tc>
          <w:tcPr>
            <w:tcW w:w="7137" w:type="dxa"/>
            <w:gridSpan w:val="5"/>
            <w:tcBorders>
              <w:top w:val="nil"/>
              <w:left w:val="nil"/>
              <w:bottom w:val="nil"/>
              <w:right w:val="nil"/>
            </w:tcBorders>
          </w:tcPr>
          <w:p w14:paraId="613A7DBC" w14:textId="77777777" w:rsidR="00550CDA" w:rsidRDefault="00550CDA" w:rsidP="00550CDA">
            <w:pPr>
              <w:pStyle w:val="TableBlock"/>
            </w:pPr>
            <w:r>
              <w:rPr>
                <w:sz w:val="26"/>
                <w:rtl/>
              </w:rPr>
              <w:t>בפקודת המיילדות</w:t>
            </w:r>
            <w:r>
              <w:rPr>
                <w:rStyle w:val="a6"/>
                <w:sz w:val="26"/>
                <w:rtl/>
              </w:rPr>
              <w:footnoteReference w:id="3"/>
            </w:r>
            <w:r>
              <w:rPr>
                <w:sz w:val="26"/>
                <w:rtl/>
              </w:rPr>
              <w:t>, אחרי סעיף 13 יבוא:</w:t>
            </w:r>
          </w:p>
        </w:tc>
      </w:tr>
      <w:tr w:rsidR="00550CDA" w14:paraId="74BE7D4A" w14:textId="77777777" w:rsidTr="00D20EAD">
        <w:trPr>
          <w:cantSplit/>
        </w:trPr>
        <w:tc>
          <w:tcPr>
            <w:tcW w:w="1875" w:type="dxa"/>
            <w:tcBorders>
              <w:top w:val="nil"/>
              <w:left w:val="nil"/>
              <w:bottom w:val="nil"/>
              <w:right w:val="nil"/>
            </w:tcBorders>
          </w:tcPr>
          <w:p w14:paraId="5B2BBFB1" w14:textId="77777777" w:rsidR="00550CDA" w:rsidRDefault="00550CDA" w:rsidP="00550CDA">
            <w:pPr>
              <w:pStyle w:val="TableSideHeading"/>
              <w:keepLines w:val="0"/>
            </w:pPr>
          </w:p>
        </w:tc>
        <w:tc>
          <w:tcPr>
            <w:tcW w:w="629" w:type="dxa"/>
            <w:tcBorders>
              <w:top w:val="nil"/>
              <w:left w:val="nil"/>
              <w:bottom w:val="nil"/>
              <w:right w:val="nil"/>
            </w:tcBorders>
          </w:tcPr>
          <w:p w14:paraId="3865D02E" w14:textId="77777777" w:rsidR="00550CDA" w:rsidRDefault="00550CDA" w:rsidP="00550CDA">
            <w:pPr>
              <w:pStyle w:val="TableText"/>
              <w:keepLines w:val="0"/>
            </w:pPr>
          </w:p>
        </w:tc>
        <w:tc>
          <w:tcPr>
            <w:tcW w:w="1872" w:type="dxa"/>
            <w:gridSpan w:val="3"/>
            <w:tcBorders>
              <w:top w:val="nil"/>
              <w:left w:val="nil"/>
              <w:bottom w:val="nil"/>
              <w:right w:val="nil"/>
            </w:tcBorders>
          </w:tcPr>
          <w:p w14:paraId="34F03740" w14:textId="77777777" w:rsidR="00550CDA" w:rsidRDefault="00550CDA" w:rsidP="00550CDA">
            <w:pPr>
              <w:pStyle w:val="TableInnerSideHeading"/>
            </w:pPr>
            <w:r>
              <w:rPr>
                <w:sz w:val="26"/>
                <w:rtl/>
              </w:rPr>
              <w:t>"עיסוק ביילוד שלא בבית חולים או במוסד רפואי</w:t>
            </w:r>
          </w:p>
        </w:tc>
        <w:tc>
          <w:tcPr>
            <w:tcW w:w="624" w:type="dxa"/>
            <w:tcBorders>
              <w:top w:val="nil"/>
              <w:left w:val="nil"/>
              <w:bottom w:val="nil"/>
              <w:right w:val="nil"/>
            </w:tcBorders>
          </w:tcPr>
          <w:p w14:paraId="7E84511D" w14:textId="77777777" w:rsidR="00550CDA" w:rsidRDefault="00550CDA" w:rsidP="00550CDA">
            <w:pPr>
              <w:pStyle w:val="TableText"/>
            </w:pPr>
            <w:r>
              <w:rPr>
                <w:sz w:val="26"/>
                <w:rtl/>
              </w:rPr>
              <w:t>13א.</w:t>
            </w:r>
          </w:p>
        </w:tc>
        <w:tc>
          <w:tcPr>
            <w:tcW w:w="4641" w:type="dxa"/>
            <w:tcBorders>
              <w:top w:val="nil"/>
              <w:left w:val="nil"/>
              <w:bottom w:val="nil"/>
              <w:right w:val="nil"/>
            </w:tcBorders>
          </w:tcPr>
          <w:p w14:paraId="3528AE96" w14:textId="77777777" w:rsidR="00550CDA" w:rsidRDefault="00550CDA" w:rsidP="00550CDA">
            <w:pPr>
              <w:pStyle w:val="TableBlock"/>
            </w:pPr>
            <w:r>
              <w:rPr>
                <w:sz w:val="26"/>
                <w:rtl/>
              </w:rPr>
              <w:t>(א)</w:t>
            </w:r>
            <w:r>
              <w:rPr>
                <w:sz w:val="26"/>
                <w:rtl/>
              </w:rPr>
              <w:tab/>
              <w:t>שר הבריאות, באישור ועדת העבודה הרווחה והבריאות של הכנסת, יקבע כללים לעניין עיסוק מיילדות ביילוד שלא בבית חולים או במוסד רפואי.</w:t>
            </w:r>
          </w:p>
        </w:tc>
      </w:tr>
      <w:tr w:rsidR="00550CDA" w14:paraId="72004B0E" w14:textId="77777777" w:rsidTr="00D20EAD">
        <w:trPr>
          <w:cantSplit/>
        </w:trPr>
        <w:tc>
          <w:tcPr>
            <w:tcW w:w="1875" w:type="dxa"/>
            <w:tcBorders>
              <w:top w:val="nil"/>
              <w:left w:val="nil"/>
              <w:bottom w:val="nil"/>
              <w:right w:val="nil"/>
            </w:tcBorders>
          </w:tcPr>
          <w:p w14:paraId="4AD9870E" w14:textId="77777777" w:rsidR="00550CDA" w:rsidRDefault="00550CDA" w:rsidP="00550CDA">
            <w:pPr>
              <w:pStyle w:val="TableSideHeading"/>
            </w:pPr>
          </w:p>
        </w:tc>
        <w:tc>
          <w:tcPr>
            <w:tcW w:w="629" w:type="dxa"/>
            <w:tcBorders>
              <w:top w:val="nil"/>
              <w:left w:val="nil"/>
              <w:bottom w:val="nil"/>
              <w:right w:val="nil"/>
            </w:tcBorders>
          </w:tcPr>
          <w:p w14:paraId="161EF1A4" w14:textId="77777777" w:rsidR="00550CDA" w:rsidRDefault="00550CDA" w:rsidP="00550CDA">
            <w:pPr>
              <w:pStyle w:val="TableText"/>
            </w:pPr>
          </w:p>
        </w:tc>
        <w:tc>
          <w:tcPr>
            <w:tcW w:w="625" w:type="dxa"/>
            <w:tcBorders>
              <w:top w:val="nil"/>
              <w:left w:val="nil"/>
              <w:bottom w:val="nil"/>
              <w:right w:val="nil"/>
            </w:tcBorders>
          </w:tcPr>
          <w:p w14:paraId="3C28D3FB" w14:textId="77777777" w:rsidR="00550CDA" w:rsidRDefault="00550CDA" w:rsidP="00550CDA">
            <w:pPr>
              <w:pStyle w:val="TableText"/>
            </w:pPr>
          </w:p>
        </w:tc>
        <w:tc>
          <w:tcPr>
            <w:tcW w:w="624" w:type="dxa"/>
            <w:tcBorders>
              <w:top w:val="nil"/>
              <w:left w:val="nil"/>
              <w:bottom w:val="nil"/>
              <w:right w:val="nil"/>
            </w:tcBorders>
          </w:tcPr>
          <w:p w14:paraId="05590EE4" w14:textId="77777777" w:rsidR="00550CDA" w:rsidRDefault="00550CDA" w:rsidP="00550CDA">
            <w:pPr>
              <w:pStyle w:val="TableText"/>
            </w:pPr>
          </w:p>
        </w:tc>
        <w:tc>
          <w:tcPr>
            <w:tcW w:w="623" w:type="dxa"/>
            <w:tcBorders>
              <w:top w:val="nil"/>
              <w:left w:val="nil"/>
              <w:bottom w:val="nil"/>
              <w:right w:val="nil"/>
            </w:tcBorders>
          </w:tcPr>
          <w:p w14:paraId="449CF7FA" w14:textId="77777777" w:rsidR="00550CDA" w:rsidRDefault="00550CDA" w:rsidP="00550CDA">
            <w:pPr>
              <w:pStyle w:val="TableText"/>
            </w:pPr>
          </w:p>
        </w:tc>
        <w:tc>
          <w:tcPr>
            <w:tcW w:w="624" w:type="dxa"/>
            <w:tcBorders>
              <w:top w:val="nil"/>
              <w:left w:val="nil"/>
              <w:bottom w:val="nil"/>
              <w:right w:val="nil"/>
            </w:tcBorders>
          </w:tcPr>
          <w:p w14:paraId="54E1FFAB" w14:textId="77777777" w:rsidR="00550CDA" w:rsidRDefault="00550CDA" w:rsidP="00550CDA">
            <w:pPr>
              <w:pStyle w:val="TableText"/>
            </w:pPr>
          </w:p>
        </w:tc>
        <w:tc>
          <w:tcPr>
            <w:tcW w:w="4641" w:type="dxa"/>
            <w:tcBorders>
              <w:top w:val="nil"/>
              <w:left w:val="nil"/>
              <w:bottom w:val="nil"/>
              <w:right w:val="nil"/>
            </w:tcBorders>
          </w:tcPr>
          <w:p w14:paraId="7D1A38C1" w14:textId="60517577" w:rsidR="00550CDA" w:rsidRDefault="00550CDA" w:rsidP="00550CDA">
            <w:pPr>
              <w:pStyle w:val="TableBlock"/>
            </w:pPr>
            <w:r>
              <w:rPr>
                <w:sz w:val="26"/>
                <w:rtl/>
              </w:rPr>
              <w:t>(ב)</w:t>
            </w:r>
            <w:r>
              <w:rPr>
                <w:sz w:val="26"/>
                <w:rtl/>
              </w:rPr>
              <w:tab/>
              <w:t>לא תעסוק מיילדת ביילוד שלא בבית חולים או במוסד רפואי, אלא בהתאם לכללים שנקבעו לפי סעיף קטן (א), אולם הוראה זו לא תחול בנסיבות של מצב חירום רפואי, כפי שיקבע השר."</w:t>
            </w:r>
          </w:p>
        </w:tc>
      </w:tr>
      <w:tr w:rsidR="00550CDA" w14:paraId="5EC71D21" w14:textId="77777777" w:rsidTr="00D20EAD">
        <w:trPr>
          <w:cantSplit/>
        </w:trPr>
        <w:tc>
          <w:tcPr>
            <w:tcW w:w="1875" w:type="dxa"/>
            <w:tcBorders>
              <w:top w:val="nil"/>
              <w:left w:val="nil"/>
              <w:bottom w:val="nil"/>
              <w:right w:val="nil"/>
            </w:tcBorders>
          </w:tcPr>
          <w:p w14:paraId="104C5D89" w14:textId="77777777" w:rsidR="00550CDA" w:rsidRDefault="00550CDA" w:rsidP="00550CDA">
            <w:pPr>
              <w:pStyle w:val="TableSideHeading"/>
              <w:ind w:right="0"/>
            </w:pPr>
            <w:r>
              <w:rPr>
                <w:sz w:val="26"/>
                <w:rtl/>
              </w:rPr>
              <w:t>חובת התקנת תקנות ראשונות</w:t>
            </w:r>
          </w:p>
        </w:tc>
        <w:tc>
          <w:tcPr>
            <w:tcW w:w="629" w:type="dxa"/>
            <w:tcBorders>
              <w:top w:val="nil"/>
              <w:left w:val="nil"/>
              <w:bottom w:val="nil"/>
              <w:right w:val="nil"/>
            </w:tcBorders>
          </w:tcPr>
          <w:p w14:paraId="5CAD1793" w14:textId="77777777" w:rsidR="00550CDA" w:rsidRDefault="00550CDA" w:rsidP="00550CDA">
            <w:pPr>
              <w:pStyle w:val="TableText"/>
            </w:pPr>
            <w:r>
              <w:rPr>
                <w:sz w:val="26"/>
                <w:rtl/>
              </w:rPr>
              <w:t>3.</w:t>
            </w:r>
          </w:p>
        </w:tc>
        <w:tc>
          <w:tcPr>
            <w:tcW w:w="7137" w:type="dxa"/>
            <w:gridSpan w:val="5"/>
            <w:tcBorders>
              <w:top w:val="nil"/>
              <w:left w:val="nil"/>
              <w:bottom w:val="nil"/>
              <w:right w:val="nil"/>
            </w:tcBorders>
          </w:tcPr>
          <w:p w14:paraId="776E5530" w14:textId="77777777" w:rsidR="00550CDA" w:rsidRDefault="00550CDA" w:rsidP="00550CDA">
            <w:pPr>
              <w:pStyle w:val="TableBlock"/>
              <w:rPr>
                <w:sz w:val="26"/>
                <w:rtl/>
              </w:rPr>
            </w:pPr>
            <w:r>
              <w:rPr>
                <w:sz w:val="26"/>
                <w:rtl/>
              </w:rPr>
              <w:t>תקנות ראשונות לפי סעיף 13א לפקודת המיילדות, כנוסחו בסעיף 2 לחוק זה, יובאו לאישור ועדת העבודה הרווחה והבריאות של הכנסת בתוך 90 ימים מיום פרסומו של חוק זה.</w:t>
            </w:r>
          </w:p>
        </w:tc>
      </w:tr>
    </w:tbl>
    <w:p w14:paraId="17B55D39" w14:textId="77777777" w:rsidR="00F57CB5" w:rsidRDefault="00F57CB5" w:rsidP="00F57CB5">
      <w:pPr>
        <w:pStyle w:val="HeadDivreiHesber"/>
        <w:tabs>
          <w:tab w:val="left" w:pos="6459"/>
        </w:tabs>
        <w:spacing w:before="0" w:after="0"/>
        <w:jc w:val="left"/>
        <w:rPr>
          <w:sz w:val="26"/>
          <w:rtl/>
        </w:rPr>
      </w:pPr>
      <w:r>
        <w:rPr>
          <w:sz w:val="26"/>
          <w:rtl/>
        </w:rPr>
        <w:tab/>
      </w:r>
    </w:p>
    <w:p w14:paraId="23C60C34" w14:textId="77777777" w:rsidR="00F57CB5" w:rsidRDefault="00F57CB5" w:rsidP="00F57CB5">
      <w:pPr>
        <w:pStyle w:val="HeadDivreiHesber"/>
        <w:spacing w:before="0" w:after="0"/>
        <w:rPr>
          <w:sz w:val="26"/>
          <w:rtl/>
        </w:rPr>
      </w:pPr>
      <w:r>
        <w:rPr>
          <w:sz w:val="26"/>
          <w:rtl/>
        </w:rPr>
        <w:lastRenderedPageBreak/>
        <w:t>דברי הסבר</w:t>
      </w:r>
    </w:p>
    <w:p w14:paraId="7FCEFF14" w14:textId="7CC89CC8" w:rsidR="00F57CB5" w:rsidRDefault="00F57CB5" w:rsidP="00DF5032">
      <w:pPr>
        <w:pStyle w:val="Hesber"/>
        <w:rPr>
          <w:sz w:val="26"/>
          <w:rtl/>
        </w:rPr>
      </w:pPr>
      <w:r>
        <w:rPr>
          <w:sz w:val="26"/>
          <w:rtl/>
        </w:rPr>
        <w:t>קיים אינטרס ציבורי מובהק להבטיח כי לידות יתקיימו בתנאים המאפשרים שמירה על בריאות היולדת והילוד. עד כה ננקטה הגישה לפיה הדרך היחידה להגיע לתוצאה זו היא על ידי לידה בבית החולים. מסיבה זו, כדי לע</w:t>
      </w:r>
      <w:r w:rsidR="00DF5032">
        <w:rPr>
          <w:sz w:val="26"/>
          <w:rtl/>
        </w:rPr>
        <w:t xml:space="preserve">ודד נשים ללדת בבית החולים, </w:t>
      </w:r>
      <w:r w:rsidR="00DF5032">
        <w:rPr>
          <w:rFonts w:hint="cs"/>
          <w:sz w:val="26"/>
          <w:rtl/>
        </w:rPr>
        <w:t>מותנה</w:t>
      </w:r>
      <w:r>
        <w:rPr>
          <w:sz w:val="26"/>
          <w:rtl/>
        </w:rPr>
        <w:t xml:space="preserve"> מענק הלידה בלידה בבית החולים. בעוד שניתן להבין התניה זו ביחס לדמי האשפוז האמורים לכסות את עלויות האשפוז, הרי שבהתניה זו יש מידה רבה של אי צדק בעיקר בנוגע למענק הלידה אשר מטרתו היא רכישת ציוד לילוד ומשכך אין רלוונטיות למקום שבו הוא נולד.</w:t>
      </w:r>
    </w:p>
    <w:p w14:paraId="3B5E151B" w14:textId="7099FCA3" w:rsidR="00F57CB5" w:rsidRDefault="00F57CB5" w:rsidP="00DF5032">
      <w:pPr>
        <w:pStyle w:val="Hesber"/>
        <w:rPr>
          <w:sz w:val="26"/>
          <w:rtl/>
        </w:rPr>
      </w:pPr>
      <w:r>
        <w:rPr>
          <w:sz w:val="26"/>
          <w:rtl/>
        </w:rPr>
        <w:t>בנוסף העיתים השתנו. מחד גיסא עלתה מאוד רמת האוכלוסייה ואין עוד יסוד להניח כי יולדת תלד שלא בבית חולים</w:t>
      </w:r>
      <w:r>
        <w:rPr>
          <w:rFonts w:hint="cs"/>
          <w:sz w:val="26"/>
          <w:rtl/>
        </w:rPr>
        <w:t>, ללא התנאים הנדרשים ללידה</w:t>
      </w:r>
      <w:r>
        <w:rPr>
          <w:sz w:val="26"/>
          <w:rtl/>
        </w:rPr>
        <w:t>. מאידך גיסא התפתחה בארץ תרבות של לידה אלטרנטיבית המתבצעת בעיקר בבית היולדת. ראוי להדגיש בהקשר זה כי הלידה האלטרנטיבית מתבצעת באמצעות מיילדות מומחיות וכי כל המחקרים בארץ ובעולם מוכיחים כי אין ללידה כזו כל השפעה שלילית על בריאות היולדת או הילוד. מוצע על כן לנתק את הקשר בין מענק הלידה לנושא מקום הלידה שכן כל ילוד זכאי לתמיכה שווה בראשית חייו.</w:t>
      </w:r>
    </w:p>
    <w:p w14:paraId="2CACA240" w14:textId="71AA0A4E" w:rsidR="00F57CB5" w:rsidRDefault="00F57CB5" w:rsidP="00550CDA">
      <w:pPr>
        <w:pStyle w:val="Hesber"/>
        <w:rPr>
          <w:sz w:val="26"/>
          <w:rtl/>
        </w:rPr>
      </w:pPr>
      <w:r>
        <w:rPr>
          <w:sz w:val="26"/>
          <w:rtl/>
        </w:rPr>
        <w:t>התיקון המוצע לפקודת המיילדות נועד להסדיר את נושא הלידה האלטרנטיבית</w:t>
      </w:r>
      <w:r w:rsidR="00550CDA">
        <w:rPr>
          <w:rFonts w:hint="cs"/>
          <w:sz w:val="26"/>
          <w:rtl/>
        </w:rPr>
        <w:t>,</w:t>
      </w:r>
      <w:r>
        <w:rPr>
          <w:sz w:val="26"/>
          <w:rtl/>
        </w:rPr>
        <w:t xml:space="preserve"> אשר עד כה </w:t>
      </w:r>
      <w:r w:rsidR="00550CDA">
        <w:rPr>
          <w:rFonts w:hint="cs"/>
          <w:sz w:val="26"/>
          <w:rtl/>
        </w:rPr>
        <w:t>לא היה נתון</w:t>
      </w:r>
      <w:r>
        <w:rPr>
          <w:sz w:val="26"/>
          <w:rtl/>
        </w:rPr>
        <w:t xml:space="preserve"> לכל פיקוח</w:t>
      </w:r>
      <w:r w:rsidR="00550CDA">
        <w:rPr>
          <w:rFonts w:hint="cs"/>
          <w:sz w:val="26"/>
          <w:rtl/>
        </w:rPr>
        <w:t>,</w:t>
      </w:r>
      <w:r>
        <w:rPr>
          <w:sz w:val="26"/>
          <w:rtl/>
        </w:rPr>
        <w:t xml:space="preserve"> על ידי הסמכת שר הבריאות להתקין תקנות </w:t>
      </w:r>
      <w:r w:rsidR="00954D6F">
        <w:rPr>
          <w:rFonts w:hint="cs"/>
          <w:sz w:val="26"/>
          <w:rtl/>
        </w:rPr>
        <w:t xml:space="preserve">בעניין עיסוק במיילדות שלא בבית חולים או במוסד רפואי. </w:t>
      </w:r>
      <w:r>
        <w:rPr>
          <w:sz w:val="26"/>
          <w:rtl/>
        </w:rPr>
        <w:t xml:space="preserve">ראוי לציין כי כבר נעשתה עבודה רבה וטובה בעניין זה במשרד הבריאות וכי לכן אין כל מניעה לביצוע </w:t>
      </w:r>
      <w:proofErr w:type="spellStart"/>
      <w:r>
        <w:rPr>
          <w:sz w:val="26"/>
          <w:rtl/>
        </w:rPr>
        <w:t>מיידי</w:t>
      </w:r>
      <w:proofErr w:type="spellEnd"/>
      <w:r>
        <w:rPr>
          <w:sz w:val="26"/>
          <w:rtl/>
        </w:rPr>
        <w:t xml:space="preserve"> של הוראה זו.</w:t>
      </w:r>
    </w:p>
    <w:p w14:paraId="7F6961CB" w14:textId="77777777" w:rsidR="00E13C27" w:rsidRDefault="00E13C27" w:rsidP="00E13C27">
      <w:pPr>
        <w:pStyle w:val="Hesber"/>
        <w:rPr>
          <w:rtl/>
        </w:rPr>
      </w:pPr>
    </w:p>
    <w:p w14:paraId="60E22185" w14:textId="77777777" w:rsidR="00550CDA" w:rsidRDefault="00550CDA" w:rsidP="00E13C27">
      <w:pPr>
        <w:pStyle w:val="Hesber"/>
        <w:rPr>
          <w:rtl/>
        </w:rPr>
      </w:pPr>
    </w:p>
    <w:p w14:paraId="3BA44DF0" w14:textId="77777777" w:rsidR="00550CDA" w:rsidRPr="00D73212" w:rsidRDefault="00550CDA" w:rsidP="00550CDA">
      <w:pPr>
        <w:pStyle w:val="Hesber"/>
        <w:rPr>
          <w:color w:val="auto"/>
          <w:rtl/>
          <w:lang w:eastAsia="en-US"/>
        </w:rPr>
      </w:pPr>
      <w:r w:rsidRPr="00D73212">
        <w:rPr>
          <w:color w:val="auto"/>
          <w:rtl/>
          <w:lang w:eastAsia="en-US"/>
        </w:rPr>
        <w:t>---------------------------------</w:t>
      </w:r>
    </w:p>
    <w:p w14:paraId="294EC6CE" w14:textId="77777777" w:rsidR="00550CDA" w:rsidRPr="00D73212" w:rsidRDefault="00550CDA" w:rsidP="00550CDA">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E2DA5C6" w14:textId="77777777" w:rsidR="00550CDA" w:rsidRPr="00D73212" w:rsidRDefault="00550CDA" w:rsidP="00550CDA">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83D8E12" w14:textId="77777777" w:rsidR="00550CDA" w:rsidRPr="00317312" w:rsidRDefault="00550CDA" w:rsidP="00550CDA">
      <w:pPr>
        <w:pStyle w:val="Hesber"/>
      </w:pPr>
      <w:r>
        <w:rPr>
          <w:rFonts w:hint="cs"/>
          <w:color w:val="auto"/>
          <w:rtl/>
          <w:lang w:eastAsia="en-US"/>
        </w:rPr>
        <w:t>כ"ז באדר א'</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7</w:t>
      </w:r>
      <w:r w:rsidRPr="00D73212">
        <w:rPr>
          <w:color w:val="auto"/>
          <w:rtl/>
          <w:lang w:eastAsia="en-US"/>
        </w:rPr>
        <w:t>.</w:t>
      </w:r>
      <w:r>
        <w:rPr>
          <w:rFonts w:hint="cs"/>
          <w:color w:val="auto"/>
          <w:rtl/>
          <w:lang w:eastAsia="en-US"/>
        </w:rPr>
        <w:t>3</w:t>
      </w:r>
      <w:r w:rsidRPr="00D73212">
        <w:rPr>
          <w:color w:val="auto"/>
          <w:rtl/>
          <w:lang w:eastAsia="en-US"/>
        </w:rPr>
        <w:t>.1</w:t>
      </w:r>
      <w:r>
        <w:rPr>
          <w:rFonts w:hint="cs"/>
          <w:color w:val="auto"/>
          <w:rtl/>
          <w:lang w:eastAsia="en-US"/>
        </w:rPr>
        <w:t>6</w:t>
      </w:r>
    </w:p>
    <w:p w14:paraId="03244845" w14:textId="74111331" w:rsidR="00550CDA" w:rsidRPr="00550CDA" w:rsidRDefault="00550CDA" w:rsidP="00E13C27">
      <w:pPr>
        <w:pStyle w:val="Hesber"/>
        <w:rPr>
          <w:rtl/>
        </w:rPr>
      </w:pPr>
    </w:p>
    <w:p w14:paraId="6821CF0D" w14:textId="77777777" w:rsidR="00550CDA" w:rsidRDefault="00550CDA" w:rsidP="00E13C27">
      <w:pPr>
        <w:pStyle w:val="Hesber"/>
        <w:rPr>
          <w:rtl/>
        </w:rPr>
      </w:pPr>
    </w:p>
    <w:sectPr w:rsidR="00550CDA"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C4D57D" w14:textId="77777777" w:rsidR="0008744B" w:rsidRDefault="0008744B">
      <w:r>
        <w:separator/>
      </w:r>
    </w:p>
  </w:endnote>
  <w:endnote w:type="continuationSeparator" w:id="0">
    <w:p w14:paraId="5FF0BDAE" w14:textId="77777777" w:rsidR="0008744B" w:rsidRDefault="0008744B">
      <w:r>
        <w:continuationSeparator/>
      </w:r>
    </w:p>
  </w:endnote>
  <w:endnote w:type="continuationNotice" w:id="1">
    <w:p w14:paraId="56049352" w14:textId="77777777" w:rsidR="0008744B" w:rsidRDefault="0008744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064FCA">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171A5D" w14:textId="77777777" w:rsidR="0008744B" w:rsidRDefault="0008744B">
      <w:r>
        <w:separator/>
      </w:r>
    </w:p>
  </w:footnote>
  <w:footnote w:type="continuationSeparator" w:id="0">
    <w:p w14:paraId="7B76188A" w14:textId="77777777" w:rsidR="0008744B" w:rsidRDefault="0008744B">
      <w:r>
        <w:continuationSeparator/>
      </w:r>
    </w:p>
  </w:footnote>
  <w:footnote w:type="continuationNotice" w:id="1">
    <w:p w14:paraId="7BDA5729" w14:textId="77777777" w:rsidR="0008744B" w:rsidRDefault="0008744B"/>
  </w:footnote>
  <w:footnote w:id="2">
    <w:p w14:paraId="75D9362E" w14:textId="77777777" w:rsidR="00F57CB5" w:rsidRDefault="00F57CB5" w:rsidP="00F57CB5">
      <w:pPr>
        <w:pStyle w:val="a4"/>
      </w:pPr>
      <w:r>
        <w:rPr>
          <w:rStyle w:val="a6"/>
        </w:rPr>
        <w:footnoteRef/>
      </w:r>
      <w:r>
        <w:rPr>
          <w:rFonts w:hint="cs"/>
          <w:sz w:val="20"/>
          <w:rtl/>
        </w:rPr>
        <w:t xml:space="preserve"> </w:t>
      </w:r>
      <w:r>
        <w:rPr>
          <w:sz w:val="20"/>
          <w:rtl/>
        </w:rPr>
        <w:t xml:space="preserve">ס"ח </w:t>
      </w:r>
      <w:proofErr w:type="spellStart"/>
      <w:r>
        <w:rPr>
          <w:sz w:val="20"/>
          <w:rtl/>
        </w:rPr>
        <w:t>התשנ"ה</w:t>
      </w:r>
      <w:proofErr w:type="spellEnd"/>
      <w:r>
        <w:rPr>
          <w:sz w:val="20"/>
          <w:rtl/>
        </w:rPr>
        <w:t>, עמ' 210.</w:t>
      </w:r>
    </w:p>
  </w:footnote>
  <w:footnote w:id="3">
    <w:p w14:paraId="144C1584" w14:textId="77777777" w:rsidR="00550CDA" w:rsidRDefault="00550CDA" w:rsidP="00F57CB5">
      <w:pPr>
        <w:pStyle w:val="a4"/>
      </w:pPr>
      <w:r>
        <w:rPr>
          <w:rStyle w:val="a6"/>
        </w:rPr>
        <w:footnoteRef/>
      </w:r>
      <w:r>
        <w:rPr>
          <w:sz w:val="20"/>
          <w:rtl/>
        </w:rPr>
        <w:t xml:space="preserve"> </w:t>
      </w:r>
      <w:r>
        <w:rPr>
          <w:sz w:val="20"/>
          <w:rtl/>
        </w:rPr>
        <w:t>חוקי א"י, כרך ב', עמ' (ע) 903, (א) 931.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303211C"/>
    <w:multiLevelType w:val="hybridMultilevel"/>
    <w:tmpl w:val="C348567C"/>
    <w:lvl w:ilvl="0" w:tplc="C9401EC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3"/>
  </w:num>
  <w:num w:numId="13">
    <w:abstractNumId w:val="11"/>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64FCA"/>
    <w:rsid w:val="00072CAC"/>
    <w:rsid w:val="0007681A"/>
    <w:rsid w:val="0008744B"/>
    <w:rsid w:val="000A542E"/>
    <w:rsid w:val="00102B6B"/>
    <w:rsid w:val="001052D4"/>
    <w:rsid w:val="0010644B"/>
    <w:rsid w:val="001207F8"/>
    <w:rsid w:val="00121924"/>
    <w:rsid w:val="001279A8"/>
    <w:rsid w:val="0014195F"/>
    <w:rsid w:val="00152609"/>
    <w:rsid w:val="00153E1B"/>
    <w:rsid w:val="001935F8"/>
    <w:rsid w:val="001A0623"/>
    <w:rsid w:val="001B1EE0"/>
    <w:rsid w:val="001C1979"/>
    <w:rsid w:val="001C23B0"/>
    <w:rsid w:val="001D7AAF"/>
    <w:rsid w:val="00203A7F"/>
    <w:rsid w:val="0021633A"/>
    <w:rsid w:val="002200A1"/>
    <w:rsid w:val="002239FF"/>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6FD5"/>
    <w:rsid w:val="004073F0"/>
    <w:rsid w:val="00412A7D"/>
    <w:rsid w:val="00416B4D"/>
    <w:rsid w:val="00417CFC"/>
    <w:rsid w:val="004A06DC"/>
    <w:rsid w:val="004B24ED"/>
    <w:rsid w:val="004B6625"/>
    <w:rsid w:val="004D1211"/>
    <w:rsid w:val="004D2D82"/>
    <w:rsid w:val="004D3876"/>
    <w:rsid w:val="004E4552"/>
    <w:rsid w:val="004E6CDF"/>
    <w:rsid w:val="00550CDA"/>
    <w:rsid w:val="00553C9D"/>
    <w:rsid w:val="00562A66"/>
    <w:rsid w:val="00593F2D"/>
    <w:rsid w:val="005B064E"/>
    <w:rsid w:val="005D51AE"/>
    <w:rsid w:val="00601EF3"/>
    <w:rsid w:val="0062674B"/>
    <w:rsid w:val="006363B2"/>
    <w:rsid w:val="00644940"/>
    <w:rsid w:val="006818A9"/>
    <w:rsid w:val="006928FC"/>
    <w:rsid w:val="006A2D81"/>
    <w:rsid w:val="006C1D0D"/>
    <w:rsid w:val="0070601E"/>
    <w:rsid w:val="00712C72"/>
    <w:rsid w:val="00735FE9"/>
    <w:rsid w:val="00747FFB"/>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4D6F"/>
    <w:rsid w:val="00957589"/>
    <w:rsid w:val="00966D06"/>
    <w:rsid w:val="00982412"/>
    <w:rsid w:val="00983A8D"/>
    <w:rsid w:val="009A0DB8"/>
    <w:rsid w:val="009A2FD2"/>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0BD3"/>
    <w:rsid w:val="00B21211"/>
    <w:rsid w:val="00B35784"/>
    <w:rsid w:val="00B733A7"/>
    <w:rsid w:val="00B75C91"/>
    <w:rsid w:val="00B975AD"/>
    <w:rsid w:val="00BC45FB"/>
    <w:rsid w:val="00BF10FC"/>
    <w:rsid w:val="00BF148D"/>
    <w:rsid w:val="00C23B1A"/>
    <w:rsid w:val="00C310EB"/>
    <w:rsid w:val="00C9176A"/>
    <w:rsid w:val="00CF1AA2"/>
    <w:rsid w:val="00D17774"/>
    <w:rsid w:val="00D20EAD"/>
    <w:rsid w:val="00D63620"/>
    <w:rsid w:val="00D8410D"/>
    <w:rsid w:val="00D867D7"/>
    <w:rsid w:val="00D90ABD"/>
    <w:rsid w:val="00DB7060"/>
    <w:rsid w:val="00DE3153"/>
    <w:rsid w:val="00DF5032"/>
    <w:rsid w:val="00E06736"/>
    <w:rsid w:val="00E13C27"/>
    <w:rsid w:val="00E33BBD"/>
    <w:rsid w:val="00E374F2"/>
    <w:rsid w:val="00E43DBE"/>
    <w:rsid w:val="00E45103"/>
    <w:rsid w:val="00E55A60"/>
    <w:rsid w:val="00E62778"/>
    <w:rsid w:val="00E63D38"/>
    <w:rsid w:val="00E665B9"/>
    <w:rsid w:val="00EA01E6"/>
    <w:rsid w:val="00EA3DE8"/>
    <w:rsid w:val="00EA758F"/>
    <w:rsid w:val="00ED4A6F"/>
    <w:rsid w:val="00EF3A3A"/>
    <w:rsid w:val="00F57CB5"/>
    <w:rsid w:val="00F628D6"/>
    <w:rsid w:val="00F640FB"/>
    <w:rsid w:val="00F67051"/>
    <w:rsid w:val="00F67C45"/>
    <w:rsid w:val="00F86A1E"/>
    <w:rsid w:val="00FA0B3C"/>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uiPriority w:val="99"/>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uiPriority w:val="99"/>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rsid w:val="00F57CB5"/>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uiPriority w:val="99"/>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uiPriority w:val="99"/>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rsid w:val="00F57CB5"/>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30BD37-8264-49E3-849B-EACED6E9B499}"/>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B60054C1-DE76-47F4-B8B6-791D18824DB2}"/>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2026</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2016-03-03T08:56:00Z</cp:lastPrinted>
  <dcterms:created xsi:type="dcterms:W3CDTF">2016-06-01T09:36:00Z</dcterms:created>
  <dcterms:modified xsi:type="dcterms:W3CDTF">2016-06-01T09:36:00Z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2003285</vt:r8>
  </property>
</Properties>
</file>