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566105</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5DFB2E3D" w:rsidR="00E13C27" w:rsidRPr="00CF1AA2" w:rsidRDefault="008F6665" w:rsidP="00197FD6">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איתן כבל</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עבד אל חכים חאג' יחיא</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יעקב פרי</w:t>
      </w:r>
      <w:r>
        <w:br/>
      </w:r>
      <w:r>
        <w:rPr>
          <w:rFonts w:hint="cs"/>
          <w:b/>
          <w:bCs/>
          <w:rtl/>
        </w:rPr>
        <w:t xml:space="preserve"> </w:t>
      </w:r>
      <w:r>
        <w:tab/>
      </w:r>
      <w:r>
        <w:tab/>
      </w:r>
      <w:r>
        <w:tab/>
      </w:r>
      <w:r>
        <w:tab/>
      </w:r>
      <w:r>
        <w:rPr>
          <w:rFonts w:hint="cs"/>
          <w:b/>
          <w:bCs/>
          <w:rtl/>
        </w:rPr>
        <w:t>עיסאווי פריג'</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תמר זנדברג</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משה גפני</w:t>
      </w:r>
      <w:r>
        <w:br/>
      </w:r>
      <w:r>
        <w:rPr>
          <w:rFonts w:hint="cs"/>
          <w:b/>
          <w:bCs/>
          <w:rtl/>
        </w:rPr>
        <w:t xml:space="preserve"> </w:t>
      </w:r>
      <w:r>
        <w:tab/>
      </w:r>
      <w:r>
        <w:tab/>
      </w:r>
      <w:r>
        <w:tab/>
      </w:r>
      <w:r>
        <w:tab/>
      </w:r>
      <w:r>
        <w:rPr>
          <w:rFonts w:hint="cs"/>
          <w:b/>
          <w:bCs/>
          <w:rtl/>
        </w:rPr>
        <w:t>מיקי רוזנטל</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084A3338" w14:textId="77777777" w:rsidR="00197FD6" w:rsidRDefault="00266D86" w:rsidP="00197FD6">
      <w:pPr>
        <w:pStyle w:val="David"/>
        <w:spacing w:before="0" w:line="360" w:lineRule="auto"/>
        <w:ind w:left="3600"/>
        <w:rPr>
          <w:rtl/>
        </w:rPr>
      </w:pPr>
      <w:r>
        <w:t>____</w:t>
      </w:r>
      <w:r w:rsidR="00E374F2">
        <w:t>__</w:t>
      </w:r>
      <w:r>
        <w:t>________________________________________</w:t>
      </w:r>
    </w:p>
    <w:p w14:paraId="7F6961AC" w14:textId="44A587CC" w:rsidR="00E13C27" w:rsidRDefault="00197FD6" w:rsidP="00197FD6">
      <w:pPr>
        <w:pStyle w:val="David"/>
        <w:spacing w:before="0" w:line="360" w:lineRule="auto"/>
        <w:ind w:left="6480"/>
        <w:rPr>
          <w:rtl/>
        </w:rPr>
      </w:pPr>
      <w:r>
        <w:rPr>
          <w:rFonts w:hint="cs"/>
          <w:rtl/>
        </w:rPr>
        <w:t>פ/1829/20</w:t>
      </w:r>
      <w:r w:rsidR="00E06736" w:rsidRPr="00E06736">
        <w:tab/>
      </w:r>
      <w:r w:rsidR="00E13C27" w:rsidRPr="00E06736">
        <w:rPr>
          <w:rFonts w:hint="cs"/>
          <w:rtl/>
        </w:rPr>
        <w:tab/>
      </w:r>
    </w:p>
    <w:p w14:paraId="7F6961AE" w14:textId="5A24F11B" w:rsidR="00E13C27" w:rsidRDefault="00A443CF" w:rsidP="009659FB">
      <w:pPr>
        <w:pStyle w:val="HeadHatzaotHok"/>
        <w:rPr>
          <w:rtl/>
        </w:rPr>
      </w:pPr>
      <w:bookmarkStart w:id="7" w:name="LGS_Subject"/>
      <w:r>
        <w:rPr>
          <w:rFonts w:hint="cs"/>
          <w:rtl/>
        </w:rPr>
        <w:t>הצעת חוק הבנקאות (רישוי) (תיקון – סגירת סניפים), התשעה–2015</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47"/>
        <w:gridCol w:w="24"/>
        <w:gridCol w:w="624"/>
        <w:gridCol w:w="624"/>
        <w:gridCol w:w="6522"/>
      </w:tblGrid>
      <w:tr w:rsidR="002F1D80" w14:paraId="035EEF3D" w14:textId="77777777" w:rsidTr="00116B5C">
        <w:trPr>
          <w:cantSplit/>
          <w:trHeight w:val="60"/>
        </w:trPr>
        <w:tc>
          <w:tcPr>
            <w:tcW w:w="1847" w:type="dxa"/>
          </w:tcPr>
          <w:p w14:paraId="3863FF98" w14:textId="231FCAF7" w:rsidR="002F1D80" w:rsidRDefault="00E969D3" w:rsidP="00116B5C">
            <w:pPr>
              <w:pStyle w:val="TableSideHeading"/>
              <w:keepLines w:val="0"/>
            </w:pPr>
            <w:r>
              <w:rPr>
                <w:rFonts w:hint="cs"/>
                <w:rtl/>
              </w:rPr>
              <w:t>תיקון סעיף 28</w:t>
            </w:r>
          </w:p>
        </w:tc>
        <w:tc>
          <w:tcPr>
            <w:tcW w:w="648" w:type="dxa"/>
            <w:gridSpan w:val="2"/>
          </w:tcPr>
          <w:p w14:paraId="6F513EF6" w14:textId="34CDC247" w:rsidR="002F1D80" w:rsidRDefault="00116B5C" w:rsidP="002C3041">
            <w:pPr>
              <w:pStyle w:val="TableText"/>
              <w:keepLines w:val="0"/>
            </w:pPr>
            <w:r>
              <w:rPr>
                <w:rFonts w:hint="cs"/>
                <w:rtl/>
              </w:rPr>
              <w:t>1.</w:t>
            </w:r>
          </w:p>
        </w:tc>
        <w:tc>
          <w:tcPr>
            <w:tcW w:w="7146" w:type="dxa"/>
            <w:gridSpan w:val="2"/>
          </w:tcPr>
          <w:p w14:paraId="1AE94DEB" w14:textId="1F46D22F" w:rsidR="002F1D80" w:rsidRPr="009A7AE4" w:rsidRDefault="00116B5C" w:rsidP="00197FD6">
            <w:pPr>
              <w:pStyle w:val="TableBlock"/>
              <w:rPr>
                <w:b/>
                <w:bCs/>
                <w:rtl/>
              </w:rPr>
            </w:pPr>
            <w:r w:rsidRPr="009A7AE4">
              <w:rPr>
                <w:rFonts w:hint="eastAsia"/>
                <w:rtl/>
              </w:rPr>
              <w:t>בחוק</w:t>
            </w:r>
            <w:r w:rsidRPr="009A7AE4">
              <w:rPr>
                <w:rtl/>
              </w:rPr>
              <w:t xml:space="preserve"> </w:t>
            </w:r>
            <w:r w:rsidRPr="00197FD6">
              <w:rPr>
                <w:rFonts w:hint="eastAsia"/>
                <w:rtl/>
              </w:rPr>
              <w:t>הבנקאות</w:t>
            </w:r>
            <w:r w:rsidRPr="009A7AE4">
              <w:rPr>
                <w:rtl/>
              </w:rPr>
              <w:t xml:space="preserve"> (רישוי), </w:t>
            </w:r>
            <w:r w:rsidRPr="009A7AE4">
              <w:rPr>
                <w:rFonts w:hint="eastAsia"/>
                <w:rtl/>
              </w:rPr>
              <w:t>התשמ</w:t>
            </w:r>
            <w:r w:rsidRPr="009A7AE4">
              <w:rPr>
                <w:rtl/>
              </w:rPr>
              <w:t>"א</w:t>
            </w:r>
            <w:r w:rsidR="00197FD6">
              <w:rPr>
                <w:rFonts w:hint="cs"/>
                <w:b/>
                <w:bCs/>
                <w:rtl/>
              </w:rPr>
              <w:t>–</w:t>
            </w:r>
            <w:r w:rsidRPr="009A7AE4">
              <w:rPr>
                <w:rtl/>
              </w:rPr>
              <w:t>1981</w:t>
            </w:r>
            <w:r w:rsidRPr="009A7AE4">
              <w:rPr>
                <w:rStyle w:val="a5"/>
              </w:rPr>
              <w:footnoteReference w:id="2"/>
            </w:r>
            <w:r w:rsidR="00E969D3">
              <w:rPr>
                <w:rFonts w:hint="cs"/>
                <w:rtl/>
              </w:rPr>
              <w:t>, בסעיף 28, אחרי סעיף</w:t>
            </w:r>
            <w:r w:rsidR="008F3D7A">
              <w:rPr>
                <w:rFonts w:hint="cs"/>
                <w:rtl/>
              </w:rPr>
              <w:t xml:space="preserve"> קטן (ג) יבוא:</w:t>
            </w:r>
          </w:p>
        </w:tc>
      </w:tr>
      <w:tr w:rsidR="00A750D4" w14:paraId="3BC71619" w14:textId="77777777">
        <w:trPr>
          <w:cantSplit/>
          <w:trHeight w:val="60"/>
        </w:trPr>
        <w:tc>
          <w:tcPr>
            <w:tcW w:w="1871" w:type="dxa"/>
            <w:gridSpan w:val="2"/>
          </w:tcPr>
          <w:p w14:paraId="135BEA64" w14:textId="77777777" w:rsidR="00A750D4" w:rsidRDefault="00A750D4">
            <w:pPr>
              <w:pStyle w:val="TableSideHeading"/>
            </w:pPr>
          </w:p>
        </w:tc>
        <w:tc>
          <w:tcPr>
            <w:tcW w:w="624" w:type="dxa"/>
          </w:tcPr>
          <w:p w14:paraId="483BC416" w14:textId="77777777" w:rsidR="00A750D4" w:rsidRDefault="00A750D4">
            <w:pPr>
              <w:pStyle w:val="TableText"/>
            </w:pPr>
          </w:p>
        </w:tc>
        <w:tc>
          <w:tcPr>
            <w:tcW w:w="624" w:type="dxa"/>
          </w:tcPr>
          <w:p w14:paraId="37DE5DF4" w14:textId="34C46DA6" w:rsidR="00A750D4" w:rsidRDefault="00A750D4">
            <w:pPr>
              <w:pStyle w:val="TableText"/>
            </w:pPr>
            <w:r>
              <w:rPr>
                <w:rFonts w:hint="cs"/>
                <w:rtl/>
              </w:rPr>
              <w:t>"(ד)</w:t>
            </w:r>
          </w:p>
        </w:tc>
        <w:tc>
          <w:tcPr>
            <w:tcW w:w="6522" w:type="dxa"/>
          </w:tcPr>
          <w:p w14:paraId="68C72AF0" w14:textId="7E65EC84" w:rsidR="00A750D4" w:rsidRDefault="00A750D4" w:rsidP="005D0E20">
            <w:pPr>
              <w:pStyle w:val="TableBlock"/>
            </w:pPr>
            <w:r>
              <w:rPr>
                <w:rFonts w:hint="cs"/>
                <w:rtl/>
              </w:rPr>
              <w:t>(1)</w:t>
            </w:r>
            <w:r>
              <w:rPr>
                <w:rtl/>
              </w:rPr>
              <w:tab/>
            </w:r>
            <w:r>
              <w:rPr>
                <w:rFonts w:hint="cs"/>
                <w:rtl/>
              </w:rPr>
              <w:t>לא יסגור תאגיד בנקאי סניף, אלא אם כן נמסרה למפקח הודעה על כך שישים ימים לפחות לפני סגירת הסניף, והמפקח</w:t>
            </w:r>
            <w:r w:rsidR="005D0E20">
              <w:rPr>
                <w:rFonts w:hint="cs"/>
                <w:rtl/>
              </w:rPr>
              <w:t xml:space="preserve"> או עובד בנק ישראל שהוא הסמיכו לכך</w:t>
            </w:r>
            <w:r>
              <w:rPr>
                <w:rFonts w:hint="cs"/>
                <w:rtl/>
              </w:rPr>
              <w:t xml:space="preserve"> לא הודיע בתוך התקופה האמורה על </w:t>
            </w:r>
            <w:r w:rsidR="005D0E20">
              <w:rPr>
                <w:rFonts w:hint="cs"/>
                <w:rtl/>
              </w:rPr>
              <w:t>הסכמתו או על התנגדותו לסגירת הסניף</w:t>
            </w:r>
            <w:r>
              <w:rPr>
                <w:rFonts w:hint="cs"/>
                <w:rtl/>
              </w:rPr>
              <w:t>;</w:t>
            </w:r>
          </w:p>
        </w:tc>
      </w:tr>
      <w:tr w:rsidR="00A750D4" w14:paraId="3CD255C6" w14:textId="77777777">
        <w:trPr>
          <w:cantSplit/>
          <w:trHeight w:val="60"/>
        </w:trPr>
        <w:tc>
          <w:tcPr>
            <w:tcW w:w="1871" w:type="dxa"/>
            <w:gridSpan w:val="2"/>
          </w:tcPr>
          <w:p w14:paraId="1EB04B33" w14:textId="77777777" w:rsidR="00A750D4" w:rsidRDefault="00A750D4">
            <w:pPr>
              <w:pStyle w:val="TableSideHeading"/>
              <w:rPr>
                <w:rtl/>
              </w:rPr>
            </w:pPr>
          </w:p>
        </w:tc>
        <w:tc>
          <w:tcPr>
            <w:tcW w:w="624" w:type="dxa"/>
          </w:tcPr>
          <w:p w14:paraId="6C41B44C" w14:textId="77777777" w:rsidR="00A750D4" w:rsidRDefault="00A750D4" w:rsidP="00A750D4">
            <w:pPr>
              <w:pStyle w:val="TableText"/>
            </w:pPr>
          </w:p>
        </w:tc>
        <w:tc>
          <w:tcPr>
            <w:tcW w:w="624" w:type="dxa"/>
          </w:tcPr>
          <w:p w14:paraId="2FAEC078" w14:textId="77777777" w:rsidR="00A750D4" w:rsidRDefault="00A750D4">
            <w:pPr>
              <w:pStyle w:val="TableText"/>
              <w:rPr>
                <w:rtl/>
              </w:rPr>
            </w:pPr>
          </w:p>
        </w:tc>
        <w:tc>
          <w:tcPr>
            <w:tcW w:w="6522" w:type="dxa"/>
          </w:tcPr>
          <w:p w14:paraId="5E1A94FB" w14:textId="1A40BD92" w:rsidR="00A750D4" w:rsidRDefault="00A750D4">
            <w:pPr>
              <w:pStyle w:val="TableBlock"/>
              <w:rPr>
                <w:rtl/>
              </w:rPr>
            </w:pPr>
            <w:r>
              <w:rPr>
                <w:rFonts w:hint="cs"/>
                <w:rtl/>
              </w:rPr>
              <w:t>(2)</w:t>
            </w:r>
            <w:r>
              <w:rPr>
                <w:rtl/>
              </w:rPr>
              <w:tab/>
            </w:r>
            <w:r>
              <w:rPr>
                <w:rFonts w:hint="cs"/>
                <w:rtl/>
              </w:rPr>
              <w:t xml:space="preserve">החלטת המפקח להתנגד לסגירת סניף תהיה מנומקת </w:t>
            </w:r>
            <w:r w:rsidR="0028677D">
              <w:rPr>
                <w:rFonts w:hint="cs"/>
                <w:rtl/>
              </w:rPr>
              <w:t>ו</w:t>
            </w:r>
            <w:r>
              <w:rPr>
                <w:rFonts w:hint="cs"/>
                <w:rtl/>
              </w:rPr>
              <w:t xml:space="preserve">בכתב ותינתן לאחר שנתן לתאגיד הבנקאי הזדמנות להשמיע את טענותיו </w:t>
            </w:r>
            <w:r w:rsidR="0028677D">
              <w:rPr>
                <w:rFonts w:hint="cs"/>
                <w:rtl/>
              </w:rPr>
              <w:t>ו</w:t>
            </w:r>
            <w:r>
              <w:rPr>
                <w:rFonts w:hint="cs"/>
                <w:rtl/>
              </w:rPr>
              <w:t>לאחר התייעצות עם ועדת הרישיונות."</w:t>
            </w:r>
          </w:p>
        </w:tc>
      </w:tr>
    </w:tbl>
    <w:p w14:paraId="7F6961CA" w14:textId="77777777" w:rsidR="002D1EE3" w:rsidRDefault="002D1EE3" w:rsidP="002D1EE3">
      <w:pPr>
        <w:pStyle w:val="HeadDivreiHesber"/>
        <w:rPr>
          <w:rtl/>
        </w:rPr>
      </w:pPr>
      <w:r w:rsidRPr="0027450A">
        <w:rPr>
          <w:rFonts w:hint="cs"/>
          <w:rtl/>
        </w:rPr>
        <w:t>דברי הסבר</w:t>
      </w:r>
    </w:p>
    <w:p w14:paraId="7F6961CB" w14:textId="3BB8F438" w:rsidR="00E13C27" w:rsidRDefault="005D0E20" w:rsidP="00883C86">
      <w:pPr>
        <w:pStyle w:val="Hesber"/>
        <w:rPr>
          <w:rtl/>
        </w:rPr>
      </w:pPr>
      <w:r>
        <w:rPr>
          <w:rFonts w:hint="cs"/>
          <w:rtl/>
        </w:rPr>
        <w:t>חוק</w:t>
      </w:r>
      <w:r w:rsidR="002D37B1">
        <w:rPr>
          <w:rFonts w:hint="cs"/>
          <w:rtl/>
        </w:rPr>
        <w:t xml:space="preserve"> הבנקאות (רישוי), התשמ"א</w:t>
      </w:r>
      <w:r w:rsidR="00883C86">
        <w:rPr>
          <w:rFonts w:hint="eastAsia"/>
          <w:rtl/>
        </w:rPr>
        <w:t>–</w:t>
      </w:r>
      <w:r w:rsidR="002D37B1">
        <w:rPr>
          <w:rFonts w:hint="cs"/>
          <w:rtl/>
        </w:rPr>
        <w:t xml:space="preserve">1981, </w:t>
      </w:r>
      <w:r>
        <w:rPr>
          <w:rFonts w:hint="cs"/>
          <w:rtl/>
        </w:rPr>
        <w:t>מסמיך את ה</w:t>
      </w:r>
      <w:r w:rsidR="00B61B9D">
        <w:rPr>
          <w:rFonts w:hint="cs"/>
          <w:rtl/>
        </w:rPr>
        <w:t>מפקח על הבנקים</w:t>
      </w:r>
      <w:r w:rsidR="00197FD6">
        <w:rPr>
          <w:rFonts w:hint="cs"/>
        </w:rPr>
        <w:t xml:space="preserve"> </w:t>
      </w:r>
      <w:r w:rsidR="00B61B9D">
        <w:rPr>
          <w:rFonts w:hint="cs"/>
          <w:rtl/>
        </w:rPr>
        <w:t>לתת לתאגיד בנקאי היתר סניף ולבטל היתר סניף</w:t>
      </w:r>
      <w:r w:rsidR="002D37B1">
        <w:rPr>
          <w:rFonts w:hint="cs"/>
          <w:rtl/>
        </w:rPr>
        <w:t>.</w:t>
      </w:r>
      <w:r w:rsidR="00B61B9D">
        <w:rPr>
          <w:rFonts w:hint="cs"/>
          <w:rtl/>
        </w:rPr>
        <w:t xml:space="preserve"> </w:t>
      </w:r>
      <w:r>
        <w:rPr>
          <w:rFonts w:hint="cs"/>
          <w:rtl/>
        </w:rPr>
        <w:t>עם זאת,</w:t>
      </w:r>
      <w:r w:rsidR="00B61B9D">
        <w:rPr>
          <w:rFonts w:hint="cs"/>
          <w:rtl/>
        </w:rPr>
        <w:t xml:space="preserve"> אין למפקח כיום סמכות שלא לאפשר לתאגיד</w:t>
      </w:r>
      <w:r w:rsidR="00FB5A1E">
        <w:rPr>
          <w:rFonts w:hint="cs"/>
          <w:rtl/>
        </w:rPr>
        <w:t xml:space="preserve"> בנקאי לסגור סניף. על כן, מוצע לחייב את התאגיד הבנקאי להודיע למפקח על כוונתו לסגור סניף לפחות שישים ימים לפני סגירת הסניף. מאחר שסגירת סניף עשויה לפגוע בצורה משמעותית בשירותים הניתנים ללקוחות התאגיד הבנקאי באזור מסוים או בטובת הציבור, מוצע להסמיך את המפקח</w:t>
      </w:r>
      <w:r>
        <w:rPr>
          <w:rFonts w:hint="cs"/>
          <w:rtl/>
        </w:rPr>
        <w:t xml:space="preserve"> או עובד בנק ישראל שהוא הסמיכו לכך</w:t>
      </w:r>
      <w:r w:rsidR="00FB5A1E">
        <w:rPr>
          <w:rFonts w:hint="cs"/>
          <w:rtl/>
        </w:rPr>
        <w:t xml:space="preserve">, לאחר התייעצויות עם ועדת הרישיונות, להתנגד לסגירת הסניף, </w:t>
      </w:r>
      <w:r w:rsidR="002D37B1">
        <w:rPr>
          <w:rFonts w:hint="cs"/>
          <w:rtl/>
        </w:rPr>
        <w:t xml:space="preserve">תוך </w:t>
      </w:r>
      <w:r w:rsidR="00FB5A1E">
        <w:rPr>
          <w:rFonts w:hint="cs"/>
          <w:rtl/>
        </w:rPr>
        <w:t>מתן הזדמנות לתאגיד הבנקאי להשמיע את טענותיו.</w:t>
      </w:r>
    </w:p>
    <w:p w14:paraId="3A11BE98" w14:textId="77777777" w:rsidR="00197FD6" w:rsidRDefault="00197FD6" w:rsidP="00197FD6">
      <w:pPr>
        <w:pStyle w:val="Hesber"/>
        <w:rPr>
          <w:rtl/>
        </w:rPr>
      </w:pPr>
    </w:p>
    <w:p w14:paraId="2269507D" w14:textId="77777777" w:rsidR="00197FD6" w:rsidRDefault="00197FD6" w:rsidP="00197FD6">
      <w:pPr>
        <w:pStyle w:val="Hesber"/>
        <w:rPr>
          <w:rtl/>
        </w:rPr>
      </w:pPr>
    </w:p>
    <w:p w14:paraId="40838628" w14:textId="77777777" w:rsidR="00197FD6" w:rsidRPr="00557D2C" w:rsidRDefault="00197FD6" w:rsidP="007D273A">
      <w:pPr>
        <w:pStyle w:val="Hesber"/>
        <w:rPr>
          <w:rtl/>
        </w:rPr>
      </w:pPr>
      <w:r w:rsidRPr="00557D2C">
        <w:rPr>
          <w:rtl/>
        </w:rPr>
        <w:t>---------------------------------</w:t>
      </w:r>
    </w:p>
    <w:p w14:paraId="10BE7357" w14:textId="77777777" w:rsidR="00197FD6" w:rsidRPr="00557D2C" w:rsidRDefault="00197FD6" w:rsidP="007D273A">
      <w:pPr>
        <w:pStyle w:val="Hesber"/>
        <w:rPr>
          <w:rtl/>
        </w:rPr>
      </w:pPr>
      <w:r w:rsidRPr="00557D2C">
        <w:rPr>
          <w:rtl/>
        </w:rPr>
        <w:t>הוגשה ליו"ר הכנסת והסגנים</w:t>
      </w:r>
    </w:p>
    <w:p w14:paraId="755B9D08" w14:textId="77777777" w:rsidR="00197FD6" w:rsidRPr="00557D2C" w:rsidRDefault="00197FD6" w:rsidP="007D273A">
      <w:pPr>
        <w:pStyle w:val="Hesber"/>
        <w:rPr>
          <w:rtl/>
        </w:rPr>
      </w:pPr>
      <w:r w:rsidRPr="00557D2C">
        <w:rPr>
          <w:rtl/>
        </w:rPr>
        <w:t>והונחה על שולחן הכנסת ביום</w:t>
      </w:r>
    </w:p>
    <w:p w14:paraId="4913582E" w14:textId="71758006" w:rsidR="00197FD6" w:rsidRDefault="00197FD6" w:rsidP="00197FD6">
      <w:pPr>
        <w:pStyle w:val="Hesber"/>
        <w:rPr>
          <w:rtl/>
        </w:rPr>
      </w:pPr>
      <w:r>
        <w:rPr>
          <w:rFonts w:hint="cs"/>
          <w:rtl/>
        </w:rPr>
        <w:t>ד'</w:t>
      </w:r>
      <w:r w:rsidRPr="00557D2C">
        <w:rPr>
          <w:rFonts w:hint="cs"/>
          <w:rtl/>
        </w:rPr>
        <w:t xml:space="preserve"> </w:t>
      </w:r>
      <w:r>
        <w:rPr>
          <w:rFonts w:hint="cs"/>
          <w:rtl/>
        </w:rPr>
        <w:t xml:space="preserve">באב </w:t>
      </w:r>
      <w:r w:rsidRPr="00557D2C">
        <w:rPr>
          <w:rFonts w:hint="cs"/>
          <w:rtl/>
        </w:rPr>
        <w:t xml:space="preserve">התשע"ה </w:t>
      </w:r>
      <w:r w:rsidRPr="00557D2C">
        <w:rPr>
          <w:rtl/>
        </w:rPr>
        <w:t>–</w:t>
      </w:r>
      <w:r>
        <w:rPr>
          <w:rFonts w:hint="cs"/>
          <w:rtl/>
        </w:rPr>
        <w:t xml:space="preserve"> 20.7.15</w:t>
      </w:r>
    </w:p>
    <w:p w14:paraId="176F0834" w14:textId="6E9F069E" w:rsidR="002D37B1" w:rsidRDefault="002D37B1" w:rsidP="005D0E20">
      <w:pPr>
        <w:pStyle w:val="Hesber"/>
        <w:rPr>
          <w:rtl/>
        </w:rPr>
      </w:pPr>
    </w:p>
    <w:sectPr w:rsidR="002D37B1"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B77A15" w14:textId="77777777" w:rsidR="00844D64" w:rsidRDefault="00844D64">
      <w:r>
        <w:separator/>
      </w:r>
    </w:p>
  </w:endnote>
  <w:endnote w:type="continuationSeparator" w:id="0">
    <w:p w14:paraId="3E04F3FD" w14:textId="77777777" w:rsidR="00844D64" w:rsidRDefault="00844D64">
      <w:r>
        <w:continuationSeparator/>
      </w:r>
    </w:p>
  </w:endnote>
  <w:endnote w:type="continuationNotice" w:id="1">
    <w:p w14:paraId="2A4C6B24" w14:textId="77777777" w:rsidR="00844D64" w:rsidRDefault="00844D6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2507CF">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4489A1" w14:textId="77777777" w:rsidR="00844D64" w:rsidRDefault="00844D64">
      <w:r>
        <w:separator/>
      </w:r>
    </w:p>
  </w:footnote>
  <w:footnote w:type="continuationSeparator" w:id="0">
    <w:p w14:paraId="16CC88DD" w14:textId="77777777" w:rsidR="00844D64" w:rsidRDefault="00844D64">
      <w:r>
        <w:continuationSeparator/>
      </w:r>
    </w:p>
  </w:footnote>
  <w:footnote w:type="continuationNotice" w:id="1">
    <w:p w14:paraId="27243BE4" w14:textId="77777777" w:rsidR="00844D64" w:rsidRDefault="00844D64"/>
  </w:footnote>
  <w:footnote w:id="2">
    <w:p w14:paraId="797E076E" w14:textId="507567ED" w:rsidR="00116B5C" w:rsidRDefault="00116B5C" w:rsidP="00DF30A9">
      <w:pPr>
        <w:pStyle w:val="a4"/>
        <w:rPr>
          <w:rtl/>
        </w:rPr>
      </w:pPr>
      <w:r>
        <w:rPr>
          <w:rStyle w:val="a5"/>
        </w:rPr>
        <w:footnoteRef/>
      </w:r>
      <w:r>
        <w:rPr>
          <w:rtl/>
        </w:rPr>
        <w:t xml:space="preserve"> </w:t>
      </w:r>
      <w:r>
        <w:rPr>
          <w:rFonts w:hint="cs"/>
          <w:rtl/>
        </w:rPr>
        <w:t>ס"ח התשמ"א, עמ' 232</w:t>
      </w:r>
      <w:r w:rsidR="009A7AE4">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01C45AF"/>
    <w:multiLevelType w:val="hybridMultilevel"/>
    <w:tmpl w:val="5FC6B7FA"/>
    <w:lvl w:ilvl="0" w:tplc="5F3E2C8C">
      <w:start w:val="1"/>
      <w:numFmt w:val="decimal"/>
      <w:lvlRestart w:val="0"/>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FEB3C50"/>
    <w:multiLevelType w:val="hybridMultilevel"/>
    <w:tmpl w:val="4D18ECDE"/>
    <w:lvl w:ilvl="0" w:tplc="37E82308">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B431D0"/>
    <w:multiLevelType w:val="hybridMultilevel"/>
    <w:tmpl w:val="2E3889A6"/>
    <w:lvl w:ilvl="0" w:tplc="9EF0E36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095FE6"/>
    <w:multiLevelType w:val="hybridMultilevel"/>
    <w:tmpl w:val="17CAFAE6"/>
    <w:lvl w:ilvl="0" w:tplc="0A50EE14">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ED0375C"/>
    <w:multiLevelType w:val="hybridMultilevel"/>
    <w:tmpl w:val="4AC4ACF6"/>
    <w:lvl w:ilvl="0" w:tplc="B7629A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48619A"/>
    <w:multiLevelType w:val="hybridMultilevel"/>
    <w:tmpl w:val="7C148FE4"/>
    <w:lvl w:ilvl="0" w:tplc="A96E8A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6E641EC"/>
    <w:multiLevelType w:val="hybridMultilevel"/>
    <w:tmpl w:val="8BD8518E"/>
    <w:lvl w:ilvl="0" w:tplc="6410578A">
      <w:start w:val="1"/>
      <w:numFmt w:val="hebrew1"/>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87A3E35"/>
    <w:multiLevelType w:val="hybridMultilevel"/>
    <w:tmpl w:val="E560165A"/>
    <w:lvl w:ilvl="0" w:tplc="9D22A96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9"/>
  </w:num>
  <w:num w:numId="13">
    <w:abstractNumId w:val="11"/>
  </w:num>
  <w:num w:numId="14">
    <w:abstractNumId w:val="20"/>
  </w:num>
  <w:num w:numId="15">
    <w:abstractNumId w:val="21"/>
  </w:num>
  <w:num w:numId="16">
    <w:abstractNumId w:val="14"/>
  </w:num>
  <w:num w:numId="17">
    <w:abstractNumId w:val="16"/>
  </w:num>
  <w:num w:numId="18">
    <w:abstractNumId w:val="17"/>
  </w:num>
  <w:num w:numId="19">
    <w:abstractNumId w:val="10"/>
  </w:num>
  <w:num w:numId="20">
    <w:abstractNumId w:val="13"/>
  </w:num>
  <w:num w:numId="21">
    <w:abstractNumId w:val="1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B7B33"/>
    <w:rsid w:val="00102B6B"/>
    <w:rsid w:val="001052D4"/>
    <w:rsid w:val="0010644B"/>
    <w:rsid w:val="00116B5C"/>
    <w:rsid w:val="001207F8"/>
    <w:rsid w:val="00121924"/>
    <w:rsid w:val="001279A8"/>
    <w:rsid w:val="0014195F"/>
    <w:rsid w:val="00152609"/>
    <w:rsid w:val="00153E1B"/>
    <w:rsid w:val="00197FD6"/>
    <w:rsid w:val="001A0623"/>
    <w:rsid w:val="001A09AA"/>
    <w:rsid w:val="001C23B0"/>
    <w:rsid w:val="001D7AAF"/>
    <w:rsid w:val="00203A7F"/>
    <w:rsid w:val="0021633A"/>
    <w:rsid w:val="002200A1"/>
    <w:rsid w:val="002362BF"/>
    <w:rsid w:val="00241B97"/>
    <w:rsid w:val="002425D1"/>
    <w:rsid w:val="00244FC2"/>
    <w:rsid w:val="00246756"/>
    <w:rsid w:val="002507CF"/>
    <w:rsid w:val="00251E58"/>
    <w:rsid w:val="00254605"/>
    <w:rsid w:val="00266D86"/>
    <w:rsid w:val="002728B4"/>
    <w:rsid w:val="0027600C"/>
    <w:rsid w:val="0028677D"/>
    <w:rsid w:val="00292712"/>
    <w:rsid w:val="002A487D"/>
    <w:rsid w:val="002C2E29"/>
    <w:rsid w:val="002C3041"/>
    <w:rsid w:val="002C771F"/>
    <w:rsid w:val="002D1EE3"/>
    <w:rsid w:val="002D37B1"/>
    <w:rsid w:val="002F1D80"/>
    <w:rsid w:val="002F2653"/>
    <w:rsid w:val="003232A2"/>
    <w:rsid w:val="00325C14"/>
    <w:rsid w:val="00353B63"/>
    <w:rsid w:val="0036422C"/>
    <w:rsid w:val="003710F6"/>
    <w:rsid w:val="00386E88"/>
    <w:rsid w:val="00396585"/>
    <w:rsid w:val="003D6E38"/>
    <w:rsid w:val="003D74A0"/>
    <w:rsid w:val="004033D8"/>
    <w:rsid w:val="004073F0"/>
    <w:rsid w:val="00412A7D"/>
    <w:rsid w:val="00416B4D"/>
    <w:rsid w:val="00417CFC"/>
    <w:rsid w:val="00443EF8"/>
    <w:rsid w:val="0049388E"/>
    <w:rsid w:val="004A06DC"/>
    <w:rsid w:val="004B24ED"/>
    <w:rsid w:val="004B6625"/>
    <w:rsid w:val="004B69DD"/>
    <w:rsid w:val="004D2D82"/>
    <w:rsid w:val="004D3876"/>
    <w:rsid w:val="004E4552"/>
    <w:rsid w:val="004E6CDF"/>
    <w:rsid w:val="0053180B"/>
    <w:rsid w:val="00553C9D"/>
    <w:rsid w:val="00562A66"/>
    <w:rsid w:val="005B064E"/>
    <w:rsid w:val="005D0E20"/>
    <w:rsid w:val="005D51AE"/>
    <w:rsid w:val="00606BA6"/>
    <w:rsid w:val="00623ECD"/>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44D64"/>
    <w:rsid w:val="00865572"/>
    <w:rsid w:val="00874BBC"/>
    <w:rsid w:val="00883C86"/>
    <w:rsid w:val="00892135"/>
    <w:rsid w:val="00895449"/>
    <w:rsid w:val="00897879"/>
    <w:rsid w:val="008A6870"/>
    <w:rsid w:val="008C2DDC"/>
    <w:rsid w:val="008C7516"/>
    <w:rsid w:val="008E6EC7"/>
    <w:rsid w:val="008F0D63"/>
    <w:rsid w:val="008F1308"/>
    <w:rsid w:val="008F2C35"/>
    <w:rsid w:val="008F3D7A"/>
    <w:rsid w:val="008F3FC6"/>
    <w:rsid w:val="008F6665"/>
    <w:rsid w:val="00904591"/>
    <w:rsid w:val="00905E5F"/>
    <w:rsid w:val="0091204F"/>
    <w:rsid w:val="009203DB"/>
    <w:rsid w:val="00923CD4"/>
    <w:rsid w:val="00930EFE"/>
    <w:rsid w:val="00943386"/>
    <w:rsid w:val="009456B6"/>
    <w:rsid w:val="00957589"/>
    <w:rsid w:val="009659FB"/>
    <w:rsid w:val="00966D06"/>
    <w:rsid w:val="00982412"/>
    <w:rsid w:val="00983A8D"/>
    <w:rsid w:val="009A0DB8"/>
    <w:rsid w:val="009A7257"/>
    <w:rsid w:val="009A7AE4"/>
    <w:rsid w:val="009B26DC"/>
    <w:rsid w:val="009D6E0A"/>
    <w:rsid w:val="009E1E33"/>
    <w:rsid w:val="00A14672"/>
    <w:rsid w:val="00A26BD6"/>
    <w:rsid w:val="00A443CF"/>
    <w:rsid w:val="00A6611D"/>
    <w:rsid w:val="00A750D4"/>
    <w:rsid w:val="00A82CB7"/>
    <w:rsid w:val="00A942C1"/>
    <w:rsid w:val="00AA2F03"/>
    <w:rsid w:val="00AC36F7"/>
    <w:rsid w:val="00AC63A4"/>
    <w:rsid w:val="00AD239E"/>
    <w:rsid w:val="00B10265"/>
    <w:rsid w:val="00B16A99"/>
    <w:rsid w:val="00B21211"/>
    <w:rsid w:val="00B35784"/>
    <w:rsid w:val="00B61B9D"/>
    <w:rsid w:val="00B733A7"/>
    <w:rsid w:val="00B75C91"/>
    <w:rsid w:val="00B975AD"/>
    <w:rsid w:val="00BC45FB"/>
    <w:rsid w:val="00BC7AAF"/>
    <w:rsid w:val="00BF148D"/>
    <w:rsid w:val="00C23B1A"/>
    <w:rsid w:val="00C310EB"/>
    <w:rsid w:val="00C9176A"/>
    <w:rsid w:val="00CF1AA2"/>
    <w:rsid w:val="00D17774"/>
    <w:rsid w:val="00D5137B"/>
    <w:rsid w:val="00D63620"/>
    <w:rsid w:val="00D8410D"/>
    <w:rsid w:val="00D867D7"/>
    <w:rsid w:val="00DB7060"/>
    <w:rsid w:val="00DE3153"/>
    <w:rsid w:val="00DF30A9"/>
    <w:rsid w:val="00E06736"/>
    <w:rsid w:val="00E13C27"/>
    <w:rsid w:val="00E33BBD"/>
    <w:rsid w:val="00E374F2"/>
    <w:rsid w:val="00E45103"/>
    <w:rsid w:val="00E55A60"/>
    <w:rsid w:val="00E572D6"/>
    <w:rsid w:val="00E62778"/>
    <w:rsid w:val="00E63D38"/>
    <w:rsid w:val="00E665B9"/>
    <w:rsid w:val="00E969D3"/>
    <w:rsid w:val="00EA01E6"/>
    <w:rsid w:val="00EA3DE8"/>
    <w:rsid w:val="00EA758F"/>
    <w:rsid w:val="00EB12E1"/>
    <w:rsid w:val="00ED4A6F"/>
    <w:rsid w:val="00EF3A3A"/>
    <w:rsid w:val="00F628D6"/>
    <w:rsid w:val="00F67051"/>
    <w:rsid w:val="00F86A1E"/>
    <w:rsid w:val="00FA5E88"/>
    <w:rsid w:val="00FB5A1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3EC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623E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23ECD"/>
    <w:rPr>
      <w:sz w:val="36"/>
      <w:szCs w:val="52"/>
    </w:rPr>
  </w:style>
  <w:style w:type="paragraph" w:customStyle="1" w:styleId="Cover3-Haknesset">
    <w:name w:val="Cover 3-Haknesset"/>
    <w:basedOn w:val="Cover1-Reshumot"/>
    <w:rsid w:val="00623ECD"/>
    <w:rPr>
      <w:b/>
      <w:bCs/>
      <w:spacing w:val="60"/>
    </w:rPr>
  </w:style>
  <w:style w:type="paragraph" w:customStyle="1" w:styleId="Cover4-Date">
    <w:name w:val="Cover 4-Date"/>
    <w:basedOn w:val="a"/>
    <w:rsid w:val="00623E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623EC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23EC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23ECD"/>
    <w:pPr>
      <w:spacing w:before="120" w:after="120"/>
    </w:pPr>
    <w:rPr>
      <w:color w:val="FF0000"/>
      <w:w w:val="80"/>
    </w:rPr>
  </w:style>
  <w:style w:type="paragraph" w:styleId="a3">
    <w:name w:val="endnote text"/>
    <w:basedOn w:val="a"/>
    <w:semiHidden/>
    <w:rsid w:val="00623ECD"/>
    <w:pPr>
      <w:ind w:left="227" w:hanging="227"/>
    </w:pPr>
    <w:rPr>
      <w:sz w:val="14"/>
      <w:szCs w:val="22"/>
    </w:rPr>
  </w:style>
  <w:style w:type="paragraph" w:customStyle="1" w:styleId="TableText">
    <w:name w:val="Table Text"/>
    <w:basedOn w:val="a"/>
    <w:rsid w:val="00623EC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23ECD"/>
  </w:style>
  <w:style w:type="paragraph" w:customStyle="1" w:styleId="TableBlock">
    <w:name w:val="Table Block"/>
    <w:basedOn w:val="TableText"/>
    <w:rsid w:val="00623ECD"/>
    <w:pPr>
      <w:ind w:right="0"/>
      <w:jc w:val="both"/>
    </w:pPr>
  </w:style>
  <w:style w:type="paragraph" w:customStyle="1" w:styleId="TableHead">
    <w:name w:val="Table Head"/>
    <w:basedOn w:val="TableText"/>
    <w:rsid w:val="00623EC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623ECD"/>
  </w:style>
  <w:style w:type="paragraph" w:customStyle="1" w:styleId="Hesber">
    <w:name w:val="Hesber"/>
    <w:basedOn w:val="a"/>
    <w:rsid w:val="00623EC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623EC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623ECD"/>
    <w:rPr>
      <w:vertAlign w:val="superscript"/>
    </w:rPr>
  </w:style>
  <w:style w:type="paragraph" w:customStyle="1" w:styleId="HesberHeading">
    <w:name w:val="Hesber Heading"/>
    <w:basedOn w:val="Hesber"/>
    <w:rsid w:val="00623ECD"/>
    <w:pPr>
      <w:tabs>
        <w:tab w:val="left" w:pos="624"/>
        <w:tab w:val="left" w:pos="1247"/>
      </w:tabs>
      <w:ind w:firstLine="0"/>
    </w:pPr>
    <w:rPr>
      <w:b/>
      <w:bCs/>
    </w:rPr>
  </w:style>
  <w:style w:type="paragraph" w:customStyle="1" w:styleId="HesberWriters">
    <w:name w:val="Hesber Writers"/>
    <w:basedOn w:val="Hesber"/>
    <w:rsid w:val="00623ECD"/>
    <w:pPr>
      <w:spacing w:before="120" w:after="6000"/>
      <w:ind w:left="1418" w:firstLine="0"/>
      <w:jc w:val="right"/>
    </w:pPr>
    <w:rPr>
      <w:b/>
      <w:bCs/>
    </w:rPr>
  </w:style>
  <w:style w:type="paragraph" w:customStyle="1" w:styleId="Hesber1st">
    <w:name w:val="Hesber 1st"/>
    <w:basedOn w:val="Hesber"/>
    <w:rsid w:val="00623ECD"/>
    <w:pPr>
      <w:tabs>
        <w:tab w:val="left" w:pos="680"/>
        <w:tab w:val="left" w:pos="1020"/>
      </w:tabs>
      <w:ind w:firstLine="0"/>
    </w:pPr>
  </w:style>
  <w:style w:type="character" w:styleId="a6">
    <w:name w:val="endnote reference"/>
    <w:basedOn w:val="a0"/>
    <w:semiHidden/>
    <w:rsid w:val="00623ECD"/>
    <w:rPr>
      <w:vertAlign w:val="superscript"/>
    </w:rPr>
  </w:style>
  <w:style w:type="paragraph" w:customStyle="1" w:styleId="TableBlockOutdent">
    <w:name w:val="Table BlockOutdent"/>
    <w:basedOn w:val="TableBlock"/>
    <w:rsid w:val="00623ECD"/>
    <w:pPr>
      <w:ind w:left="624" w:hanging="624"/>
    </w:pPr>
  </w:style>
  <w:style w:type="paragraph" w:styleId="a7">
    <w:name w:val="header"/>
    <w:basedOn w:val="a"/>
    <w:rsid w:val="00623ECD"/>
    <w:pPr>
      <w:tabs>
        <w:tab w:val="center" w:pos="4153"/>
        <w:tab w:val="right" w:pos="8306"/>
      </w:tabs>
    </w:pPr>
  </w:style>
  <w:style w:type="paragraph" w:styleId="a8">
    <w:name w:val="footer"/>
    <w:basedOn w:val="a"/>
    <w:rsid w:val="00623ECD"/>
    <w:pPr>
      <w:tabs>
        <w:tab w:val="center" w:pos="4153"/>
        <w:tab w:val="right" w:pos="8306"/>
      </w:tabs>
    </w:pPr>
  </w:style>
  <w:style w:type="paragraph" w:customStyle="1" w:styleId="HeadDivreiHesber">
    <w:name w:val="Head DivreiHesber"/>
    <w:basedOn w:val="a"/>
    <w:rsid w:val="00623E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623EC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623EC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3EC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623E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23ECD"/>
    <w:rPr>
      <w:sz w:val="36"/>
      <w:szCs w:val="52"/>
    </w:rPr>
  </w:style>
  <w:style w:type="paragraph" w:customStyle="1" w:styleId="Cover3-Haknesset">
    <w:name w:val="Cover 3-Haknesset"/>
    <w:basedOn w:val="Cover1-Reshumot"/>
    <w:rsid w:val="00623ECD"/>
    <w:rPr>
      <w:b/>
      <w:bCs/>
      <w:spacing w:val="60"/>
    </w:rPr>
  </w:style>
  <w:style w:type="paragraph" w:customStyle="1" w:styleId="Cover4-Date">
    <w:name w:val="Cover 4-Date"/>
    <w:basedOn w:val="a"/>
    <w:rsid w:val="00623E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623EC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23EC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23ECD"/>
    <w:pPr>
      <w:spacing w:before="120" w:after="120"/>
    </w:pPr>
    <w:rPr>
      <w:color w:val="FF0000"/>
      <w:w w:val="80"/>
    </w:rPr>
  </w:style>
  <w:style w:type="paragraph" w:styleId="a3">
    <w:name w:val="endnote text"/>
    <w:basedOn w:val="a"/>
    <w:semiHidden/>
    <w:rsid w:val="00623ECD"/>
    <w:pPr>
      <w:ind w:left="227" w:hanging="227"/>
    </w:pPr>
    <w:rPr>
      <w:sz w:val="14"/>
      <w:szCs w:val="22"/>
    </w:rPr>
  </w:style>
  <w:style w:type="paragraph" w:customStyle="1" w:styleId="TableText">
    <w:name w:val="Table Text"/>
    <w:basedOn w:val="a"/>
    <w:rsid w:val="00623EC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23ECD"/>
  </w:style>
  <w:style w:type="paragraph" w:customStyle="1" w:styleId="TableBlock">
    <w:name w:val="Table Block"/>
    <w:basedOn w:val="TableText"/>
    <w:rsid w:val="00623ECD"/>
    <w:pPr>
      <w:ind w:right="0"/>
      <w:jc w:val="both"/>
    </w:pPr>
  </w:style>
  <w:style w:type="paragraph" w:customStyle="1" w:styleId="TableHead">
    <w:name w:val="Table Head"/>
    <w:basedOn w:val="TableText"/>
    <w:rsid w:val="00623EC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623ECD"/>
  </w:style>
  <w:style w:type="paragraph" w:customStyle="1" w:styleId="Hesber">
    <w:name w:val="Hesber"/>
    <w:basedOn w:val="a"/>
    <w:rsid w:val="00623EC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623EC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623ECD"/>
    <w:rPr>
      <w:vertAlign w:val="superscript"/>
    </w:rPr>
  </w:style>
  <w:style w:type="paragraph" w:customStyle="1" w:styleId="HesberHeading">
    <w:name w:val="Hesber Heading"/>
    <w:basedOn w:val="Hesber"/>
    <w:rsid w:val="00623ECD"/>
    <w:pPr>
      <w:tabs>
        <w:tab w:val="left" w:pos="624"/>
        <w:tab w:val="left" w:pos="1247"/>
      </w:tabs>
      <w:ind w:firstLine="0"/>
    </w:pPr>
    <w:rPr>
      <w:b/>
      <w:bCs/>
    </w:rPr>
  </w:style>
  <w:style w:type="paragraph" w:customStyle="1" w:styleId="HesberWriters">
    <w:name w:val="Hesber Writers"/>
    <w:basedOn w:val="Hesber"/>
    <w:rsid w:val="00623ECD"/>
    <w:pPr>
      <w:spacing w:before="120" w:after="6000"/>
      <w:ind w:left="1418" w:firstLine="0"/>
      <w:jc w:val="right"/>
    </w:pPr>
    <w:rPr>
      <w:b/>
      <w:bCs/>
    </w:rPr>
  </w:style>
  <w:style w:type="paragraph" w:customStyle="1" w:styleId="Hesber1st">
    <w:name w:val="Hesber 1st"/>
    <w:basedOn w:val="Hesber"/>
    <w:rsid w:val="00623ECD"/>
    <w:pPr>
      <w:tabs>
        <w:tab w:val="left" w:pos="680"/>
        <w:tab w:val="left" w:pos="1020"/>
      </w:tabs>
      <w:ind w:firstLine="0"/>
    </w:pPr>
  </w:style>
  <w:style w:type="character" w:styleId="a6">
    <w:name w:val="endnote reference"/>
    <w:basedOn w:val="a0"/>
    <w:semiHidden/>
    <w:rsid w:val="00623ECD"/>
    <w:rPr>
      <w:vertAlign w:val="superscript"/>
    </w:rPr>
  </w:style>
  <w:style w:type="paragraph" w:customStyle="1" w:styleId="TableBlockOutdent">
    <w:name w:val="Table BlockOutdent"/>
    <w:basedOn w:val="TableBlock"/>
    <w:rsid w:val="00623ECD"/>
    <w:pPr>
      <w:ind w:left="624" w:hanging="624"/>
    </w:pPr>
  </w:style>
  <w:style w:type="paragraph" w:styleId="a7">
    <w:name w:val="header"/>
    <w:basedOn w:val="a"/>
    <w:rsid w:val="00623ECD"/>
    <w:pPr>
      <w:tabs>
        <w:tab w:val="center" w:pos="4153"/>
        <w:tab w:val="right" w:pos="8306"/>
      </w:tabs>
    </w:pPr>
  </w:style>
  <w:style w:type="paragraph" w:styleId="a8">
    <w:name w:val="footer"/>
    <w:basedOn w:val="a"/>
    <w:rsid w:val="00623ECD"/>
    <w:pPr>
      <w:tabs>
        <w:tab w:val="center" w:pos="4153"/>
        <w:tab w:val="right" w:pos="8306"/>
      </w:tabs>
    </w:pPr>
  </w:style>
  <w:style w:type="paragraph" w:customStyle="1" w:styleId="HeadDivreiHesber">
    <w:name w:val="Head DivreiHesber"/>
    <w:basedOn w:val="a"/>
    <w:rsid w:val="00623E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623EC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623EC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8627FC-46AC-43FE-8B32-7C7B18F61D64}"/>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4458EBE8-2C8E-4A76-828B-762BA381E3B2}"/>
</file>

<file path=docProps/app.xml><?xml version="1.0" encoding="utf-8"?>
<Properties xmlns="http://schemas.openxmlformats.org/officeDocument/2006/extended-properties" xmlns:vt="http://schemas.openxmlformats.org/officeDocument/2006/docPropsVTypes">
  <Template>Normal</Template>
  <TotalTime>0</TotalTime>
  <Pages>2</Pages>
  <Words>275</Words>
  <Characters>1375</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2015-07-16T11:45:00Z</cp:lastPrinted>
  <dcterms:created xsi:type="dcterms:W3CDTF">2016-06-02T08:14:00Z</dcterms:created>
  <dcterms:modified xsi:type="dcterms:W3CDTF">2016-06-02T08:14:00Z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2003305</vt:r8>
  </property>
</Properties>
</file>