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WithEffects.xml" ContentType="application/vnd.ms-word.stylesWithEffects+xml"/>
  <Override PartName="/word/fontTable.xml" ContentType="application/vnd.openxmlformats-officedocument.wordprocessingml.fontTable+xml"/>
  <Override PartName="/docProps/core.xml" ContentType="application/vnd.openxmlformats-package.core-properties+xml"/>
  <Override PartName="/word/styles.xml" ContentType="application/vnd.openxmlformats-officedocument.wordprocessingml.styl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3258" w:rsidRPr="007A6126" w:rsidRDefault="00393258" w:rsidP="007A6126">
      <w:pPr>
        <w:pStyle w:val="HeadHatzaotHok"/>
        <w:jc w:val="right"/>
        <w:rPr>
          <w:u w:val="single"/>
          <w:rtl/>
        </w:rPr>
      </w:pPr>
      <w:bookmarkStart w:id="0" w:name="LGSName"/>
      <w:bookmarkStart w:id="1" w:name="_GoBack"/>
      <w:bookmarkEnd w:id="1"/>
      <w:r w:rsidRPr="007A6126">
        <w:rPr>
          <w:rFonts w:hint="cs"/>
          <w:u w:val="single"/>
          <w:rtl/>
        </w:rPr>
        <w:t>נוסח לדיון</w:t>
      </w:r>
      <w:r w:rsidR="007A6126" w:rsidRPr="007A6126">
        <w:rPr>
          <w:rFonts w:hint="cs"/>
          <w:u w:val="single"/>
          <w:rtl/>
        </w:rPr>
        <w:t xml:space="preserve"> בוועדה</w:t>
      </w:r>
      <w:r w:rsidRPr="007A6126">
        <w:rPr>
          <w:rFonts w:hint="cs"/>
          <w:u w:val="single"/>
          <w:rtl/>
        </w:rPr>
        <w:t xml:space="preserve"> ב-6.6.16</w:t>
      </w:r>
    </w:p>
    <w:p w:rsidR="00393258" w:rsidRDefault="00393258" w:rsidP="000D065C">
      <w:pPr>
        <w:pStyle w:val="HeadHatzaotHok"/>
        <w:rPr>
          <w:rtl/>
        </w:rPr>
      </w:pPr>
    </w:p>
    <w:p w:rsidR="00B02A70" w:rsidRDefault="00B02A70" w:rsidP="000D065C">
      <w:pPr>
        <w:pStyle w:val="HeadHatzaotHok"/>
        <w:rPr>
          <w:rtl/>
        </w:rPr>
      </w:pPr>
      <w:r>
        <w:rPr>
          <w:rFonts w:hint="cs"/>
          <w:rtl/>
        </w:rPr>
        <w:t>הצעת חוק איסור הפליה במוצרים, בשירותים ובכניסה למקומות בידור ולמקומות ציבוריים (תיקון מס' 4) (איסור הפליה מחמת מקום מגורים), התשע"ו</w:t>
      </w:r>
      <w:r>
        <w:rPr>
          <w:rFonts w:hint="eastAsia"/>
          <w:rtl/>
        </w:rPr>
        <w:t>–</w:t>
      </w:r>
      <w:r>
        <w:rPr>
          <w:rFonts w:hint="cs"/>
          <w:rtl/>
        </w:rPr>
        <w:t>201</w:t>
      </w:r>
      <w:bookmarkEnd w:id="0"/>
      <w:r w:rsidR="000D065C">
        <w:rPr>
          <w:rFonts w:hint="cs"/>
          <w:rtl/>
        </w:rPr>
        <w:t>6</w:t>
      </w:r>
    </w:p>
    <w:p w:rsidR="007A6126" w:rsidRDefault="007A6126" w:rsidP="000D065C">
      <w:pPr>
        <w:pStyle w:val="HeadHatzaotHok"/>
        <w:rPr>
          <w:rtl/>
        </w:rPr>
      </w:pPr>
    </w:p>
    <w:tbl>
      <w:tblPr>
        <w:bidiVisual/>
        <w:tblW w:w="9637"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624"/>
        <w:gridCol w:w="6519"/>
      </w:tblGrid>
      <w:tr w:rsidR="00B02A70" w:rsidTr="00E72BD6">
        <w:trPr>
          <w:cantSplit/>
        </w:trPr>
        <w:tc>
          <w:tcPr>
            <w:tcW w:w="1870" w:type="dxa"/>
            <w:tcMar>
              <w:top w:w="91" w:type="dxa"/>
              <w:left w:w="0" w:type="dxa"/>
              <w:bottom w:w="91" w:type="dxa"/>
              <w:right w:w="0" w:type="dxa"/>
            </w:tcMar>
            <w:hideMark/>
          </w:tcPr>
          <w:p w:rsidR="00B02A70" w:rsidRDefault="00B02A70" w:rsidP="00E72BD6">
            <w:pPr>
              <w:pStyle w:val="TableSideHeading"/>
            </w:pPr>
            <w:r>
              <w:rPr>
                <w:rFonts w:hint="cs"/>
                <w:rtl/>
              </w:rPr>
              <w:t>תיקון סעיף 3</w:t>
            </w:r>
          </w:p>
        </w:tc>
        <w:tc>
          <w:tcPr>
            <w:tcW w:w="624" w:type="dxa"/>
            <w:tcMar>
              <w:top w:w="91" w:type="dxa"/>
              <w:left w:w="0" w:type="dxa"/>
              <w:bottom w:w="91" w:type="dxa"/>
              <w:right w:w="0" w:type="dxa"/>
            </w:tcMar>
            <w:hideMark/>
          </w:tcPr>
          <w:p w:rsidR="00B02A70" w:rsidRDefault="00B02A70" w:rsidP="00E72BD6">
            <w:pPr>
              <w:pStyle w:val="TableText"/>
            </w:pPr>
            <w:r>
              <w:rPr>
                <w:rFonts w:hint="cs"/>
                <w:rtl/>
              </w:rPr>
              <w:t>1.</w:t>
            </w:r>
          </w:p>
        </w:tc>
        <w:tc>
          <w:tcPr>
            <w:tcW w:w="7143" w:type="dxa"/>
            <w:gridSpan w:val="2"/>
            <w:tcMar>
              <w:top w:w="91" w:type="dxa"/>
              <w:left w:w="0" w:type="dxa"/>
              <w:bottom w:w="91" w:type="dxa"/>
              <w:right w:w="0" w:type="dxa"/>
            </w:tcMar>
            <w:hideMark/>
          </w:tcPr>
          <w:p w:rsidR="00B02A70" w:rsidRDefault="00B02A70" w:rsidP="00E72BD6">
            <w:pPr>
              <w:pStyle w:val="TableBlock"/>
            </w:pPr>
            <w:r>
              <w:rPr>
                <w:rFonts w:hint="cs"/>
                <w:rtl/>
              </w:rPr>
              <w:t>בחוק איסור הפליה במוצרים, בשירותים ובכניסה למקומות בידור ולמקומות ציבוריים, התשס"א–2000</w:t>
            </w:r>
            <w:r>
              <w:rPr>
                <w:rFonts w:ascii="Times New Roman" w:hAnsi="Times New Roman" w:cs="Times New Roman"/>
                <w:rtl/>
              </w:rPr>
              <w:t>‏</w:t>
            </w:r>
            <w:r>
              <w:rPr>
                <w:rStyle w:val="a5"/>
                <w:rtl/>
              </w:rPr>
              <w:footnoteReference w:id="1"/>
            </w:r>
            <w:r>
              <w:rPr>
                <w:rFonts w:hint="cs"/>
                <w:rtl/>
              </w:rPr>
              <w:t>, בסעיף 3, אחרי סעיף קטן (א) יבוא:</w:t>
            </w:r>
          </w:p>
        </w:tc>
      </w:tr>
      <w:tr w:rsidR="00B02A70" w:rsidTr="00E72BD6">
        <w:trPr>
          <w:cantSplit/>
        </w:trPr>
        <w:tc>
          <w:tcPr>
            <w:tcW w:w="1870" w:type="dxa"/>
            <w:tcMar>
              <w:top w:w="91" w:type="dxa"/>
              <w:left w:w="0" w:type="dxa"/>
              <w:bottom w:w="91" w:type="dxa"/>
              <w:right w:w="0" w:type="dxa"/>
            </w:tcMar>
          </w:tcPr>
          <w:p w:rsidR="00B02A70" w:rsidRDefault="00B02A70" w:rsidP="00E72BD6">
            <w:pPr>
              <w:pStyle w:val="TableSideHeading"/>
            </w:pPr>
          </w:p>
        </w:tc>
        <w:tc>
          <w:tcPr>
            <w:tcW w:w="624" w:type="dxa"/>
            <w:tcMar>
              <w:top w:w="91" w:type="dxa"/>
              <w:left w:w="0" w:type="dxa"/>
              <w:bottom w:w="91" w:type="dxa"/>
              <w:right w:w="0" w:type="dxa"/>
            </w:tcMar>
          </w:tcPr>
          <w:p w:rsidR="00B02A70" w:rsidRDefault="00B02A70" w:rsidP="00E72BD6">
            <w:pPr>
              <w:pStyle w:val="TableText"/>
            </w:pPr>
          </w:p>
        </w:tc>
        <w:tc>
          <w:tcPr>
            <w:tcW w:w="7143" w:type="dxa"/>
            <w:gridSpan w:val="2"/>
            <w:tcMar>
              <w:top w:w="91" w:type="dxa"/>
              <w:left w:w="0" w:type="dxa"/>
              <w:bottom w:w="91" w:type="dxa"/>
              <w:right w:w="0" w:type="dxa"/>
            </w:tcMar>
            <w:hideMark/>
          </w:tcPr>
          <w:p w:rsidR="00B02A70" w:rsidRPr="002330E6" w:rsidRDefault="00B02A70" w:rsidP="00E72BD6">
            <w:pPr>
              <w:pStyle w:val="TableBlock"/>
            </w:pPr>
            <w:r w:rsidRPr="002330E6">
              <w:rPr>
                <w:rFonts w:hint="cs"/>
                <w:rtl/>
              </w:rPr>
              <w:t>"(א1)</w:t>
            </w:r>
            <w:r w:rsidRPr="002330E6">
              <w:tab/>
            </w:r>
            <w:r w:rsidRPr="002330E6">
              <w:rPr>
                <w:rFonts w:hint="cs"/>
                <w:rtl/>
              </w:rPr>
              <w:t>מי שעיסוקו בהספקת מוצר או שירות ציבורי או בהפעלת מקום ציבורי, לא יפלה בהספקת המוצר או השירות הציבורי במקום העסק, במתן הכניסה למקום הציבורי או במתן שירות במקום הציבורי, מחמת מקום מגורים."</w:t>
            </w:r>
          </w:p>
        </w:tc>
      </w:tr>
      <w:tr w:rsidR="00B02A70" w:rsidTr="00E72BD6">
        <w:tblPrEx>
          <w:tblLook w:val="01E0" w:firstRow="1" w:lastRow="1" w:firstColumn="1" w:lastColumn="1" w:noHBand="0" w:noVBand="0"/>
        </w:tblPrEx>
        <w:trPr>
          <w:cantSplit/>
        </w:trPr>
        <w:tc>
          <w:tcPr>
            <w:tcW w:w="1870" w:type="dxa"/>
          </w:tcPr>
          <w:p w:rsidR="00B02A70" w:rsidRDefault="00B02A70" w:rsidP="00E72BD6">
            <w:pPr>
              <w:pStyle w:val="TableSideHeading"/>
            </w:pPr>
            <w:r>
              <w:rPr>
                <w:rFonts w:hint="cs"/>
                <w:rtl/>
              </w:rPr>
              <w:t xml:space="preserve">תיקון חוק הגנת הצרכן  </w:t>
            </w:r>
          </w:p>
        </w:tc>
        <w:tc>
          <w:tcPr>
            <w:tcW w:w="624" w:type="dxa"/>
          </w:tcPr>
          <w:p w:rsidR="00B02A70" w:rsidRDefault="00B02A70" w:rsidP="00E72BD6">
            <w:pPr>
              <w:pStyle w:val="TableText"/>
            </w:pPr>
            <w:r>
              <w:rPr>
                <w:rFonts w:hint="cs"/>
                <w:rtl/>
              </w:rPr>
              <w:t>2.</w:t>
            </w:r>
          </w:p>
        </w:tc>
        <w:tc>
          <w:tcPr>
            <w:tcW w:w="7143" w:type="dxa"/>
            <w:gridSpan w:val="2"/>
          </w:tcPr>
          <w:p w:rsidR="00B02A70" w:rsidRPr="00C34DE2" w:rsidRDefault="00B02A70" w:rsidP="00E72BD6">
            <w:pPr>
              <w:pStyle w:val="TableBlock"/>
            </w:pPr>
            <w:r>
              <w:rPr>
                <w:rFonts w:hint="cs"/>
                <w:rtl/>
              </w:rPr>
              <w:t>בחוק הגנת הצרכן, התשמ"א</w:t>
            </w:r>
            <w:r>
              <w:rPr>
                <w:rtl/>
              </w:rPr>
              <w:t>–</w:t>
            </w:r>
            <w:r>
              <w:rPr>
                <w:rFonts w:hint="cs"/>
                <w:rtl/>
              </w:rPr>
              <w:t>1981</w:t>
            </w:r>
            <w:r>
              <w:rPr>
                <w:rStyle w:val="a5"/>
                <w:rtl/>
              </w:rPr>
              <w:footnoteReference w:id="2"/>
            </w:r>
            <w:r>
              <w:rPr>
                <w:rFonts w:hint="cs"/>
                <w:rtl/>
              </w:rPr>
              <w:t xml:space="preserve"> </w:t>
            </w:r>
            <w:r>
              <w:rPr>
                <w:rFonts w:hint="eastAsia"/>
                <w:rtl/>
              </w:rPr>
              <w:t>–</w:t>
            </w:r>
            <w:r>
              <w:rPr>
                <w:rFonts w:hint="cs"/>
                <w:rtl/>
              </w:rPr>
              <w:t xml:space="preserve">  </w:t>
            </w:r>
          </w:p>
        </w:tc>
      </w:tr>
      <w:tr w:rsidR="00B02A70" w:rsidTr="00E72BD6">
        <w:tblPrEx>
          <w:tblLook w:val="01E0" w:firstRow="1" w:lastRow="1" w:firstColumn="1" w:lastColumn="1" w:noHBand="0" w:noVBand="0"/>
        </w:tblPrEx>
        <w:trPr>
          <w:cantSplit/>
        </w:trPr>
        <w:tc>
          <w:tcPr>
            <w:tcW w:w="1870" w:type="dxa"/>
          </w:tcPr>
          <w:p w:rsidR="00B02A70" w:rsidRDefault="00B02A70" w:rsidP="00E72BD6">
            <w:pPr>
              <w:pStyle w:val="TableSideHeading"/>
              <w:rPr>
                <w:rtl/>
              </w:rPr>
            </w:pPr>
          </w:p>
        </w:tc>
        <w:tc>
          <w:tcPr>
            <w:tcW w:w="624" w:type="dxa"/>
          </w:tcPr>
          <w:p w:rsidR="00B02A70" w:rsidRDefault="00B02A70" w:rsidP="00E72BD6">
            <w:pPr>
              <w:pStyle w:val="TableText"/>
              <w:rPr>
                <w:rtl/>
              </w:rPr>
            </w:pPr>
          </w:p>
        </w:tc>
        <w:tc>
          <w:tcPr>
            <w:tcW w:w="7143" w:type="dxa"/>
            <w:gridSpan w:val="2"/>
          </w:tcPr>
          <w:p w:rsidR="00B02A70" w:rsidRDefault="00B02A70" w:rsidP="00E72BD6">
            <w:pPr>
              <w:pStyle w:val="TableBlock"/>
              <w:rPr>
                <w:rtl/>
              </w:rPr>
            </w:pPr>
            <w:r>
              <w:rPr>
                <w:rFonts w:hint="cs"/>
                <w:rtl/>
              </w:rPr>
              <w:t>(1)</w:t>
            </w:r>
            <w:r>
              <w:rPr>
                <w:rtl/>
              </w:rPr>
              <w:tab/>
            </w:r>
            <w:r>
              <w:rPr>
                <w:rFonts w:hint="cs"/>
                <w:rtl/>
              </w:rPr>
              <w:t>בסעיף 2(א), אחרי פסקה (3) יבוא:</w:t>
            </w:r>
          </w:p>
        </w:tc>
      </w:tr>
      <w:tr w:rsidR="00B02A70" w:rsidTr="00E72BD6">
        <w:tblPrEx>
          <w:tblLook w:val="01E0" w:firstRow="1" w:lastRow="1" w:firstColumn="1" w:lastColumn="1" w:noHBand="0" w:noVBand="0"/>
        </w:tblPrEx>
        <w:trPr>
          <w:cantSplit/>
        </w:trPr>
        <w:tc>
          <w:tcPr>
            <w:tcW w:w="1870" w:type="dxa"/>
          </w:tcPr>
          <w:p w:rsidR="00B02A70" w:rsidRDefault="00B02A70" w:rsidP="00E72BD6">
            <w:pPr>
              <w:pStyle w:val="TableSideHeading"/>
            </w:pPr>
          </w:p>
        </w:tc>
        <w:tc>
          <w:tcPr>
            <w:tcW w:w="624" w:type="dxa"/>
          </w:tcPr>
          <w:p w:rsidR="00B02A70" w:rsidRDefault="00B02A70" w:rsidP="00E72BD6">
            <w:pPr>
              <w:pStyle w:val="TableText"/>
            </w:pPr>
          </w:p>
        </w:tc>
        <w:tc>
          <w:tcPr>
            <w:tcW w:w="624" w:type="dxa"/>
          </w:tcPr>
          <w:p w:rsidR="00B02A70" w:rsidRDefault="00B02A70" w:rsidP="00E72BD6">
            <w:pPr>
              <w:pStyle w:val="TableText"/>
            </w:pPr>
          </w:p>
        </w:tc>
        <w:tc>
          <w:tcPr>
            <w:tcW w:w="6519" w:type="dxa"/>
          </w:tcPr>
          <w:p w:rsidR="00B02A70" w:rsidRDefault="00B02A70" w:rsidP="00E72BD6">
            <w:pPr>
              <w:pStyle w:val="TableBlock"/>
            </w:pPr>
            <w:r>
              <w:rPr>
                <w:rFonts w:hint="cs"/>
                <w:rtl/>
              </w:rPr>
              <w:t>"(3א)</w:t>
            </w:r>
            <w:r>
              <w:rPr>
                <w:sz w:val="26"/>
                <w:rtl/>
              </w:rPr>
              <w:tab/>
            </w:r>
            <w:r w:rsidRPr="00BA488A">
              <w:rPr>
                <w:rFonts w:hint="cs"/>
                <w:sz w:val="26"/>
                <w:rtl/>
              </w:rPr>
              <w:t xml:space="preserve">המקום </w:t>
            </w:r>
            <w:r>
              <w:rPr>
                <w:rFonts w:hint="cs"/>
                <w:sz w:val="26"/>
                <w:rtl/>
              </w:rPr>
              <w:t>ש</w:t>
            </w:r>
            <w:r w:rsidRPr="00BA488A">
              <w:rPr>
                <w:rFonts w:hint="cs"/>
                <w:sz w:val="26"/>
                <w:rtl/>
              </w:rPr>
              <w:t xml:space="preserve">אליו יסופק </w:t>
            </w:r>
            <w:r>
              <w:rPr>
                <w:rFonts w:hint="cs"/>
                <w:sz w:val="26"/>
                <w:rtl/>
              </w:rPr>
              <w:t>לצרכן</w:t>
            </w:r>
            <w:r w:rsidRPr="00BA488A">
              <w:rPr>
                <w:rFonts w:hint="cs"/>
                <w:sz w:val="26"/>
                <w:rtl/>
              </w:rPr>
              <w:t xml:space="preserve"> הנכס או השירות, לרבות </w:t>
            </w:r>
            <w:r>
              <w:rPr>
                <w:rFonts w:hint="cs"/>
                <w:sz w:val="26"/>
                <w:rtl/>
              </w:rPr>
              <w:t>הספקה ל</w:t>
            </w:r>
            <w:r w:rsidRPr="00BA488A">
              <w:rPr>
                <w:rFonts w:hint="cs"/>
                <w:sz w:val="26"/>
                <w:rtl/>
              </w:rPr>
              <w:t>אזור</w:t>
            </w:r>
            <w:r>
              <w:rPr>
                <w:rFonts w:hint="cs"/>
                <w:sz w:val="26"/>
                <w:rtl/>
              </w:rPr>
              <w:t xml:space="preserve">, </w:t>
            </w:r>
            <w:r w:rsidRPr="00BA488A">
              <w:rPr>
                <w:rFonts w:hint="cs"/>
                <w:sz w:val="26"/>
                <w:rtl/>
              </w:rPr>
              <w:t xml:space="preserve">כהגדרתו </w:t>
            </w:r>
            <w:r w:rsidRPr="00BA488A">
              <w:rPr>
                <w:sz w:val="26"/>
                <w:rtl/>
              </w:rPr>
              <w:t>בתוספת</w:t>
            </w:r>
            <w:r w:rsidRPr="00BA488A">
              <w:rPr>
                <w:rFonts w:ascii="Times New Roman" w:hAnsi="Times New Roman"/>
                <w:sz w:val="26"/>
                <w:rtl/>
              </w:rPr>
              <w:t xml:space="preserve"> </w:t>
            </w:r>
            <w:r w:rsidRPr="00BA488A">
              <w:rPr>
                <w:sz w:val="26"/>
                <w:rtl/>
              </w:rPr>
              <w:t>לחוק</w:t>
            </w:r>
            <w:r w:rsidRPr="00BA488A">
              <w:rPr>
                <w:rFonts w:ascii="Times New Roman" w:hAnsi="Times New Roman"/>
                <w:sz w:val="26"/>
                <w:rtl/>
              </w:rPr>
              <w:t xml:space="preserve"> </w:t>
            </w:r>
            <w:r w:rsidRPr="00BA488A">
              <w:rPr>
                <w:sz w:val="26"/>
                <w:rtl/>
              </w:rPr>
              <w:t>לתיקון</w:t>
            </w:r>
            <w:r w:rsidRPr="00BA488A">
              <w:rPr>
                <w:rFonts w:ascii="Times New Roman" w:hAnsi="Times New Roman"/>
                <w:sz w:val="26"/>
                <w:rtl/>
              </w:rPr>
              <w:t xml:space="preserve"> </w:t>
            </w:r>
            <w:r w:rsidRPr="00BA488A">
              <w:rPr>
                <w:sz w:val="26"/>
                <w:rtl/>
              </w:rPr>
              <w:t>ולהארכת</w:t>
            </w:r>
            <w:r w:rsidRPr="00BA488A">
              <w:rPr>
                <w:rFonts w:ascii="Times New Roman" w:hAnsi="Times New Roman"/>
                <w:sz w:val="26"/>
                <w:rtl/>
              </w:rPr>
              <w:t xml:space="preserve"> </w:t>
            </w:r>
            <w:r w:rsidRPr="00BA488A">
              <w:rPr>
                <w:sz w:val="26"/>
                <w:rtl/>
              </w:rPr>
              <w:t>תוקפן</w:t>
            </w:r>
            <w:r w:rsidRPr="00BA488A">
              <w:rPr>
                <w:rFonts w:ascii="Times New Roman" w:hAnsi="Times New Roman"/>
                <w:sz w:val="26"/>
                <w:rtl/>
              </w:rPr>
              <w:t xml:space="preserve"> </w:t>
            </w:r>
            <w:r w:rsidRPr="00BA488A">
              <w:rPr>
                <w:sz w:val="26"/>
                <w:rtl/>
              </w:rPr>
              <w:t>של</w:t>
            </w:r>
            <w:r w:rsidRPr="00BA488A">
              <w:rPr>
                <w:rFonts w:ascii="Times New Roman" w:hAnsi="Times New Roman"/>
                <w:sz w:val="26"/>
                <w:rtl/>
              </w:rPr>
              <w:t xml:space="preserve"> </w:t>
            </w:r>
            <w:r w:rsidRPr="00BA488A">
              <w:rPr>
                <w:sz w:val="26"/>
                <w:rtl/>
              </w:rPr>
              <w:t>תקנות</w:t>
            </w:r>
            <w:r w:rsidRPr="00BA488A">
              <w:rPr>
                <w:rFonts w:ascii="Times New Roman" w:hAnsi="Times New Roman"/>
                <w:sz w:val="26"/>
                <w:rtl/>
              </w:rPr>
              <w:t xml:space="preserve"> </w:t>
            </w:r>
            <w:r w:rsidRPr="00BA488A">
              <w:rPr>
                <w:sz w:val="26"/>
                <w:rtl/>
              </w:rPr>
              <w:t>שעת</w:t>
            </w:r>
            <w:r w:rsidRPr="00BA488A">
              <w:rPr>
                <w:rFonts w:ascii="Times New Roman" w:hAnsi="Times New Roman"/>
                <w:sz w:val="26"/>
                <w:rtl/>
              </w:rPr>
              <w:t xml:space="preserve"> </w:t>
            </w:r>
            <w:r w:rsidRPr="00BA488A">
              <w:rPr>
                <w:sz w:val="26"/>
                <w:rtl/>
              </w:rPr>
              <w:t>חירום</w:t>
            </w:r>
            <w:r w:rsidRPr="00BA488A">
              <w:rPr>
                <w:rFonts w:ascii="Times New Roman" w:hAnsi="Times New Roman"/>
                <w:sz w:val="26"/>
                <w:rtl/>
              </w:rPr>
              <w:t xml:space="preserve"> (</w:t>
            </w:r>
            <w:r w:rsidRPr="00BA488A">
              <w:rPr>
                <w:sz w:val="26"/>
                <w:rtl/>
              </w:rPr>
              <w:t>יהודה</w:t>
            </w:r>
            <w:r w:rsidRPr="00BA488A">
              <w:rPr>
                <w:rFonts w:ascii="Times New Roman" w:hAnsi="Times New Roman"/>
                <w:sz w:val="26"/>
                <w:rtl/>
              </w:rPr>
              <w:t xml:space="preserve"> </w:t>
            </w:r>
            <w:r w:rsidRPr="00BA488A">
              <w:rPr>
                <w:sz w:val="26"/>
                <w:rtl/>
              </w:rPr>
              <w:t>והשומרון</w:t>
            </w:r>
            <w:r w:rsidRPr="00BA488A">
              <w:rPr>
                <w:rFonts w:ascii="Times New Roman" w:hAnsi="Times New Roman"/>
                <w:sz w:val="26"/>
                <w:rtl/>
              </w:rPr>
              <w:t xml:space="preserve"> </w:t>
            </w:r>
            <w:r>
              <w:rPr>
                <w:rFonts w:ascii="Times New Roman" w:hAnsi="Times New Roman" w:hint="cs"/>
                <w:sz w:val="26"/>
                <w:rtl/>
              </w:rPr>
              <w:t>–</w:t>
            </w:r>
            <w:r w:rsidRPr="00BA488A">
              <w:rPr>
                <w:rFonts w:ascii="Times New Roman" w:hAnsi="Times New Roman"/>
                <w:sz w:val="26"/>
                <w:rtl/>
              </w:rPr>
              <w:t xml:space="preserve"> </w:t>
            </w:r>
            <w:r w:rsidRPr="00BA488A">
              <w:rPr>
                <w:sz w:val="26"/>
                <w:rtl/>
              </w:rPr>
              <w:t>שיפוט</w:t>
            </w:r>
            <w:r w:rsidRPr="00BA488A">
              <w:rPr>
                <w:rFonts w:ascii="Times New Roman" w:hAnsi="Times New Roman"/>
                <w:sz w:val="26"/>
                <w:rtl/>
              </w:rPr>
              <w:t xml:space="preserve"> </w:t>
            </w:r>
            <w:r w:rsidRPr="00BA488A">
              <w:rPr>
                <w:sz w:val="26"/>
                <w:rtl/>
              </w:rPr>
              <w:t>בעבירות</w:t>
            </w:r>
            <w:r w:rsidRPr="00BA488A">
              <w:rPr>
                <w:rFonts w:ascii="Times New Roman" w:hAnsi="Times New Roman"/>
                <w:sz w:val="26"/>
                <w:rtl/>
              </w:rPr>
              <w:t xml:space="preserve"> </w:t>
            </w:r>
            <w:r w:rsidRPr="00BA488A">
              <w:rPr>
                <w:sz w:val="26"/>
                <w:rtl/>
              </w:rPr>
              <w:t>ועזרה</w:t>
            </w:r>
            <w:r w:rsidRPr="00BA488A">
              <w:rPr>
                <w:rFonts w:ascii="Times New Roman" w:hAnsi="Times New Roman"/>
                <w:sz w:val="26"/>
                <w:rtl/>
              </w:rPr>
              <w:t xml:space="preserve"> </w:t>
            </w:r>
            <w:r w:rsidRPr="00BA488A">
              <w:rPr>
                <w:sz w:val="26"/>
                <w:rtl/>
              </w:rPr>
              <w:t>משפטית</w:t>
            </w:r>
            <w:r w:rsidRPr="00BA488A">
              <w:rPr>
                <w:rFonts w:ascii="Times New Roman" w:hAnsi="Times New Roman"/>
                <w:sz w:val="26"/>
                <w:rtl/>
              </w:rPr>
              <w:t xml:space="preserve">), </w:t>
            </w:r>
            <w:r w:rsidRPr="00BA488A">
              <w:rPr>
                <w:sz w:val="26"/>
                <w:rtl/>
              </w:rPr>
              <w:t>התשס</w:t>
            </w:r>
            <w:r w:rsidRPr="00BA488A">
              <w:rPr>
                <w:rFonts w:ascii="Times New Roman" w:hAnsi="Times New Roman"/>
                <w:sz w:val="26"/>
                <w:rtl/>
              </w:rPr>
              <w:t>"</w:t>
            </w:r>
            <w:r w:rsidRPr="00BA488A">
              <w:rPr>
                <w:sz w:val="26"/>
                <w:rtl/>
              </w:rPr>
              <w:t>ז</w:t>
            </w:r>
            <w:r w:rsidRPr="00BA488A">
              <w:rPr>
                <w:rFonts w:ascii="Times New Roman" w:hAnsi="Times New Roman"/>
                <w:sz w:val="26"/>
                <w:rtl/>
              </w:rPr>
              <w:t>–2007</w:t>
            </w:r>
            <w:r>
              <w:rPr>
                <w:rStyle w:val="a5"/>
                <w:sz w:val="26"/>
              </w:rPr>
              <w:footnoteReference w:id="3"/>
            </w:r>
            <w:r>
              <w:rPr>
                <w:rFonts w:hint="cs"/>
                <w:rtl/>
              </w:rPr>
              <w:t>;";</w:t>
            </w:r>
            <w:r>
              <w:rPr>
                <w:rtl/>
              </w:rPr>
              <w:t xml:space="preserve"> </w:t>
            </w:r>
          </w:p>
        </w:tc>
      </w:tr>
      <w:tr w:rsidR="00B02A70" w:rsidTr="00E72BD6">
        <w:tblPrEx>
          <w:tblLook w:val="01E0" w:firstRow="1" w:lastRow="1" w:firstColumn="1" w:lastColumn="1" w:noHBand="0" w:noVBand="0"/>
        </w:tblPrEx>
        <w:trPr>
          <w:cantSplit/>
        </w:trPr>
        <w:tc>
          <w:tcPr>
            <w:tcW w:w="1870" w:type="dxa"/>
          </w:tcPr>
          <w:p w:rsidR="00B02A70" w:rsidRDefault="00B02A70" w:rsidP="00E72BD6">
            <w:pPr>
              <w:pStyle w:val="TableSideHeading"/>
            </w:pPr>
          </w:p>
        </w:tc>
        <w:tc>
          <w:tcPr>
            <w:tcW w:w="624" w:type="dxa"/>
          </w:tcPr>
          <w:p w:rsidR="00B02A70" w:rsidRDefault="00B02A70" w:rsidP="00E72BD6">
            <w:pPr>
              <w:pStyle w:val="TableText"/>
            </w:pPr>
          </w:p>
        </w:tc>
        <w:tc>
          <w:tcPr>
            <w:tcW w:w="7143" w:type="dxa"/>
            <w:gridSpan w:val="2"/>
          </w:tcPr>
          <w:p w:rsidR="00B02A70" w:rsidRPr="00C34DE2" w:rsidRDefault="00B02A70" w:rsidP="00E72BD6">
            <w:pPr>
              <w:pStyle w:val="TableBlock"/>
            </w:pPr>
            <w:r>
              <w:rPr>
                <w:rFonts w:hint="cs"/>
                <w:rtl/>
              </w:rPr>
              <w:t>(2)</w:t>
            </w:r>
            <w:r>
              <w:rPr>
                <w:rtl/>
              </w:rPr>
              <w:tab/>
            </w:r>
            <w:r>
              <w:rPr>
                <w:rFonts w:hint="cs"/>
                <w:rtl/>
              </w:rPr>
              <w:t>בסעיף 31א(א), אחרי פסקה (1) יבוא:</w:t>
            </w:r>
          </w:p>
        </w:tc>
      </w:tr>
      <w:tr w:rsidR="00B02A70" w:rsidTr="00E72BD6">
        <w:tblPrEx>
          <w:tblLook w:val="01E0" w:firstRow="1" w:lastRow="1" w:firstColumn="1" w:lastColumn="1" w:noHBand="0" w:noVBand="0"/>
        </w:tblPrEx>
        <w:trPr>
          <w:cantSplit/>
        </w:trPr>
        <w:tc>
          <w:tcPr>
            <w:tcW w:w="1870" w:type="dxa"/>
          </w:tcPr>
          <w:p w:rsidR="00B02A70" w:rsidRDefault="00B02A70" w:rsidP="00E72BD6">
            <w:pPr>
              <w:pStyle w:val="TableSideHeading"/>
            </w:pPr>
          </w:p>
        </w:tc>
        <w:tc>
          <w:tcPr>
            <w:tcW w:w="624" w:type="dxa"/>
          </w:tcPr>
          <w:p w:rsidR="00B02A70" w:rsidRDefault="00B02A70" w:rsidP="00E72BD6">
            <w:pPr>
              <w:pStyle w:val="TableText"/>
            </w:pPr>
          </w:p>
        </w:tc>
        <w:tc>
          <w:tcPr>
            <w:tcW w:w="624" w:type="dxa"/>
          </w:tcPr>
          <w:p w:rsidR="00B02A70" w:rsidRDefault="00B02A70" w:rsidP="00E72BD6">
            <w:pPr>
              <w:pStyle w:val="TableText"/>
            </w:pPr>
          </w:p>
        </w:tc>
        <w:tc>
          <w:tcPr>
            <w:tcW w:w="6519" w:type="dxa"/>
          </w:tcPr>
          <w:p w:rsidR="00B02A70" w:rsidRDefault="00B02A70" w:rsidP="00E72BD6">
            <w:pPr>
              <w:pStyle w:val="TableBlock"/>
            </w:pPr>
            <w:r>
              <w:rPr>
                <w:rFonts w:hint="cs"/>
                <w:rtl/>
              </w:rPr>
              <w:t>"(1א)</w:t>
            </w:r>
            <w:r>
              <w:rPr>
                <w:rtl/>
              </w:rPr>
              <w:tab/>
            </w:r>
            <w:r>
              <w:rPr>
                <w:rFonts w:hint="cs"/>
                <w:rtl/>
              </w:rPr>
              <w:t xml:space="preserve">ביקש צרכן כי עוסק יספק את הנכס או השירות למקום כפי שהוסכם בין הצדדים לפי סעיף 2(3א) </w:t>
            </w:r>
            <w:r>
              <w:rPr>
                <w:rFonts w:hint="eastAsia"/>
                <w:rtl/>
              </w:rPr>
              <w:t>–</w:t>
            </w:r>
            <w:r>
              <w:rPr>
                <w:rFonts w:hint="cs"/>
                <w:rtl/>
              </w:rPr>
              <w:t>והעוסק לא סיפק כאמור;".</w:t>
            </w:r>
          </w:p>
        </w:tc>
      </w:tr>
      <w:tr w:rsidR="00B02A70" w:rsidTr="00E72BD6">
        <w:tblPrEx>
          <w:tblLook w:val="01E0" w:firstRow="1" w:lastRow="1" w:firstColumn="1" w:lastColumn="1" w:noHBand="0" w:noVBand="0"/>
        </w:tblPrEx>
        <w:trPr>
          <w:cantSplit/>
        </w:trPr>
        <w:tc>
          <w:tcPr>
            <w:tcW w:w="1870" w:type="dxa"/>
          </w:tcPr>
          <w:p w:rsidR="00B02A70" w:rsidRDefault="00B02A70" w:rsidP="00E72BD6">
            <w:pPr>
              <w:pStyle w:val="TableSideHeading"/>
            </w:pPr>
            <w:r>
              <w:rPr>
                <w:rFonts w:hint="cs"/>
                <w:rtl/>
              </w:rPr>
              <w:t>תחילה</w:t>
            </w:r>
          </w:p>
        </w:tc>
        <w:tc>
          <w:tcPr>
            <w:tcW w:w="624" w:type="dxa"/>
          </w:tcPr>
          <w:p w:rsidR="00B02A70" w:rsidRDefault="00B02A70" w:rsidP="00E72BD6">
            <w:pPr>
              <w:pStyle w:val="TableText"/>
            </w:pPr>
            <w:r>
              <w:rPr>
                <w:rFonts w:hint="cs"/>
                <w:rtl/>
              </w:rPr>
              <w:t>3.</w:t>
            </w:r>
          </w:p>
        </w:tc>
        <w:tc>
          <w:tcPr>
            <w:tcW w:w="7143" w:type="dxa"/>
            <w:gridSpan w:val="2"/>
          </w:tcPr>
          <w:p w:rsidR="00B02A70" w:rsidRPr="00C34DE2" w:rsidRDefault="00B02A70" w:rsidP="00E72BD6">
            <w:pPr>
              <w:pStyle w:val="TableBlock"/>
            </w:pPr>
            <w:r>
              <w:rPr>
                <w:rFonts w:hint="cs"/>
                <w:rtl/>
              </w:rPr>
              <w:t>תחילתו של חוק זה ביום ________</w:t>
            </w:r>
            <w:r>
              <w:rPr>
                <w:rStyle w:val="a5"/>
                <w:rtl/>
              </w:rPr>
              <w:footnoteReference w:customMarkFollows="1" w:id="4"/>
              <w:t>*</w:t>
            </w:r>
            <w:r>
              <w:rPr>
                <w:rFonts w:hint="cs"/>
                <w:rtl/>
              </w:rPr>
              <w:t>.</w:t>
            </w:r>
          </w:p>
        </w:tc>
      </w:tr>
    </w:tbl>
    <w:p w:rsidR="006642DC" w:rsidRDefault="00BB5154" w:rsidP="00B02A70">
      <w:pPr>
        <w:bidi w:val="0"/>
      </w:pPr>
    </w:p>
    <w:sectPr w:rsidR="006642DC" w:rsidSect="003D61FD">
      <w:footerReference w:type="even" r:id="rId7"/>
      <w:footerReference w:type="default" r:id="rId8"/>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5154" w:rsidRDefault="00BB5154" w:rsidP="00B02A70">
      <w:pPr>
        <w:spacing w:before="0" w:line="240" w:lineRule="auto"/>
      </w:pPr>
      <w:r>
        <w:separator/>
      </w:r>
    </w:p>
  </w:endnote>
  <w:endnote w:type="continuationSeparator" w:id="0">
    <w:p w:rsidR="00BB5154" w:rsidRDefault="00BB5154" w:rsidP="00B02A70">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0000000000000000000"/>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7688" w:rsidRDefault="00B71D76" w:rsidP="003D61FD">
    <w:pPr>
      <w:pStyle w:val="a3"/>
      <w:framePr w:wrap="around" w:vAnchor="text" w:hAnchor="text" w:xAlign="center" w:y="1"/>
      <w:rPr>
        <w:rStyle w:val="a8"/>
      </w:rPr>
    </w:pPr>
    <w:r>
      <w:rPr>
        <w:rStyle w:val="a8"/>
        <w:rtl/>
      </w:rPr>
      <w:fldChar w:fldCharType="begin"/>
    </w:r>
    <w:r>
      <w:rPr>
        <w:rStyle w:val="a8"/>
      </w:rPr>
      <w:instrText xml:space="preserve">PAGE  </w:instrText>
    </w:r>
    <w:r>
      <w:rPr>
        <w:rStyle w:val="a8"/>
        <w:rtl/>
      </w:rPr>
      <w:fldChar w:fldCharType="end"/>
    </w:r>
  </w:p>
  <w:p w:rsidR="00EC7688" w:rsidRDefault="00BB5154">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7688" w:rsidRDefault="00B71D76" w:rsidP="003D61FD">
    <w:pPr>
      <w:pStyle w:val="a3"/>
      <w:framePr w:wrap="around" w:vAnchor="text" w:hAnchor="text" w:xAlign="center" w:y="1"/>
      <w:rPr>
        <w:rStyle w:val="a8"/>
      </w:rPr>
    </w:pPr>
    <w:r>
      <w:rPr>
        <w:rStyle w:val="a8"/>
        <w:rtl/>
      </w:rPr>
      <w:fldChar w:fldCharType="begin"/>
    </w:r>
    <w:r>
      <w:rPr>
        <w:rStyle w:val="a8"/>
      </w:rPr>
      <w:instrText xml:space="preserve">PAGE  </w:instrText>
    </w:r>
    <w:r>
      <w:rPr>
        <w:rStyle w:val="a8"/>
        <w:rtl/>
      </w:rPr>
      <w:fldChar w:fldCharType="separate"/>
    </w:r>
    <w:r w:rsidR="000D065C">
      <w:rPr>
        <w:rStyle w:val="a8"/>
        <w:noProof/>
        <w:rtl/>
      </w:rPr>
      <w:t>2</w:t>
    </w:r>
    <w:r>
      <w:rPr>
        <w:rStyle w:val="a8"/>
        <w:rtl/>
      </w:rPr>
      <w:fldChar w:fldCharType="end"/>
    </w:r>
  </w:p>
  <w:p w:rsidR="00EC7688" w:rsidRDefault="00BB5154">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5154" w:rsidRDefault="00BB5154" w:rsidP="00B02A70">
      <w:pPr>
        <w:spacing w:before="0" w:line="240" w:lineRule="auto"/>
      </w:pPr>
      <w:r>
        <w:separator/>
      </w:r>
    </w:p>
  </w:footnote>
  <w:footnote w:type="continuationSeparator" w:id="0">
    <w:p w:rsidR="00BB5154" w:rsidRDefault="00BB5154" w:rsidP="00B02A70">
      <w:pPr>
        <w:spacing w:before="0" w:line="240" w:lineRule="auto"/>
      </w:pPr>
      <w:r>
        <w:continuationSeparator/>
      </w:r>
    </w:p>
  </w:footnote>
  <w:footnote w:id="1">
    <w:p w:rsidR="00B02A70" w:rsidRDefault="00B02A70" w:rsidP="00B02A70">
      <w:pPr>
        <w:pStyle w:val="a6"/>
      </w:pPr>
      <w:r>
        <w:rPr>
          <w:rStyle w:val="a5"/>
        </w:rPr>
        <w:footnoteRef/>
      </w:r>
      <w:r>
        <w:rPr>
          <w:rFonts w:hint="cs"/>
          <w:rtl/>
        </w:rPr>
        <w:t xml:space="preserve"> ס"ח התשס"א, עמ' 58; התשע"ד, עמ' 594.</w:t>
      </w:r>
    </w:p>
  </w:footnote>
  <w:footnote w:id="2">
    <w:p w:rsidR="00B02A70" w:rsidRDefault="00B02A70" w:rsidP="00B02A70">
      <w:pPr>
        <w:pStyle w:val="a6"/>
        <w:rPr>
          <w:rtl/>
        </w:rPr>
      </w:pPr>
      <w:r>
        <w:rPr>
          <w:rStyle w:val="a5"/>
        </w:rPr>
        <w:footnoteRef/>
      </w:r>
      <w:r>
        <w:rPr>
          <w:rtl/>
        </w:rPr>
        <w:t xml:space="preserve"> </w:t>
      </w:r>
      <w:r>
        <w:rPr>
          <w:rFonts w:hint="cs"/>
          <w:rtl/>
        </w:rPr>
        <w:t xml:space="preserve">ס"ח התשמ"א, עמ' 248; </w:t>
      </w:r>
      <w:r w:rsidRPr="002330E6">
        <w:rPr>
          <w:rFonts w:hint="cs"/>
          <w:highlight w:val="yellow"/>
          <w:rtl/>
        </w:rPr>
        <w:t>התשע"ה, עמ' 66.</w:t>
      </w:r>
    </w:p>
  </w:footnote>
  <w:footnote w:id="3">
    <w:p w:rsidR="00B02A70" w:rsidRDefault="00B02A70" w:rsidP="00B02A70">
      <w:pPr>
        <w:pStyle w:val="a6"/>
      </w:pPr>
      <w:r>
        <w:rPr>
          <w:rStyle w:val="a5"/>
        </w:rPr>
        <w:footnoteRef/>
      </w:r>
      <w:r>
        <w:rPr>
          <w:rtl/>
        </w:rPr>
        <w:t xml:space="preserve"> </w:t>
      </w:r>
      <w:r>
        <w:rPr>
          <w:rFonts w:hint="cs"/>
          <w:rtl/>
        </w:rPr>
        <w:t>ס"ח התשס"ז, עמ' 364.</w:t>
      </w:r>
    </w:p>
  </w:footnote>
  <w:footnote w:id="4">
    <w:p w:rsidR="00B02A70" w:rsidRDefault="00B02A70" w:rsidP="00B02A70">
      <w:pPr>
        <w:pStyle w:val="a6"/>
      </w:pPr>
      <w:r>
        <w:rPr>
          <w:rStyle w:val="a5"/>
          <w:rtl/>
        </w:rPr>
        <w:t>*</w:t>
      </w:r>
      <w:r>
        <w:rPr>
          <w:rtl/>
        </w:rPr>
        <w:t xml:space="preserve"> </w:t>
      </w:r>
      <w:r>
        <w:rPr>
          <w:rFonts w:hint="cs"/>
          <w:rtl/>
        </w:rPr>
        <w:t>מועד התחילה ייקבע בעת הכנת הצעת החוק לקריאה השנייה ולקריאה השלישית.</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2A70"/>
    <w:rsid w:val="000626F8"/>
    <w:rsid w:val="000B3785"/>
    <w:rsid w:val="000D065C"/>
    <w:rsid w:val="00393258"/>
    <w:rsid w:val="005F3747"/>
    <w:rsid w:val="007A6126"/>
    <w:rsid w:val="007B6299"/>
    <w:rsid w:val="009A2465"/>
    <w:rsid w:val="00B02A70"/>
    <w:rsid w:val="00B15936"/>
    <w:rsid w:val="00B71D76"/>
    <w:rsid w:val="00BB5154"/>
    <w:rsid w:val="00D50B3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2A70"/>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B02A70"/>
    <w:pPr>
      <w:tabs>
        <w:tab w:val="center" w:pos="4153"/>
        <w:tab w:val="right" w:pos="8306"/>
      </w:tabs>
    </w:pPr>
  </w:style>
  <w:style w:type="character" w:customStyle="1" w:styleId="a4">
    <w:name w:val="כותרת תחתונה תו"/>
    <w:basedOn w:val="a0"/>
    <w:link w:val="a3"/>
    <w:rsid w:val="00B02A70"/>
    <w:rPr>
      <w:rFonts w:ascii="Hadasa Roso SL" w:eastAsia="MS Mincho" w:hAnsi="Hadasa Roso SL" w:cs="Hadasa Roso SL"/>
      <w:color w:val="000000"/>
      <w:spacing w:val="1"/>
      <w:sz w:val="17"/>
      <w:szCs w:val="17"/>
      <w:lang w:eastAsia="ja-JP"/>
    </w:rPr>
  </w:style>
  <w:style w:type="character" w:styleId="a5">
    <w:name w:val="footnote reference"/>
    <w:aliases w:val="Footnote Reference"/>
    <w:basedOn w:val="a0"/>
    <w:semiHidden/>
    <w:rsid w:val="00B02A70"/>
    <w:rPr>
      <w:vertAlign w:val="superscript"/>
    </w:rPr>
  </w:style>
  <w:style w:type="paragraph" w:styleId="a6">
    <w:name w:val="footnote text"/>
    <w:aliases w:val="Footnote Text"/>
    <w:basedOn w:val="a"/>
    <w:link w:val="a7"/>
    <w:autoRedefine/>
    <w:semiHidden/>
    <w:rsid w:val="00B02A70"/>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7">
    <w:name w:val="טקסט הערת שוליים תו"/>
    <w:aliases w:val="Footnote Text תו"/>
    <w:basedOn w:val="a0"/>
    <w:link w:val="a6"/>
    <w:semiHidden/>
    <w:rsid w:val="00B02A70"/>
    <w:rPr>
      <w:rFonts w:ascii="Arial" w:eastAsia="Arial Unicode MS" w:hAnsi="Arial" w:cs="David"/>
      <w:snapToGrid w:val="0"/>
      <w:color w:val="000000"/>
      <w:sz w:val="14"/>
      <w:szCs w:val="20"/>
      <w:lang w:eastAsia="ja-JP"/>
    </w:rPr>
  </w:style>
  <w:style w:type="paragraph" w:customStyle="1" w:styleId="HeadDivreiHesber">
    <w:name w:val="Head DivreiHesber"/>
    <w:basedOn w:val="a"/>
    <w:rsid w:val="00B02A70"/>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HeadHatzaotHok">
    <w:name w:val="Head HatzaotHok"/>
    <w:basedOn w:val="a"/>
    <w:rsid w:val="00B02A70"/>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rsid w:val="00B02A70"/>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sber">
    <w:name w:val="Hesber"/>
    <w:basedOn w:val="a"/>
    <w:rsid w:val="00B02A70"/>
    <w:pPr>
      <w:snapToGrid w:val="0"/>
      <w:spacing w:before="0" w:line="360" w:lineRule="auto"/>
    </w:pPr>
    <w:rPr>
      <w:rFonts w:ascii="Arial" w:eastAsia="Arial Unicode MS" w:hAnsi="Arial" w:cs="David"/>
      <w:snapToGrid w:val="0"/>
      <w:spacing w:val="0"/>
      <w:sz w:val="20"/>
      <w:szCs w:val="26"/>
    </w:rPr>
  </w:style>
  <w:style w:type="paragraph" w:customStyle="1" w:styleId="HesberWriters">
    <w:name w:val="Hesber Writers"/>
    <w:basedOn w:val="Hesber"/>
    <w:rsid w:val="00B02A70"/>
    <w:pPr>
      <w:spacing w:before="120" w:after="6000"/>
      <w:ind w:left="1418" w:firstLine="0"/>
      <w:jc w:val="right"/>
    </w:pPr>
    <w:rPr>
      <w:b/>
      <w:bCs/>
    </w:rPr>
  </w:style>
  <w:style w:type="character" w:styleId="a8">
    <w:name w:val="page number"/>
    <w:basedOn w:val="a0"/>
    <w:rsid w:val="00B02A70"/>
  </w:style>
  <w:style w:type="paragraph" w:customStyle="1" w:styleId="TableText">
    <w:name w:val="Table Text"/>
    <w:basedOn w:val="a"/>
    <w:rsid w:val="00B02A70"/>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B02A70"/>
    <w:pPr>
      <w:ind w:right="0"/>
      <w:jc w:val="both"/>
    </w:pPr>
  </w:style>
  <w:style w:type="paragraph" w:customStyle="1" w:styleId="TableSideHeading">
    <w:name w:val="Table SideHeading"/>
    <w:basedOn w:val="TableText"/>
    <w:rsid w:val="00B02A70"/>
  </w:style>
  <w:style w:type="paragraph" w:styleId="a9">
    <w:name w:val="Balloon Text"/>
    <w:basedOn w:val="a"/>
    <w:link w:val="aa"/>
    <w:uiPriority w:val="99"/>
    <w:semiHidden/>
    <w:unhideWhenUsed/>
    <w:rsid w:val="000D065C"/>
    <w:pPr>
      <w:spacing w:before="0" w:line="240" w:lineRule="auto"/>
    </w:pPr>
    <w:rPr>
      <w:rFonts w:ascii="Tahoma" w:hAnsi="Tahoma" w:cs="Tahoma"/>
      <w:sz w:val="16"/>
      <w:szCs w:val="16"/>
    </w:rPr>
  </w:style>
  <w:style w:type="character" w:customStyle="1" w:styleId="aa">
    <w:name w:val="טקסט בלונים תו"/>
    <w:basedOn w:val="a0"/>
    <w:link w:val="a9"/>
    <w:uiPriority w:val="99"/>
    <w:semiHidden/>
    <w:rsid w:val="000D065C"/>
    <w:rPr>
      <w:rFonts w:ascii="Tahoma" w:eastAsia="MS Mincho" w:hAnsi="Tahoma" w:cs="Tahoma"/>
      <w:color w:val="000000"/>
      <w:spacing w:val="1"/>
      <w:sz w:val="16"/>
      <w:szCs w:val="16"/>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2A70"/>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B02A70"/>
    <w:pPr>
      <w:tabs>
        <w:tab w:val="center" w:pos="4153"/>
        <w:tab w:val="right" w:pos="8306"/>
      </w:tabs>
    </w:pPr>
  </w:style>
  <w:style w:type="character" w:customStyle="1" w:styleId="a4">
    <w:name w:val="כותרת תחתונה תו"/>
    <w:basedOn w:val="a0"/>
    <w:link w:val="a3"/>
    <w:rsid w:val="00B02A70"/>
    <w:rPr>
      <w:rFonts w:ascii="Hadasa Roso SL" w:eastAsia="MS Mincho" w:hAnsi="Hadasa Roso SL" w:cs="Hadasa Roso SL"/>
      <w:color w:val="000000"/>
      <w:spacing w:val="1"/>
      <w:sz w:val="17"/>
      <w:szCs w:val="17"/>
      <w:lang w:eastAsia="ja-JP"/>
    </w:rPr>
  </w:style>
  <w:style w:type="character" w:styleId="a5">
    <w:name w:val="footnote reference"/>
    <w:aliases w:val="Footnote Reference"/>
    <w:basedOn w:val="a0"/>
    <w:semiHidden/>
    <w:rsid w:val="00B02A70"/>
    <w:rPr>
      <w:vertAlign w:val="superscript"/>
    </w:rPr>
  </w:style>
  <w:style w:type="paragraph" w:styleId="a6">
    <w:name w:val="footnote text"/>
    <w:aliases w:val="Footnote Text"/>
    <w:basedOn w:val="a"/>
    <w:link w:val="a7"/>
    <w:autoRedefine/>
    <w:semiHidden/>
    <w:rsid w:val="00B02A70"/>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7">
    <w:name w:val="טקסט הערת שוליים תו"/>
    <w:aliases w:val="Footnote Text תו"/>
    <w:basedOn w:val="a0"/>
    <w:link w:val="a6"/>
    <w:semiHidden/>
    <w:rsid w:val="00B02A70"/>
    <w:rPr>
      <w:rFonts w:ascii="Arial" w:eastAsia="Arial Unicode MS" w:hAnsi="Arial" w:cs="David"/>
      <w:snapToGrid w:val="0"/>
      <w:color w:val="000000"/>
      <w:sz w:val="14"/>
      <w:szCs w:val="20"/>
      <w:lang w:eastAsia="ja-JP"/>
    </w:rPr>
  </w:style>
  <w:style w:type="paragraph" w:customStyle="1" w:styleId="HeadDivreiHesber">
    <w:name w:val="Head DivreiHesber"/>
    <w:basedOn w:val="a"/>
    <w:rsid w:val="00B02A70"/>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HeadHatzaotHok">
    <w:name w:val="Head HatzaotHok"/>
    <w:basedOn w:val="a"/>
    <w:rsid w:val="00B02A70"/>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rsid w:val="00B02A70"/>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sber">
    <w:name w:val="Hesber"/>
    <w:basedOn w:val="a"/>
    <w:rsid w:val="00B02A70"/>
    <w:pPr>
      <w:snapToGrid w:val="0"/>
      <w:spacing w:before="0" w:line="360" w:lineRule="auto"/>
    </w:pPr>
    <w:rPr>
      <w:rFonts w:ascii="Arial" w:eastAsia="Arial Unicode MS" w:hAnsi="Arial" w:cs="David"/>
      <w:snapToGrid w:val="0"/>
      <w:spacing w:val="0"/>
      <w:sz w:val="20"/>
      <w:szCs w:val="26"/>
    </w:rPr>
  </w:style>
  <w:style w:type="paragraph" w:customStyle="1" w:styleId="HesberWriters">
    <w:name w:val="Hesber Writers"/>
    <w:basedOn w:val="Hesber"/>
    <w:rsid w:val="00B02A70"/>
    <w:pPr>
      <w:spacing w:before="120" w:after="6000"/>
      <w:ind w:left="1418" w:firstLine="0"/>
      <w:jc w:val="right"/>
    </w:pPr>
    <w:rPr>
      <w:b/>
      <w:bCs/>
    </w:rPr>
  </w:style>
  <w:style w:type="character" w:styleId="a8">
    <w:name w:val="page number"/>
    <w:basedOn w:val="a0"/>
    <w:rsid w:val="00B02A70"/>
  </w:style>
  <w:style w:type="paragraph" w:customStyle="1" w:styleId="TableText">
    <w:name w:val="Table Text"/>
    <w:basedOn w:val="a"/>
    <w:rsid w:val="00B02A70"/>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B02A70"/>
    <w:pPr>
      <w:ind w:right="0"/>
      <w:jc w:val="both"/>
    </w:pPr>
  </w:style>
  <w:style w:type="paragraph" w:customStyle="1" w:styleId="TableSideHeading">
    <w:name w:val="Table SideHeading"/>
    <w:basedOn w:val="TableText"/>
    <w:rsid w:val="00B02A70"/>
  </w:style>
  <w:style w:type="paragraph" w:styleId="a9">
    <w:name w:val="Balloon Text"/>
    <w:basedOn w:val="a"/>
    <w:link w:val="aa"/>
    <w:uiPriority w:val="99"/>
    <w:semiHidden/>
    <w:unhideWhenUsed/>
    <w:rsid w:val="000D065C"/>
    <w:pPr>
      <w:spacing w:before="0" w:line="240" w:lineRule="auto"/>
    </w:pPr>
    <w:rPr>
      <w:rFonts w:ascii="Tahoma" w:hAnsi="Tahoma" w:cs="Tahoma"/>
      <w:sz w:val="16"/>
      <w:szCs w:val="16"/>
    </w:rPr>
  </w:style>
  <w:style w:type="character" w:customStyle="1" w:styleId="aa">
    <w:name w:val="טקסט בלונים תו"/>
    <w:basedOn w:val="a0"/>
    <w:link w:val="a9"/>
    <w:uiPriority w:val="99"/>
    <w:semiHidden/>
    <w:rsid w:val="000D065C"/>
    <w:rPr>
      <w:rFonts w:ascii="Tahoma" w:eastAsia="MS Mincho" w:hAnsi="Tahoma" w:cs="Tahoma"/>
      <w:color w:val="000000"/>
      <w:spacing w:val="1"/>
      <w:sz w:val="16"/>
      <w:szCs w:val="1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2.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D188FF2-7C05-4062-94E0-A76C353A68F4}"/>
</file>

<file path=customXml/itemProps2.xml><?xml version="1.0" encoding="utf-8"?>
<ds:datastoreItem xmlns:ds="http://schemas.openxmlformats.org/officeDocument/2006/customXml" ds:itemID="{807CE5BB-DFEB-4348-8CFD-870E2729DCA4}"/>
</file>

<file path=customXml/itemProps3.xml><?xml version="1.0" encoding="utf-8"?>
<ds:datastoreItem xmlns:ds="http://schemas.openxmlformats.org/officeDocument/2006/customXml" ds:itemID="{64FC0560-5409-4E7A-A2AD-05451055219E}"/>
</file>

<file path=docProps/app.xml><?xml version="1.0" encoding="utf-8"?>
<Properties xmlns="http://schemas.openxmlformats.org/officeDocument/2006/extended-properties" xmlns:vt="http://schemas.openxmlformats.org/officeDocument/2006/docPropsVTypes">
  <Template>Normal</Template>
  <TotalTime>7</TotalTime>
  <Pages>1</Pages>
  <Words>166</Words>
  <Characters>834</Characters>
  <Application>Microsoft Office Word</Application>
  <DocSecurity>0</DocSecurity>
  <Lines>6</Lines>
  <Paragraphs>1</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999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אביגל כספי</dc:creator>
  <cp:lastModifiedBy>כוכי שבתאי</cp:lastModifiedBy>
  <cp:revision>2</cp:revision>
  <cp:lastPrinted>2016-06-02T10:11:00Z</cp:lastPrinted>
  <dcterms:created xsi:type="dcterms:W3CDTF">2016-06-02T10:19:00Z</dcterms:created>
  <dcterms:modified xsi:type="dcterms:W3CDTF">2016-06-02T10:19:00Z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2002525</vt:r8>
  </property>
</Properties>
</file>