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BAD" w:rsidRPr="00913A70" w:rsidRDefault="00364DDA" w:rsidP="00364DDA">
      <w:pPr>
        <w:bidi w:val="0"/>
        <w:rPr>
          <w:rFonts w:cs="David"/>
          <w:sz w:val="24"/>
          <w:szCs w:val="24"/>
        </w:rPr>
      </w:pPr>
      <w:r>
        <w:rPr>
          <w:rFonts w:cs="David" w:hint="cs"/>
          <w:sz w:val="24"/>
          <w:szCs w:val="24"/>
          <w:rtl/>
        </w:rPr>
        <w:t>אייר</w:t>
      </w:r>
      <w:r w:rsidR="00796870" w:rsidRPr="00913A70">
        <w:rPr>
          <w:rFonts w:cs="David" w:hint="cs"/>
          <w:sz w:val="24"/>
          <w:szCs w:val="24"/>
          <w:rtl/>
        </w:rPr>
        <w:t xml:space="preserve"> תשע"ו    </w:t>
      </w:r>
      <w:r>
        <w:rPr>
          <w:rFonts w:cs="David" w:hint="cs"/>
          <w:sz w:val="24"/>
          <w:szCs w:val="24"/>
          <w:rtl/>
        </w:rPr>
        <w:t>יוני</w:t>
      </w:r>
      <w:r w:rsidR="00796870" w:rsidRPr="00913A70">
        <w:rPr>
          <w:rFonts w:cs="David" w:hint="cs"/>
          <w:sz w:val="24"/>
          <w:szCs w:val="24"/>
          <w:rtl/>
        </w:rPr>
        <w:t xml:space="preserve"> 2016</w:t>
      </w:r>
    </w:p>
    <w:p w:rsidR="00796870" w:rsidRPr="00913A70" w:rsidRDefault="00796870" w:rsidP="00C85BBB">
      <w:pPr>
        <w:pStyle w:val="HeadHatzaotHok"/>
        <w:ind w:hanging="483"/>
        <w:rPr>
          <w:sz w:val="24"/>
          <w:szCs w:val="24"/>
          <w:u w:val="single"/>
          <w:rtl/>
        </w:rPr>
      </w:pPr>
      <w:bookmarkStart w:id="0" w:name="LGS_Subject"/>
      <w:r w:rsidRPr="00913A70">
        <w:rPr>
          <w:sz w:val="24"/>
          <w:szCs w:val="24"/>
          <w:u w:val="single"/>
          <w:rtl/>
        </w:rPr>
        <w:t xml:space="preserve">הצעת חוק שירותי הדת היהודיים (תיקון – הסדרת ייעוד השימוש במקווה טהרה), </w:t>
      </w:r>
      <w:proofErr w:type="spellStart"/>
      <w:r w:rsidRPr="00913A70">
        <w:rPr>
          <w:sz w:val="24"/>
          <w:szCs w:val="24"/>
          <w:u w:val="single"/>
          <w:rtl/>
        </w:rPr>
        <w:t>התשע"ו</w:t>
      </w:r>
      <w:proofErr w:type="spellEnd"/>
      <w:r w:rsidRPr="00913A70">
        <w:rPr>
          <w:sz w:val="24"/>
          <w:szCs w:val="24"/>
          <w:u w:val="single"/>
          <w:rtl/>
        </w:rPr>
        <w:t>–2016</w:t>
      </w:r>
      <w:bookmarkEnd w:id="0"/>
    </w:p>
    <w:p w:rsidR="00796870" w:rsidRDefault="00C85BBB" w:rsidP="00C85BBB">
      <w:pPr>
        <w:numPr>
          <w:ilvl w:val="0"/>
          <w:numId w:val="3"/>
        </w:numPr>
        <w:spacing w:before="240" w:line="360" w:lineRule="auto"/>
        <w:ind w:left="85" w:hanging="567"/>
        <w:jc w:val="both"/>
        <w:rPr>
          <w:rFonts w:cs="David" w:hint="cs"/>
          <w:sz w:val="24"/>
          <w:szCs w:val="24"/>
          <w:rtl/>
        </w:rPr>
      </w:pPr>
      <w:r>
        <w:rPr>
          <w:rFonts w:cs="David" w:hint="cs"/>
          <w:sz w:val="24"/>
          <w:szCs w:val="24"/>
          <w:rtl/>
        </w:rPr>
        <w:t xml:space="preserve"> </w:t>
      </w:r>
      <w:r w:rsidR="00796870" w:rsidRPr="00913A70">
        <w:rPr>
          <w:rFonts w:cs="David" w:hint="cs"/>
          <w:sz w:val="24"/>
          <w:szCs w:val="24"/>
          <w:rtl/>
        </w:rPr>
        <w:t xml:space="preserve">ביום 11.2.16 </w:t>
      </w:r>
      <w:r w:rsidR="00913A70">
        <w:rPr>
          <w:rFonts w:cs="David" w:hint="cs"/>
          <w:sz w:val="24"/>
          <w:szCs w:val="24"/>
          <w:rtl/>
        </w:rPr>
        <w:t xml:space="preserve">הגיע לסיומו מאבק משפטי בן למעלה מעשור, כאשר </w:t>
      </w:r>
      <w:r w:rsidR="00796870" w:rsidRPr="00913A70">
        <w:rPr>
          <w:rFonts w:cs="David" w:hint="cs"/>
          <w:sz w:val="24"/>
          <w:szCs w:val="24"/>
          <w:rtl/>
        </w:rPr>
        <w:t xml:space="preserve">בית המשפט העליון </w:t>
      </w:r>
      <w:r w:rsidR="00913A70">
        <w:rPr>
          <w:rFonts w:cs="David" w:hint="cs"/>
          <w:sz w:val="24"/>
          <w:szCs w:val="24"/>
          <w:rtl/>
        </w:rPr>
        <w:t xml:space="preserve">קיבל </w:t>
      </w:r>
      <w:r w:rsidR="00796870" w:rsidRPr="00913A70">
        <w:rPr>
          <w:rFonts w:cs="David" w:hint="cs"/>
          <w:sz w:val="24"/>
          <w:szCs w:val="24"/>
          <w:rtl/>
        </w:rPr>
        <w:t xml:space="preserve">את הערעור שהגישו התנועה הרפורמית והתנועה המסורתית על פסק דינו של בית המשפט המחוזי בבאר שבע, וקבע כי יש </w:t>
      </w:r>
      <w:r w:rsidR="00913A70">
        <w:rPr>
          <w:rFonts w:cs="David" w:hint="cs"/>
          <w:spacing w:val="10"/>
          <w:sz w:val="24"/>
          <w:szCs w:val="24"/>
          <w:rtl/>
        </w:rPr>
        <w:t xml:space="preserve">לאפשר </w:t>
      </w:r>
      <w:r w:rsidR="00796870" w:rsidRPr="00913A70">
        <w:rPr>
          <w:rFonts w:cs="David" w:hint="cs"/>
          <w:spacing w:val="10"/>
          <w:sz w:val="24"/>
          <w:szCs w:val="24"/>
          <w:rtl/>
        </w:rPr>
        <w:t xml:space="preserve">למתגיירים </w:t>
      </w:r>
      <w:r w:rsidR="00913A70">
        <w:rPr>
          <w:rFonts w:cs="David" w:hint="cs"/>
          <w:spacing w:val="10"/>
          <w:sz w:val="24"/>
          <w:szCs w:val="24"/>
          <w:rtl/>
        </w:rPr>
        <w:t xml:space="preserve">רפורמיים וקונסרבטיביים </w:t>
      </w:r>
      <w:r w:rsidR="00796870" w:rsidRPr="00913A70">
        <w:rPr>
          <w:rFonts w:cs="David" w:hint="cs"/>
          <w:spacing w:val="10"/>
          <w:sz w:val="24"/>
          <w:szCs w:val="24"/>
          <w:rtl/>
        </w:rPr>
        <w:t>לטבול במקו</w:t>
      </w:r>
      <w:r w:rsidR="00913A70">
        <w:rPr>
          <w:rFonts w:cs="David" w:hint="cs"/>
          <w:spacing w:val="10"/>
          <w:sz w:val="24"/>
          <w:szCs w:val="24"/>
          <w:rtl/>
        </w:rPr>
        <w:t>ואות ציבוריים בהם מתאפשרת טבילת גרי המערך הממלכתי</w:t>
      </w:r>
      <w:r w:rsidR="00913A70">
        <w:rPr>
          <w:rFonts w:cs="David" w:hint="cs"/>
          <w:sz w:val="24"/>
          <w:szCs w:val="24"/>
          <w:rtl/>
        </w:rPr>
        <w:t xml:space="preserve"> (המדובר </w:t>
      </w:r>
      <w:r w:rsidR="00913A70" w:rsidRPr="00913A70">
        <w:rPr>
          <w:rFonts w:cs="David" w:hint="cs"/>
          <w:sz w:val="24"/>
          <w:szCs w:val="24"/>
          <w:rtl/>
        </w:rPr>
        <w:t xml:space="preserve">במקוואות </w:t>
      </w:r>
      <w:r w:rsidR="00913A70">
        <w:rPr>
          <w:rFonts w:ascii="Arial TUR" w:eastAsia="Times New Roman" w:hAnsi="Arial TUR" w:cs="David" w:hint="cs"/>
          <w:spacing w:val="10"/>
          <w:sz w:val="24"/>
          <w:szCs w:val="24"/>
          <w:rtl/>
        </w:rPr>
        <w:t>ב</w:t>
      </w:r>
      <w:r w:rsidR="00913A70" w:rsidRPr="00913A70">
        <w:rPr>
          <w:rFonts w:ascii="Arial TUR" w:eastAsia="Times New Roman" w:hAnsi="Arial TUR" w:cs="David" w:hint="cs"/>
          <w:spacing w:val="10"/>
          <w:sz w:val="24"/>
          <w:szCs w:val="24"/>
          <w:rtl/>
        </w:rPr>
        <w:t xml:space="preserve">צפת, עפולה, תל-אביב, </w:t>
      </w:r>
      <w:proofErr w:type="spellStart"/>
      <w:r w:rsidR="00913A70" w:rsidRPr="00913A70">
        <w:rPr>
          <w:rFonts w:ascii="Arial TUR" w:eastAsia="Times New Roman" w:hAnsi="Arial TUR" w:cs="David" w:hint="cs"/>
          <w:spacing w:val="10"/>
          <w:sz w:val="24"/>
          <w:szCs w:val="24"/>
          <w:rtl/>
        </w:rPr>
        <w:t>קרית</w:t>
      </w:r>
      <w:proofErr w:type="spellEnd"/>
      <w:r w:rsidR="00913A70" w:rsidRPr="00913A70">
        <w:rPr>
          <w:rFonts w:ascii="Arial TUR" w:eastAsia="Times New Roman" w:hAnsi="Arial TUR" w:cs="David" w:hint="cs"/>
          <w:spacing w:val="10"/>
          <w:sz w:val="24"/>
          <w:szCs w:val="24"/>
          <w:rtl/>
        </w:rPr>
        <w:t>-גת, באר שבע ומבשרת ציון</w:t>
      </w:r>
      <w:r w:rsidR="00913A70">
        <w:rPr>
          <w:rFonts w:cs="David" w:hint="cs"/>
          <w:sz w:val="24"/>
          <w:szCs w:val="24"/>
          <w:rtl/>
        </w:rPr>
        <w:t>)</w:t>
      </w:r>
      <w:r w:rsidR="0075464C">
        <w:rPr>
          <w:rFonts w:cs="David" w:hint="cs"/>
          <w:sz w:val="24"/>
          <w:szCs w:val="24"/>
          <w:rtl/>
        </w:rPr>
        <w:t xml:space="preserve"> (</w:t>
      </w:r>
      <w:proofErr w:type="spellStart"/>
      <w:r w:rsidR="0075464C">
        <w:rPr>
          <w:rFonts w:cs="David" w:hint="cs"/>
          <w:sz w:val="24"/>
          <w:szCs w:val="24"/>
          <w:rtl/>
        </w:rPr>
        <w:t>עע"ם</w:t>
      </w:r>
      <w:proofErr w:type="spellEnd"/>
      <w:r w:rsidR="0075464C">
        <w:rPr>
          <w:rFonts w:cs="David" w:hint="cs"/>
          <w:sz w:val="24"/>
          <w:szCs w:val="24"/>
          <w:rtl/>
        </w:rPr>
        <w:t xml:space="preserve"> 5875/10)</w:t>
      </w:r>
      <w:r w:rsidR="00913A70">
        <w:rPr>
          <w:rFonts w:cs="David" w:hint="cs"/>
          <w:sz w:val="24"/>
          <w:szCs w:val="24"/>
          <w:rtl/>
        </w:rPr>
        <w:t>. בית המשפט קבע כך:</w:t>
      </w:r>
    </w:p>
    <w:p w:rsidR="007C4D62" w:rsidRPr="007C4D62" w:rsidRDefault="00913A70" w:rsidP="00203E08">
      <w:pPr>
        <w:numPr>
          <w:ilvl w:val="0"/>
          <w:numId w:val="2"/>
        </w:numPr>
        <w:overflowPunct w:val="0"/>
        <w:autoSpaceDE w:val="0"/>
        <w:autoSpaceDN w:val="0"/>
        <w:spacing w:line="360" w:lineRule="auto"/>
        <w:ind w:left="509" w:hanging="425"/>
        <w:jc w:val="both"/>
        <w:rPr>
          <w:rFonts w:cs="David" w:hint="cs"/>
          <w:b/>
          <w:bCs/>
          <w:spacing w:val="10"/>
          <w:sz w:val="24"/>
          <w:szCs w:val="24"/>
          <w:u w:val="single"/>
        </w:rPr>
      </w:pPr>
      <w:r w:rsidRPr="00913A70">
        <w:rPr>
          <w:rFonts w:cs="David" w:hint="cs"/>
          <w:spacing w:val="10"/>
          <w:sz w:val="24"/>
          <w:szCs w:val="24"/>
          <w:rtl/>
        </w:rPr>
        <w:t>מניעת הטבילה של גרים לא אורתודוכסיים במקוואות ציבורים הא הפליה פסולה שכן מרגע שהקימה המדינה מקו</w:t>
      </w:r>
      <w:r>
        <w:rPr>
          <w:rFonts w:cs="David" w:hint="cs"/>
          <w:spacing w:val="10"/>
          <w:sz w:val="24"/>
          <w:szCs w:val="24"/>
          <w:rtl/>
        </w:rPr>
        <w:t>ו</w:t>
      </w:r>
      <w:r w:rsidRPr="00913A70">
        <w:rPr>
          <w:rFonts w:cs="David" w:hint="cs"/>
          <w:spacing w:val="10"/>
          <w:sz w:val="24"/>
          <w:szCs w:val="24"/>
          <w:rtl/>
        </w:rPr>
        <w:t>אות ציבוריים והעמידה אותם לרשות הציבור – לרבות לצרכי גיור – אין היא יכולה לנהוג מדיניות של</w:t>
      </w:r>
      <w:r>
        <w:rPr>
          <w:rFonts w:cs="David" w:hint="cs"/>
          <w:spacing w:val="10"/>
          <w:sz w:val="24"/>
          <w:szCs w:val="24"/>
          <w:rtl/>
        </w:rPr>
        <w:t xml:space="preserve"> איפה ואיפה</w:t>
      </w:r>
      <w:r w:rsidRPr="00913A70">
        <w:rPr>
          <w:rFonts w:cs="David" w:hint="cs"/>
          <w:spacing w:val="10"/>
          <w:sz w:val="24"/>
          <w:szCs w:val="24"/>
          <w:rtl/>
        </w:rPr>
        <w:t xml:space="preserve"> בשימוש בהם</w:t>
      </w:r>
      <w:r w:rsidR="007C4D62">
        <w:rPr>
          <w:rFonts w:cs="David" w:hint="cs"/>
          <w:spacing w:val="10"/>
          <w:sz w:val="24"/>
          <w:szCs w:val="24"/>
          <w:rtl/>
        </w:rPr>
        <w:t>.</w:t>
      </w:r>
    </w:p>
    <w:p w:rsidR="007C4D62" w:rsidRPr="00203E08" w:rsidRDefault="000E604F" w:rsidP="00203E08">
      <w:pPr>
        <w:numPr>
          <w:ilvl w:val="0"/>
          <w:numId w:val="2"/>
        </w:numPr>
        <w:overflowPunct w:val="0"/>
        <w:autoSpaceDE w:val="0"/>
        <w:autoSpaceDN w:val="0"/>
        <w:spacing w:line="360" w:lineRule="auto"/>
        <w:ind w:left="509" w:hanging="425"/>
        <w:jc w:val="both"/>
        <w:rPr>
          <w:rFonts w:cs="David" w:hint="cs"/>
          <w:spacing w:val="10"/>
          <w:sz w:val="24"/>
          <w:szCs w:val="24"/>
        </w:rPr>
      </w:pPr>
      <w:r>
        <w:rPr>
          <w:rFonts w:cs="David" w:hint="cs"/>
          <w:spacing w:val="10"/>
          <w:sz w:val="24"/>
          <w:szCs w:val="24"/>
          <w:rtl/>
        </w:rPr>
        <w:t>סעיף 6א לחוק שירותי הדת, המכפיף את המועצות הדתיות לפסיקת הרבנות הראשית אינו יכול להכשיר אפליית הבאים בשערי המקוואות, שכן הרבנות אינה מוסמכת לקבוע מדיניות של הפליה. הרבנות הראשית, כמו כל הרשויות, כפופה לעקרונות היסוד האוסרים הפליה.</w:t>
      </w:r>
    </w:p>
    <w:p w:rsidR="000E604F" w:rsidRDefault="000E604F" w:rsidP="00203E08">
      <w:pPr>
        <w:numPr>
          <w:ilvl w:val="0"/>
          <w:numId w:val="2"/>
        </w:numPr>
        <w:overflowPunct w:val="0"/>
        <w:autoSpaceDE w:val="0"/>
        <w:autoSpaceDN w:val="0"/>
        <w:spacing w:line="360" w:lineRule="auto"/>
        <w:ind w:left="509" w:hanging="425"/>
        <w:jc w:val="both"/>
        <w:rPr>
          <w:rFonts w:cs="David" w:hint="cs"/>
          <w:b/>
          <w:bCs/>
          <w:spacing w:val="10"/>
          <w:sz w:val="24"/>
          <w:szCs w:val="24"/>
          <w:u w:val="single"/>
        </w:rPr>
      </w:pPr>
      <w:r>
        <w:rPr>
          <w:rFonts w:cs="David" w:hint="cs"/>
          <w:spacing w:val="10"/>
          <w:sz w:val="24"/>
          <w:szCs w:val="24"/>
          <w:rtl/>
        </w:rPr>
        <w:t xml:space="preserve">עקרון חופש הדת מחייב את המדינה לספק תשתית הולמת לקיומם של חיים דתיים, ובכלל זה </w:t>
      </w:r>
      <w:r w:rsidRPr="000E604F">
        <w:rPr>
          <w:rFonts w:cs="David" w:hint="cs"/>
          <w:spacing w:val="10"/>
          <w:sz w:val="24"/>
          <w:szCs w:val="24"/>
          <w:rtl/>
        </w:rPr>
        <w:t>אפשרות טבילה במקוואות.</w:t>
      </w:r>
    </w:p>
    <w:p w:rsidR="000E604F" w:rsidRPr="00C85BBB" w:rsidRDefault="000E604F" w:rsidP="00561964">
      <w:pPr>
        <w:numPr>
          <w:ilvl w:val="0"/>
          <w:numId w:val="3"/>
        </w:numPr>
        <w:spacing w:before="240" w:line="360" w:lineRule="auto"/>
        <w:ind w:left="85" w:hanging="567"/>
        <w:jc w:val="both"/>
        <w:rPr>
          <w:rFonts w:cs="David" w:hint="cs"/>
          <w:b/>
          <w:bCs/>
          <w:spacing w:val="10"/>
          <w:sz w:val="24"/>
          <w:szCs w:val="24"/>
          <w:u w:val="single"/>
        </w:rPr>
      </w:pPr>
      <w:proofErr w:type="spellStart"/>
      <w:r>
        <w:rPr>
          <w:rFonts w:cs="David" w:hint="cs"/>
          <w:spacing w:val="10"/>
          <w:sz w:val="24"/>
          <w:szCs w:val="24"/>
          <w:rtl/>
        </w:rPr>
        <w:t>יצויין</w:t>
      </w:r>
      <w:proofErr w:type="spellEnd"/>
      <w:r>
        <w:rPr>
          <w:rFonts w:cs="David" w:hint="cs"/>
          <w:spacing w:val="10"/>
          <w:sz w:val="24"/>
          <w:szCs w:val="24"/>
          <w:rtl/>
        </w:rPr>
        <w:t xml:space="preserve"> כי פסק הדין ניתן רק לאחר </w:t>
      </w:r>
      <w:r w:rsidRPr="0075464C">
        <w:rPr>
          <w:rFonts w:cs="David" w:hint="cs"/>
          <w:sz w:val="24"/>
          <w:szCs w:val="24"/>
          <w:rtl/>
        </w:rPr>
        <w:t>שהמדינה</w:t>
      </w:r>
      <w:r>
        <w:rPr>
          <w:rFonts w:cs="David" w:hint="cs"/>
          <w:spacing w:val="10"/>
          <w:sz w:val="24"/>
          <w:szCs w:val="24"/>
          <w:rtl/>
        </w:rPr>
        <w:t xml:space="preserve"> </w:t>
      </w:r>
      <w:proofErr w:type="spellStart"/>
      <w:r>
        <w:rPr>
          <w:rFonts w:cs="David" w:hint="cs"/>
          <w:spacing w:val="10"/>
          <w:sz w:val="24"/>
          <w:szCs w:val="24"/>
          <w:rtl/>
        </w:rPr>
        <w:t>סרבה</w:t>
      </w:r>
      <w:proofErr w:type="spellEnd"/>
      <w:r>
        <w:rPr>
          <w:rFonts w:cs="David" w:hint="cs"/>
          <w:spacing w:val="10"/>
          <w:sz w:val="24"/>
          <w:szCs w:val="24"/>
          <w:rtl/>
        </w:rPr>
        <w:t xml:space="preserve"> לקבל את הצעות התנועות בנוגע לפתרונות פרגמטיים לטבילת גרים לא אורתודוכסיים, דוגמת הקצאת מקוואות שישמשו באופן בלעדי את התנועות הלא אורתודוכסיות, או הקצאת תקציב לבניית מקוואות לא אורתודוכסיים.</w:t>
      </w:r>
    </w:p>
    <w:p w:rsidR="00C85BBB" w:rsidRDefault="006D5BBE" w:rsidP="00C85BBB">
      <w:pPr>
        <w:numPr>
          <w:ilvl w:val="0"/>
          <w:numId w:val="3"/>
        </w:numPr>
        <w:spacing w:line="360" w:lineRule="auto"/>
        <w:ind w:left="84" w:hanging="567"/>
        <w:jc w:val="both"/>
        <w:rPr>
          <w:rFonts w:cs="David" w:hint="cs"/>
          <w:b/>
          <w:bCs/>
          <w:spacing w:val="10"/>
          <w:sz w:val="24"/>
          <w:szCs w:val="24"/>
          <w:u w:val="single"/>
        </w:rPr>
      </w:pPr>
      <w:r>
        <w:rPr>
          <w:rFonts w:cs="David" w:hint="cs"/>
          <w:spacing w:val="10"/>
          <w:sz w:val="24"/>
          <w:szCs w:val="24"/>
          <w:rtl/>
        </w:rPr>
        <w:t xml:space="preserve"> </w:t>
      </w:r>
      <w:r w:rsidR="00C85BBB">
        <w:rPr>
          <w:rFonts w:cs="David" w:hint="cs"/>
          <w:spacing w:val="10"/>
          <w:sz w:val="24"/>
          <w:szCs w:val="24"/>
          <w:rtl/>
        </w:rPr>
        <w:t xml:space="preserve">פסק הדין מצטרף לשורה ארוכה של פסקי דין בהם קבע בית המשפט העליון כי יש להעניק יחס שוויוני לתנועות הלא אורתודוכסיות, למשל בנושא מימון כתות הכנה לגיור, רישום גרי התנועות כיהודים במרשם האוכלוסין, מימון ציבורי של משכורותיהם של רבנים רפורמיים וקונסרבטיביים ומימון מבני בתי כנסת לקהילות לא אורתודוכסיות. </w:t>
      </w:r>
    </w:p>
    <w:p w:rsidR="00364DDA" w:rsidRPr="00795A45" w:rsidRDefault="008F227E" w:rsidP="0067747B">
      <w:pPr>
        <w:numPr>
          <w:ilvl w:val="0"/>
          <w:numId w:val="3"/>
        </w:numPr>
        <w:spacing w:line="360" w:lineRule="auto"/>
        <w:ind w:left="84" w:hanging="567"/>
        <w:jc w:val="both"/>
        <w:rPr>
          <w:rFonts w:cs="David" w:hint="cs"/>
          <w:spacing w:val="10"/>
          <w:sz w:val="24"/>
          <w:szCs w:val="24"/>
        </w:rPr>
      </w:pPr>
      <w:r w:rsidRPr="00364DDA">
        <w:rPr>
          <w:rFonts w:cs="David" w:hint="cs"/>
          <w:spacing w:val="10"/>
          <w:sz w:val="24"/>
          <w:szCs w:val="24"/>
          <w:rtl/>
        </w:rPr>
        <w:t xml:space="preserve"> פחות מחודש לאחר מתן פסק הדין, </w:t>
      </w:r>
      <w:r w:rsidR="003D3872" w:rsidRPr="00364DDA">
        <w:rPr>
          <w:rFonts w:cs="David" w:hint="cs"/>
          <w:spacing w:val="10"/>
          <w:sz w:val="24"/>
          <w:szCs w:val="24"/>
          <w:rtl/>
        </w:rPr>
        <w:t>הוגשה הצעת החוק האמורה. ההצעה קיבלה פטור מחובת הנחה, ו</w:t>
      </w:r>
      <w:r w:rsidRPr="00364DDA">
        <w:rPr>
          <w:rFonts w:cs="David" w:hint="cs"/>
          <w:spacing w:val="10"/>
          <w:sz w:val="24"/>
          <w:szCs w:val="24"/>
          <w:rtl/>
        </w:rPr>
        <w:t xml:space="preserve">בהליך בזק אושרה </w:t>
      </w:r>
      <w:r w:rsidR="00883134" w:rsidRPr="00364DDA">
        <w:rPr>
          <w:rFonts w:cs="David" w:hint="cs"/>
          <w:spacing w:val="10"/>
          <w:sz w:val="24"/>
          <w:szCs w:val="24"/>
          <w:rtl/>
        </w:rPr>
        <w:t>ה</w:t>
      </w:r>
      <w:r w:rsidR="003D3872" w:rsidRPr="00364DDA">
        <w:rPr>
          <w:rFonts w:cs="David" w:hint="cs"/>
          <w:spacing w:val="10"/>
          <w:sz w:val="24"/>
          <w:szCs w:val="24"/>
          <w:rtl/>
        </w:rPr>
        <w:t xml:space="preserve">הצעה </w:t>
      </w:r>
      <w:proofErr w:type="spellStart"/>
      <w:r w:rsidRPr="00364DDA">
        <w:rPr>
          <w:rFonts w:cs="David" w:hint="cs"/>
          <w:spacing w:val="10"/>
          <w:sz w:val="24"/>
          <w:szCs w:val="24"/>
          <w:rtl/>
        </w:rPr>
        <w:t>בועדת</w:t>
      </w:r>
      <w:proofErr w:type="spellEnd"/>
      <w:r w:rsidRPr="00364DDA">
        <w:rPr>
          <w:rFonts w:cs="David" w:hint="cs"/>
          <w:spacing w:val="10"/>
          <w:sz w:val="24"/>
          <w:szCs w:val="24"/>
          <w:rtl/>
        </w:rPr>
        <w:t xml:space="preserve"> שרים לחקיקה ביום 13.3.16.</w:t>
      </w:r>
      <w:r w:rsidR="00364DDA" w:rsidRPr="0067747B">
        <w:rPr>
          <w:rFonts w:cs="David" w:hint="cs"/>
          <w:b/>
          <w:bCs/>
          <w:spacing w:val="10"/>
          <w:sz w:val="24"/>
          <w:szCs w:val="24"/>
          <w:rtl/>
        </w:rPr>
        <w:t xml:space="preserve"> </w:t>
      </w:r>
      <w:r w:rsidR="00364DDA" w:rsidRPr="00364DDA">
        <w:rPr>
          <w:rFonts w:cs="David" w:hint="cs"/>
          <w:spacing w:val="10"/>
          <w:sz w:val="24"/>
          <w:szCs w:val="24"/>
          <w:rtl/>
        </w:rPr>
        <w:t xml:space="preserve">ההצעה </w:t>
      </w:r>
      <w:r w:rsidR="00364DDA" w:rsidRPr="00364DDA">
        <w:rPr>
          <w:rFonts w:cs="David" w:hint="cs"/>
          <w:spacing w:val="10"/>
          <w:sz w:val="24"/>
          <w:szCs w:val="24"/>
          <w:rtl/>
        </w:rPr>
        <w:lastRenderedPageBreak/>
        <w:t xml:space="preserve">אושרה בקריאה טרומית בסוף המושב הקודם. </w:t>
      </w:r>
      <w:r w:rsidR="00795A45">
        <w:rPr>
          <w:rFonts w:cs="David" w:hint="cs"/>
          <w:spacing w:val="10"/>
          <w:sz w:val="24"/>
          <w:szCs w:val="24"/>
          <w:rtl/>
        </w:rPr>
        <w:t>הסיכום הקואליציוני שהושג היה כי הצעת הוק לא תקודם ללא הסכמת כל סיעות הקואליציה, שחלקן מתנגדות להצעת החוק בנוסחה הנוכחי.</w:t>
      </w:r>
    </w:p>
    <w:p w:rsidR="00561964" w:rsidRPr="00C42E02" w:rsidRDefault="00364DDA" w:rsidP="00C42E02">
      <w:pPr>
        <w:numPr>
          <w:ilvl w:val="0"/>
          <w:numId w:val="3"/>
        </w:numPr>
        <w:spacing w:line="360" w:lineRule="auto"/>
        <w:ind w:left="84" w:hanging="567"/>
        <w:jc w:val="both"/>
        <w:rPr>
          <w:rFonts w:cs="David" w:hint="cs"/>
          <w:b/>
          <w:bCs/>
          <w:spacing w:val="10"/>
          <w:sz w:val="24"/>
          <w:szCs w:val="24"/>
          <w:u w:val="single"/>
        </w:rPr>
      </w:pPr>
      <w:r w:rsidRPr="00C42E02">
        <w:rPr>
          <w:rFonts w:ascii="Helvetica" w:hAnsi="Helvetica" w:cs="David" w:hint="cs"/>
          <w:color w:val="222222"/>
          <w:sz w:val="24"/>
          <w:szCs w:val="24"/>
          <w:shd w:val="clear" w:color="auto" w:fill="FFFFFF"/>
          <w:rtl/>
        </w:rPr>
        <w:t xml:space="preserve"> </w:t>
      </w:r>
      <w:r w:rsidR="00561964" w:rsidRPr="00C42E02">
        <w:rPr>
          <w:rFonts w:cs="David" w:hint="cs"/>
          <w:b/>
          <w:bCs/>
          <w:spacing w:val="10"/>
          <w:sz w:val="24"/>
          <w:szCs w:val="24"/>
          <w:u w:val="single"/>
          <w:rtl/>
        </w:rPr>
        <w:t xml:space="preserve">כפי שעולה מדברי ההסבר של הצעת החוק, מדובר בניסיון נואל </w:t>
      </w:r>
      <w:r w:rsidR="000E604F" w:rsidRPr="00C42E02">
        <w:rPr>
          <w:rFonts w:cs="David" w:hint="cs"/>
          <w:b/>
          <w:bCs/>
          <w:spacing w:val="10"/>
          <w:sz w:val="24"/>
          <w:szCs w:val="24"/>
          <w:u w:val="single"/>
          <w:rtl/>
        </w:rPr>
        <w:t xml:space="preserve">לחוקק חוק עוקף בג"ץ. </w:t>
      </w:r>
      <w:r w:rsidR="00561964" w:rsidRPr="00C42E02">
        <w:rPr>
          <w:rFonts w:cs="David" w:hint="cs"/>
          <w:b/>
          <w:bCs/>
          <w:spacing w:val="10"/>
          <w:sz w:val="24"/>
          <w:szCs w:val="24"/>
          <w:u w:val="single"/>
          <w:rtl/>
        </w:rPr>
        <w:t xml:space="preserve">זאת ועוד. הצעת החוק הינה בלתי </w:t>
      </w:r>
      <w:r w:rsidR="00561964" w:rsidRPr="00C42E02">
        <w:rPr>
          <w:rFonts w:cs="David" w:hint="cs"/>
          <w:b/>
          <w:bCs/>
          <w:sz w:val="24"/>
          <w:szCs w:val="24"/>
          <w:u w:val="single"/>
          <w:rtl/>
        </w:rPr>
        <w:t>חוקתית</w:t>
      </w:r>
      <w:r w:rsidR="00561964" w:rsidRPr="00C42E02">
        <w:rPr>
          <w:rFonts w:cs="David" w:hint="cs"/>
          <w:b/>
          <w:bCs/>
          <w:spacing w:val="10"/>
          <w:sz w:val="24"/>
          <w:szCs w:val="24"/>
          <w:u w:val="single"/>
          <w:rtl/>
        </w:rPr>
        <w:t xml:space="preserve"> משום שיש בה פגיעה אנושה בעקרון השוויון ובעקרון חופש הדת.</w:t>
      </w:r>
    </w:p>
    <w:p w:rsidR="000E604F" w:rsidRPr="00662C1C" w:rsidRDefault="003D3872" w:rsidP="0075464C">
      <w:pPr>
        <w:numPr>
          <w:ilvl w:val="0"/>
          <w:numId w:val="3"/>
        </w:numPr>
        <w:spacing w:line="360" w:lineRule="auto"/>
        <w:ind w:left="84" w:hanging="567"/>
        <w:jc w:val="both"/>
        <w:rPr>
          <w:rFonts w:cs="David" w:hint="cs"/>
          <w:b/>
          <w:bCs/>
          <w:spacing w:val="10"/>
          <w:sz w:val="24"/>
          <w:szCs w:val="24"/>
          <w:u w:val="single"/>
        </w:rPr>
      </w:pPr>
      <w:r>
        <w:rPr>
          <w:rFonts w:cs="David" w:hint="cs"/>
          <w:spacing w:val="10"/>
          <w:sz w:val="24"/>
          <w:szCs w:val="24"/>
          <w:rtl/>
        </w:rPr>
        <w:t xml:space="preserve"> </w:t>
      </w:r>
      <w:r w:rsidR="000E604F">
        <w:rPr>
          <w:rFonts w:cs="David" w:hint="cs"/>
          <w:spacing w:val="10"/>
          <w:sz w:val="24"/>
          <w:szCs w:val="24"/>
          <w:rtl/>
        </w:rPr>
        <w:t xml:space="preserve">הצעת החוק קובעת כי </w:t>
      </w:r>
      <w:r w:rsidR="00665986">
        <w:rPr>
          <w:rFonts w:cs="David" w:hint="cs"/>
          <w:spacing w:val="10"/>
          <w:sz w:val="24"/>
          <w:szCs w:val="24"/>
          <w:rtl/>
        </w:rPr>
        <w:t xml:space="preserve">במקוואות תתקיים טבילה הלכתית בלבד וזאת על פי הוראת הרבנות הראשית. ממה נפשך </w:t>
      </w:r>
      <w:r w:rsidR="00665986">
        <w:rPr>
          <w:rFonts w:cs="David"/>
          <w:spacing w:val="10"/>
          <w:sz w:val="24"/>
          <w:szCs w:val="24"/>
          <w:rtl/>
        </w:rPr>
        <w:t>–</w:t>
      </w:r>
      <w:r w:rsidR="00665986">
        <w:rPr>
          <w:rFonts w:cs="David" w:hint="cs"/>
          <w:spacing w:val="10"/>
          <w:sz w:val="24"/>
          <w:szCs w:val="24"/>
          <w:rtl/>
        </w:rPr>
        <w:t xml:space="preserve"> אם הכוונה להכפיף את הטבילה להוראות הרבנות, הרי שדבר זה כבר נקבע בחוק הקיים (סעיף 6א לחוק שירותי הדת קובע כי </w:t>
      </w:r>
      <w:r w:rsidR="000E604F">
        <w:rPr>
          <w:rFonts w:cs="David" w:hint="cs"/>
          <w:spacing w:val="10"/>
          <w:sz w:val="24"/>
          <w:szCs w:val="24"/>
          <w:rtl/>
        </w:rPr>
        <w:t xml:space="preserve">המועצות הדתיות, האחראיות על המקוואות הציבוריים, </w:t>
      </w:r>
      <w:r w:rsidR="00665986">
        <w:rPr>
          <w:rFonts w:cs="David" w:hint="cs"/>
          <w:spacing w:val="10"/>
          <w:sz w:val="24"/>
          <w:szCs w:val="24"/>
          <w:rtl/>
        </w:rPr>
        <w:t xml:space="preserve">יפעלו בהתאם </w:t>
      </w:r>
      <w:r w:rsidR="000E604F">
        <w:rPr>
          <w:rFonts w:cs="David" w:hint="cs"/>
          <w:spacing w:val="10"/>
          <w:sz w:val="24"/>
          <w:szCs w:val="24"/>
          <w:rtl/>
        </w:rPr>
        <w:t xml:space="preserve">לפסיקת הרבנות </w:t>
      </w:r>
      <w:r w:rsidR="00665986">
        <w:rPr>
          <w:rFonts w:cs="David" w:hint="cs"/>
          <w:spacing w:val="10"/>
          <w:sz w:val="24"/>
          <w:szCs w:val="24"/>
          <w:rtl/>
        </w:rPr>
        <w:t>המקומית ו</w:t>
      </w:r>
      <w:r w:rsidR="000E604F">
        <w:rPr>
          <w:rFonts w:cs="David" w:hint="cs"/>
          <w:spacing w:val="10"/>
          <w:sz w:val="24"/>
          <w:szCs w:val="24"/>
          <w:rtl/>
        </w:rPr>
        <w:t>הראשית</w:t>
      </w:r>
      <w:r w:rsidR="00665986">
        <w:rPr>
          <w:rFonts w:cs="David" w:hint="cs"/>
          <w:spacing w:val="10"/>
          <w:sz w:val="24"/>
          <w:szCs w:val="24"/>
          <w:rtl/>
        </w:rPr>
        <w:t>)</w:t>
      </w:r>
      <w:r w:rsidR="000E604F">
        <w:rPr>
          <w:rFonts w:cs="David" w:hint="cs"/>
          <w:spacing w:val="10"/>
          <w:sz w:val="24"/>
          <w:szCs w:val="24"/>
          <w:rtl/>
        </w:rPr>
        <w:t>.</w:t>
      </w:r>
      <w:r w:rsidR="00662C1C">
        <w:rPr>
          <w:rFonts w:cs="David" w:hint="cs"/>
          <w:spacing w:val="10"/>
          <w:sz w:val="24"/>
          <w:szCs w:val="24"/>
          <w:rtl/>
        </w:rPr>
        <w:t xml:space="preserve"> ואם הכוונה להתיר למועצה הדתית להפלות </w:t>
      </w:r>
      <w:r w:rsidR="00662C1C">
        <w:rPr>
          <w:rFonts w:cs="David"/>
          <w:spacing w:val="10"/>
          <w:sz w:val="24"/>
          <w:szCs w:val="24"/>
          <w:rtl/>
        </w:rPr>
        <w:t>–</w:t>
      </w:r>
      <w:r w:rsidR="00662C1C">
        <w:rPr>
          <w:rFonts w:cs="David" w:hint="cs"/>
          <w:spacing w:val="10"/>
          <w:sz w:val="24"/>
          <w:szCs w:val="24"/>
          <w:rtl/>
        </w:rPr>
        <w:t xml:space="preserve"> בית המשפט העליון כבר קבע שמדובר בפעולה בלתי חוקית ובלתי חוקתית.</w:t>
      </w:r>
    </w:p>
    <w:p w:rsidR="003D3872" w:rsidRPr="003D3872" w:rsidRDefault="003D3872" w:rsidP="003D3872">
      <w:pPr>
        <w:numPr>
          <w:ilvl w:val="0"/>
          <w:numId w:val="3"/>
        </w:numPr>
        <w:spacing w:line="360" w:lineRule="auto"/>
        <w:ind w:left="84" w:hanging="567"/>
        <w:jc w:val="both"/>
        <w:rPr>
          <w:sz w:val="24"/>
          <w:szCs w:val="24"/>
          <w:rtl/>
        </w:rPr>
      </w:pPr>
      <w:r>
        <w:rPr>
          <w:rFonts w:cs="David" w:hint="cs"/>
          <w:spacing w:val="10"/>
          <w:sz w:val="24"/>
          <w:szCs w:val="24"/>
          <w:rtl/>
        </w:rPr>
        <w:t xml:space="preserve"> בדברי ההסבר נאמר כי על הרבנות הראשית להיות הרגולטור המפקח על המקוואות, </w:t>
      </w:r>
      <w:r w:rsidRPr="003D3872">
        <w:rPr>
          <w:rFonts w:cs="David" w:hint="cs"/>
          <w:spacing w:val="10"/>
          <w:sz w:val="24"/>
          <w:szCs w:val="24"/>
          <w:rtl/>
        </w:rPr>
        <w:t>בדומה למשרד הבריאות המפקח על תרופות</w:t>
      </w:r>
      <w:r>
        <w:rPr>
          <w:rFonts w:cs="David" w:hint="cs"/>
          <w:spacing w:val="10"/>
          <w:sz w:val="24"/>
          <w:szCs w:val="24"/>
          <w:rtl/>
        </w:rPr>
        <w:t>,</w:t>
      </w:r>
      <w:r w:rsidRPr="003D3872">
        <w:rPr>
          <w:rFonts w:cs="David" w:hint="cs"/>
          <w:spacing w:val="10"/>
          <w:sz w:val="24"/>
          <w:szCs w:val="24"/>
          <w:rtl/>
        </w:rPr>
        <w:t xml:space="preserve"> אלא שבית המשפט העליון כבר פסק שהיהודים בישראל אינם עדה אחת בראשה עומדת הרבנות </w:t>
      </w:r>
      <w:r w:rsidRPr="003D3872">
        <w:rPr>
          <w:rFonts w:cs="David" w:hint="cs"/>
          <w:snapToGrid w:val="0"/>
          <w:sz w:val="24"/>
          <w:szCs w:val="24"/>
          <w:rtl/>
        </w:rPr>
        <w:t>הראשית, אלא ישראל היא מדינתו של העם היהודי, בו יש זרמים שונים שכולם זכאים ליחס שווה.</w:t>
      </w:r>
      <w:r w:rsidRPr="003D3872">
        <w:rPr>
          <w:sz w:val="24"/>
          <w:szCs w:val="24"/>
          <w:rtl/>
        </w:rPr>
        <w:t xml:space="preserve"> </w:t>
      </w:r>
    </w:p>
    <w:p w:rsidR="00662C1C" w:rsidRDefault="00561964" w:rsidP="0075464C">
      <w:pPr>
        <w:numPr>
          <w:ilvl w:val="0"/>
          <w:numId w:val="3"/>
        </w:numPr>
        <w:spacing w:line="360" w:lineRule="auto"/>
        <w:ind w:left="84" w:hanging="567"/>
        <w:jc w:val="both"/>
        <w:rPr>
          <w:rFonts w:cs="David" w:hint="cs"/>
          <w:b/>
          <w:bCs/>
          <w:spacing w:val="10"/>
          <w:sz w:val="24"/>
          <w:szCs w:val="24"/>
          <w:u w:val="single"/>
        </w:rPr>
      </w:pPr>
      <w:r w:rsidRPr="00561964">
        <w:rPr>
          <w:rFonts w:cs="David" w:hint="cs"/>
          <w:b/>
          <w:bCs/>
          <w:spacing w:val="10"/>
          <w:sz w:val="24"/>
          <w:szCs w:val="24"/>
          <w:rtl/>
        </w:rPr>
        <w:t xml:space="preserve"> </w:t>
      </w:r>
      <w:r w:rsidR="00662C1C" w:rsidRPr="00561964">
        <w:rPr>
          <w:rFonts w:cs="David" w:hint="cs"/>
          <w:b/>
          <w:bCs/>
          <w:spacing w:val="10"/>
          <w:sz w:val="24"/>
          <w:szCs w:val="24"/>
          <w:u w:val="single"/>
          <w:rtl/>
        </w:rPr>
        <w:t>המועצות הדתיות והרבנות הראשית הינן יציר החוק. כיתר הרשויות, אף הן כפופות לעקרונות היסוד החוקתיים של השיטה ובהם עקרון השוויון ועקרון חופש הדת.</w:t>
      </w:r>
      <w:r w:rsidRPr="00561964">
        <w:rPr>
          <w:rFonts w:cs="David" w:hint="cs"/>
          <w:b/>
          <w:bCs/>
          <w:spacing w:val="10"/>
          <w:sz w:val="24"/>
          <w:szCs w:val="24"/>
          <w:u w:val="single"/>
          <w:rtl/>
        </w:rPr>
        <w:t xml:space="preserve"> הצעת </w:t>
      </w:r>
      <w:r>
        <w:rPr>
          <w:rFonts w:cs="David" w:hint="cs"/>
          <w:b/>
          <w:bCs/>
          <w:spacing w:val="10"/>
          <w:sz w:val="24"/>
          <w:szCs w:val="24"/>
          <w:u w:val="single"/>
          <w:rtl/>
        </w:rPr>
        <w:t>חוק זו או אחרת אינה יכולה לשנות עקרון חוקתי יסודי זה.</w:t>
      </w:r>
    </w:p>
    <w:p w:rsidR="00662C1C" w:rsidRDefault="003D3872" w:rsidP="00561964">
      <w:pPr>
        <w:numPr>
          <w:ilvl w:val="0"/>
          <w:numId w:val="3"/>
        </w:numPr>
        <w:spacing w:line="360" w:lineRule="auto"/>
        <w:ind w:left="84" w:hanging="567"/>
        <w:jc w:val="both"/>
        <w:rPr>
          <w:rFonts w:cs="David" w:hint="cs"/>
          <w:spacing w:val="10"/>
          <w:sz w:val="24"/>
          <w:szCs w:val="24"/>
        </w:rPr>
      </w:pPr>
      <w:r>
        <w:rPr>
          <w:rFonts w:cs="David" w:hint="cs"/>
          <w:spacing w:val="10"/>
          <w:sz w:val="24"/>
          <w:szCs w:val="24"/>
          <w:rtl/>
        </w:rPr>
        <w:t xml:space="preserve"> </w:t>
      </w:r>
      <w:r w:rsidR="00662C1C">
        <w:rPr>
          <w:rFonts w:cs="David" w:hint="cs"/>
          <w:spacing w:val="10"/>
          <w:sz w:val="24"/>
          <w:szCs w:val="24"/>
          <w:rtl/>
        </w:rPr>
        <w:t xml:space="preserve">הצעה השוללת את אפשרות הטבילה מגרים על רקע השקפתם הדתית היא הצעה בלתי חוקתית בהיותה מפלה ופוגעת בעקרון חופש הדת, </w:t>
      </w:r>
      <w:r w:rsidR="00561964">
        <w:rPr>
          <w:rFonts w:cs="David" w:hint="cs"/>
          <w:spacing w:val="10"/>
          <w:sz w:val="24"/>
          <w:szCs w:val="24"/>
          <w:rtl/>
        </w:rPr>
        <w:t xml:space="preserve">ולפיכך אין כל סיכוי שהיא </w:t>
      </w:r>
      <w:r w:rsidR="00662C1C">
        <w:rPr>
          <w:rFonts w:cs="David" w:hint="cs"/>
          <w:spacing w:val="10"/>
          <w:sz w:val="24"/>
          <w:szCs w:val="24"/>
          <w:rtl/>
        </w:rPr>
        <w:t>תעמוד במבחן בג"ץ.</w:t>
      </w:r>
    </w:p>
    <w:p w:rsidR="00C42E02" w:rsidRPr="00795A45" w:rsidRDefault="00C42E02" w:rsidP="00C42E02">
      <w:pPr>
        <w:numPr>
          <w:ilvl w:val="0"/>
          <w:numId w:val="3"/>
        </w:numPr>
        <w:spacing w:line="360" w:lineRule="auto"/>
        <w:ind w:left="84" w:hanging="567"/>
        <w:jc w:val="both"/>
        <w:rPr>
          <w:rFonts w:cs="David" w:hint="cs"/>
          <w:spacing w:val="10"/>
          <w:sz w:val="24"/>
          <w:szCs w:val="24"/>
        </w:rPr>
      </w:pPr>
      <w:r w:rsidRPr="00385610">
        <w:rPr>
          <w:rFonts w:cs="David" w:hint="cs"/>
          <w:spacing w:val="10"/>
          <w:sz w:val="24"/>
          <w:szCs w:val="24"/>
          <w:rtl/>
        </w:rPr>
        <w:t xml:space="preserve">אף </w:t>
      </w:r>
      <w:r w:rsidRPr="00385610">
        <w:rPr>
          <w:rFonts w:cs="David" w:hint="cs"/>
          <w:spacing w:val="10"/>
          <w:sz w:val="24"/>
          <w:szCs w:val="24"/>
          <w:rtl/>
        </w:rPr>
        <w:t xml:space="preserve">היועץ המשפטי לממשלה חיווה את דעתו שהצעת החוק האמורה אינה חוקתית שכן </w:t>
      </w:r>
      <w:r w:rsidRPr="00385610">
        <w:rPr>
          <w:rFonts w:cs="David"/>
          <w:spacing w:val="10"/>
          <w:sz w:val="24"/>
          <w:szCs w:val="24"/>
          <w:rtl/>
        </w:rPr>
        <w:t>התרת הטבילה במקוואות ציבוריים בדרך הלכתית מסוימת בלבד "פוגעת בליבת הזכות לחופש הדת, עד כדי פגיעה בכבוד האדם המעוגן בחוק היסוד ובזכות לשוויון".</w:t>
      </w:r>
      <w:r w:rsidRPr="00795A45">
        <w:rPr>
          <w:rFonts w:ascii="Helvetica" w:hAnsi="Helvetica" w:cs="David"/>
          <w:color w:val="222222"/>
          <w:sz w:val="24"/>
          <w:szCs w:val="24"/>
          <w:shd w:val="clear" w:color="auto" w:fill="FFFFFF"/>
          <w:rtl/>
        </w:rPr>
        <w:t xml:space="preserve"> </w:t>
      </w:r>
    </w:p>
    <w:p w:rsidR="00662C1C" w:rsidRPr="003D3872" w:rsidRDefault="00662C1C" w:rsidP="00385610">
      <w:pPr>
        <w:numPr>
          <w:ilvl w:val="0"/>
          <w:numId w:val="3"/>
        </w:numPr>
        <w:spacing w:line="360" w:lineRule="auto"/>
        <w:ind w:left="84" w:hanging="567"/>
        <w:jc w:val="both"/>
        <w:rPr>
          <w:rFonts w:cs="David" w:hint="cs"/>
          <w:b/>
          <w:bCs/>
          <w:spacing w:val="10"/>
          <w:sz w:val="24"/>
          <w:szCs w:val="24"/>
          <w:u w:val="single"/>
        </w:rPr>
      </w:pPr>
      <w:r w:rsidRPr="003D3872">
        <w:rPr>
          <w:rFonts w:cs="David" w:hint="cs"/>
          <w:b/>
          <w:bCs/>
          <w:spacing w:val="10"/>
          <w:sz w:val="24"/>
          <w:szCs w:val="24"/>
          <w:rtl/>
        </w:rPr>
        <w:t xml:space="preserve">בנסיבות אלה, </w:t>
      </w:r>
      <w:r w:rsidR="00385610">
        <w:rPr>
          <w:rFonts w:cs="David" w:hint="cs"/>
          <w:b/>
          <w:bCs/>
          <w:spacing w:val="10"/>
          <w:sz w:val="24"/>
          <w:szCs w:val="24"/>
          <w:rtl/>
        </w:rPr>
        <w:t xml:space="preserve">יש </w:t>
      </w:r>
      <w:r w:rsidR="00C42E02">
        <w:rPr>
          <w:rFonts w:cs="David" w:hint="cs"/>
          <w:b/>
          <w:bCs/>
          <w:spacing w:val="10"/>
          <w:sz w:val="24"/>
          <w:szCs w:val="24"/>
          <w:rtl/>
        </w:rPr>
        <w:t xml:space="preserve">להימנע </w:t>
      </w:r>
      <w:r w:rsidR="00385610">
        <w:rPr>
          <w:rFonts w:cs="David" w:hint="cs"/>
          <w:b/>
          <w:bCs/>
          <w:spacing w:val="10"/>
          <w:sz w:val="24"/>
          <w:szCs w:val="24"/>
          <w:rtl/>
        </w:rPr>
        <w:t>מקידום</w:t>
      </w:r>
      <w:r w:rsidRPr="003D3872">
        <w:rPr>
          <w:rFonts w:cs="David" w:hint="cs"/>
          <w:b/>
          <w:bCs/>
          <w:spacing w:val="10"/>
          <w:sz w:val="24"/>
          <w:szCs w:val="24"/>
          <w:rtl/>
        </w:rPr>
        <w:t xml:space="preserve"> הצעת החוק.</w:t>
      </w:r>
    </w:p>
    <w:p w:rsidR="00796870" w:rsidRPr="00913A70" w:rsidRDefault="00796870" w:rsidP="00796870">
      <w:pPr>
        <w:rPr>
          <w:rFonts w:ascii="Arial" w:hAnsi="Arial" w:cs="David"/>
          <w:sz w:val="24"/>
          <w:szCs w:val="24"/>
          <w:rtl/>
        </w:rPr>
      </w:pPr>
      <w:bookmarkStart w:id="1" w:name="_GoBack"/>
      <w:bookmarkEnd w:id="1"/>
    </w:p>
    <w:sectPr w:rsidR="00796870" w:rsidRPr="00913A70" w:rsidSect="002811A2">
      <w:headerReference w:type="default" r:id="rId9"/>
      <w:footerReference w:type="default" r:id="rId10"/>
      <w:pgSz w:w="11906" w:h="16838"/>
      <w:pgMar w:top="2127"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9C8" w:rsidRDefault="00C619C8" w:rsidP="002811A2">
      <w:pPr>
        <w:spacing w:after="0" w:line="240" w:lineRule="auto"/>
      </w:pPr>
      <w:r>
        <w:separator/>
      </w:r>
    </w:p>
  </w:endnote>
  <w:endnote w:type="continuationSeparator" w:id="0">
    <w:p w:rsidR="00C619C8" w:rsidRDefault="00C619C8" w:rsidP="00281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TUR">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D3C" w:rsidRPr="003A24DF" w:rsidRDefault="00C619C8" w:rsidP="00D73D3C">
    <w:pPr>
      <w:pStyle w:val="a5"/>
    </w:pPr>
    <w:r>
      <w:rPr>
        <w:noProof/>
      </w:rPr>
      <w:drawing>
        <wp:inline distT="0" distB="0" distL="0" distR="0">
          <wp:extent cx="5276850" cy="1009650"/>
          <wp:effectExtent l="0" t="0" r="0" b="0"/>
          <wp:docPr id="1" name="Picture 3" descr="למטה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למטה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6850" cy="1009650"/>
                  </a:xfrm>
                  <a:prstGeom prst="rect">
                    <a:avLst/>
                  </a:prstGeom>
                  <a:noFill/>
                  <a:ln>
                    <a:noFill/>
                  </a:ln>
                </pic:spPr>
              </pic:pic>
            </a:graphicData>
          </a:graphic>
        </wp:inline>
      </w:drawing>
    </w:r>
  </w:p>
  <w:p w:rsidR="005D2407" w:rsidRDefault="005D2407">
    <w:pPr>
      <w:pStyle w:val="a5"/>
      <w:rPr>
        <w:rFonts w:hint="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9C8" w:rsidRDefault="00C619C8" w:rsidP="002811A2">
      <w:pPr>
        <w:spacing w:after="0" w:line="240" w:lineRule="auto"/>
      </w:pPr>
      <w:r>
        <w:separator/>
      </w:r>
    </w:p>
  </w:footnote>
  <w:footnote w:type="continuationSeparator" w:id="0">
    <w:p w:rsidR="00C619C8" w:rsidRDefault="00C619C8" w:rsidP="002811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CFF" w:rsidRDefault="00C619C8" w:rsidP="00974AB3">
    <w:pPr>
      <w:pStyle w:val="a3"/>
      <w:jc w:val="center"/>
      <w:rPr>
        <w:rtl/>
        <w:cs/>
      </w:rPr>
    </w:pPr>
    <w:r>
      <w:rPr>
        <w:noProof/>
      </w:rPr>
      <w:drawing>
        <wp:anchor distT="0" distB="0" distL="114300" distR="114300" simplePos="0" relativeHeight="251658240" behindDoc="1" locked="0" layoutInCell="1" allowOverlap="1">
          <wp:simplePos x="0" y="0"/>
          <wp:positionH relativeFrom="column">
            <wp:posOffset>-971550</wp:posOffset>
          </wp:positionH>
          <wp:positionV relativeFrom="paragraph">
            <wp:posOffset>-454025</wp:posOffset>
          </wp:positionV>
          <wp:extent cx="7086600" cy="1480820"/>
          <wp:effectExtent l="0" t="0" r="0" b="5080"/>
          <wp:wrapThrough wrapText="bothSides">
            <wp:wrapPolygon edited="0">
              <wp:start x="0" y="0"/>
              <wp:lineTo x="0" y="21396"/>
              <wp:lineTo x="21542" y="21396"/>
              <wp:lineTo x="21542" y="0"/>
              <wp:lineTo x="0" y="0"/>
            </wp:wrapPolygon>
          </wp:wrapThrough>
          <wp:docPr id="3" name="תמונה 1" descr="cid:91C504F0-BA0B-4E87-8369-94C11C9BC732@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cid:91C504F0-BA0B-4E87-8369-94C11C9BC732@Home"/>
                  <pic:cNvPicPr>
                    <a:picLocks noChangeAspect="1" noChangeArrowheads="1"/>
                  </pic:cNvPicPr>
                </pic:nvPicPr>
                <pic:blipFill>
                  <a:blip r:embed="rId1" r:link="rId2">
                    <a:extLst>
                      <a:ext uri="{28A0092B-C50C-407E-A947-70E740481C1C}">
                        <a14:useLocalDpi xmlns:a14="http://schemas.microsoft.com/office/drawing/2010/main" val="0"/>
                      </a:ext>
                    </a:extLst>
                  </a:blip>
                  <a:srcRect l="9718" r="6377"/>
                  <a:stretch>
                    <a:fillRect/>
                  </a:stretch>
                </pic:blipFill>
                <pic:spPr bwMode="auto">
                  <a:xfrm>
                    <a:off x="0" y="0"/>
                    <a:ext cx="7086600" cy="1480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column">
            <wp:posOffset>-904875</wp:posOffset>
          </wp:positionH>
          <wp:positionV relativeFrom="paragraph">
            <wp:posOffset>-259080</wp:posOffset>
          </wp:positionV>
          <wp:extent cx="7176135" cy="885190"/>
          <wp:effectExtent l="0" t="0" r="5715" b="0"/>
          <wp:wrapNone/>
          <wp:docPr id="2"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76135" cy="885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11A2" w:rsidRDefault="002811A2" w:rsidP="00974AB3">
    <w:pPr>
      <w:pStyle w:val="a3"/>
      <w:ind w:firstLine="7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7D0883"/>
    <w:multiLevelType w:val="hybridMultilevel"/>
    <w:tmpl w:val="29EA5D66"/>
    <w:lvl w:ilvl="0" w:tplc="A01824EA">
      <w:start w:val="1"/>
      <w:numFmt w:val="decimal"/>
      <w:lvlText w:val="%1."/>
      <w:lvlJc w:val="left"/>
      <w:pPr>
        <w:ind w:left="1686" w:hanging="360"/>
      </w:pPr>
      <w:rPr>
        <w:rFonts w:hint="default"/>
        <w:b w:val="0"/>
        <w:bCs w:val="0"/>
      </w:rPr>
    </w:lvl>
    <w:lvl w:ilvl="1" w:tplc="04090019">
      <w:start w:val="1"/>
      <w:numFmt w:val="lowerLetter"/>
      <w:lvlText w:val="%2."/>
      <w:lvlJc w:val="left"/>
      <w:pPr>
        <w:ind w:left="2406" w:hanging="360"/>
      </w:pPr>
    </w:lvl>
    <w:lvl w:ilvl="2" w:tplc="0409001B" w:tentative="1">
      <w:start w:val="1"/>
      <w:numFmt w:val="lowerRoman"/>
      <w:lvlText w:val="%3."/>
      <w:lvlJc w:val="right"/>
      <w:pPr>
        <w:ind w:left="3126" w:hanging="180"/>
      </w:pPr>
    </w:lvl>
    <w:lvl w:ilvl="3" w:tplc="0409000F" w:tentative="1">
      <w:start w:val="1"/>
      <w:numFmt w:val="decimal"/>
      <w:lvlText w:val="%4."/>
      <w:lvlJc w:val="left"/>
      <w:pPr>
        <w:ind w:left="3846" w:hanging="360"/>
      </w:pPr>
    </w:lvl>
    <w:lvl w:ilvl="4" w:tplc="04090019" w:tentative="1">
      <w:start w:val="1"/>
      <w:numFmt w:val="lowerLetter"/>
      <w:lvlText w:val="%5."/>
      <w:lvlJc w:val="left"/>
      <w:pPr>
        <w:ind w:left="4566" w:hanging="360"/>
      </w:pPr>
    </w:lvl>
    <w:lvl w:ilvl="5" w:tplc="0409001B" w:tentative="1">
      <w:start w:val="1"/>
      <w:numFmt w:val="lowerRoman"/>
      <w:lvlText w:val="%6."/>
      <w:lvlJc w:val="right"/>
      <w:pPr>
        <w:ind w:left="5286" w:hanging="180"/>
      </w:pPr>
    </w:lvl>
    <w:lvl w:ilvl="6" w:tplc="0409000F" w:tentative="1">
      <w:start w:val="1"/>
      <w:numFmt w:val="decimal"/>
      <w:lvlText w:val="%7."/>
      <w:lvlJc w:val="left"/>
      <w:pPr>
        <w:ind w:left="6006" w:hanging="360"/>
      </w:pPr>
    </w:lvl>
    <w:lvl w:ilvl="7" w:tplc="04090019" w:tentative="1">
      <w:start w:val="1"/>
      <w:numFmt w:val="lowerLetter"/>
      <w:lvlText w:val="%8."/>
      <w:lvlJc w:val="left"/>
      <w:pPr>
        <w:ind w:left="6726" w:hanging="360"/>
      </w:pPr>
    </w:lvl>
    <w:lvl w:ilvl="8" w:tplc="0409001B" w:tentative="1">
      <w:start w:val="1"/>
      <w:numFmt w:val="lowerRoman"/>
      <w:lvlText w:val="%9."/>
      <w:lvlJc w:val="right"/>
      <w:pPr>
        <w:ind w:left="7446" w:hanging="180"/>
      </w:pPr>
    </w:lvl>
  </w:abstractNum>
  <w:abstractNum w:abstractNumId="1">
    <w:nsid w:val="4F3E4CDC"/>
    <w:multiLevelType w:val="hybridMultilevel"/>
    <w:tmpl w:val="FCD63A9E"/>
    <w:lvl w:ilvl="0" w:tplc="2F321D30">
      <w:start w:val="1"/>
      <w:numFmt w:val="bullet"/>
      <w:lvlText w:val=""/>
      <w:lvlJc w:val="left"/>
      <w:pPr>
        <w:ind w:left="720" w:hanging="360"/>
      </w:pPr>
      <w:rPr>
        <w:rFonts w:ascii="Symbol" w:eastAsia="Calibr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E82CE9"/>
    <w:multiLevelType w:val="hybridMultilevel"/>
    <w:tmpl w:val="4DD8E33A"/>
    <w:lvl w:ilvl="0" w:tplc="507294DC">
      <w:start w:val="1"/>
      <w:numFmt w:val="bullet"/>
      <w:lvlText w:val=""/>
      <w:lvlJc w:val="left"/>
      <w:pPr>
        <w:ind w:left="720" w:hanging="360"/>
      </w:pPr>
      <w:rPr>
        <w:rFonts w:ascii="Symbol" w:eastAsia="Calibr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sDel="0" w:formatting="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9C8"/>
    <w:rsid w:val="000E604F"/>
    <w:rsid w:val="001D5E0A"/>
    <w:rsid w:val="001E790C"/>
    <w:rsid w:val="00203E08"/>
    <w:rsid w:val="00232BC5"/>
    <w:rsid w:val="00244B25"/>
    <w:rsid w:val="00273BE0"/>
    <w:rsid w:val="002811A2"/>
    <w:rsid w:val="002A3BAD"/>
    <w:rsid w:val="00364DDA"/>
    <w:rsid w:val="00385610"/>
    <w:rsid w:val="003A778E"/>
    <w:rsid w:val="003B0C16"/>
    <w:rsid w:val="003D3872"/>
    <w:rsid w:val="00491B84"/>
    <w:rsid w:val="00561964"/>
    <w:rsid w:val="00564CFF"/>
    <w:rsid w:val="00592FDA"/>
    <w:rsid w:val="005D1DFB"/>
    <w:rsid w:val="005D2407"/>
    <w:rsid w:val="00662C1C"/>
    <w:rsid w:val="00665986"/>
    <w:rsid w:val="0067747B"/>
    <w:rsid w:val="006B304F"/>
    <w:rsid w:val="006D5BBE"/>
    <w:rsid w:val="006E7F4E"/>
    <w:rsid w:val="0075464C"/>
    <w:rsid w:val="00795A45"/>
    <w:rsid w:val="00796870"/>
    <w:rsid w:val="007C4D62"/>
    <w:rsid w:val="00822829"/>
    <w:rsid w:val="0087227C"/>
    <w:rsid w:val="00883134"/>
    <w:rsid w:val="008F227E"/>
    <w:rsid w:val="009048D4"/>
    <w:rsid w:val="00913A70"/>
    <w:rsid w:val="009510CE"/>
    <w:rsid w:val="00974AB3"/>
    <w:rsid w:val="00985DE5"/>
    <w:rsid w:val="009E1D05"/>
    <w:rsid w:val="00A40C47"/>
    <w:rsid w:val="00A70B69"/>
    <w:rsid w:val="00AF763A"/>
    <w:rsid w:val="00B04C5E"/>
    <w:rsid w:val="00B57D5D"/>
    <w:rsid w:val="00B83CC6"/>
    <w:rsid w:val="00B94271"/>
    <w:rsid w:val="00C42E02"/>
    <w:rsid w:val="00C619C8"/>
    <w:rsid w:val="00C85BBB"/>
    <w:rsid w:val="00CC1527"/>
    <w:rsid w:val="00D73D3C"/>
    <w:rsid w:val="00D84247"/>
    <w:rsid w:val="00D85D8C"/>
    <w:rsid w:val="00EB6886"/>
    <w:rsid w:val="00F143F0"/>
    <w:rsid w:val="00F77814"/>
    <w:rsid w:val="00F91520"/>
    <w:rsid w:val="00F970A7"/>
    <w:rsid w:val="00FE65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11A2"/>
    <w:pPr>
      <w:tabs>
        <w:tab w:val="center" w:pos="4153"/>
        <w:tab w:val="right" w:pos="8306"/>
      </w:tabs>
      <w:spacing w:after="0" w:line="240" w:lineRule="auto"/>
    </w:pPr>
  </w:style>
  <w:style w:type="character" w:customStyle="1" w:styleId="a4">
    <w:name w:val="כותרת עליונה תו"/>
    <w:basedOn w:val="a0"/>
    <w:link w:val="a3"/>
    <w:uiPriority w:val="99"/>
    <w:rsid w:val="002811A2"/>
  </w:style>
  <w:style w:type="paragraph" w:styleId="a5">
    <w:name w:val="footer"/>
    <w:basedOn w:val="a"/>
    <w:link w:val="a6"/>
    <w:uiPriority w:val="99"/>
    <w:unhideWhenUsed/>
    <w:rsid w:val="002811A2"/>
    <w:pPr>
      <w:tabs>
        <w:tab w:val="center" w:pos="4153"/>
        <w:tab w:val="right" w:pos="8306"/>
      </w:tabs>
      <w:spacing w:after="0" w:line="240" w:lineRule="auto"/>
    </w:pPr>
  </w:style>
  <w:style w:type="character" w:customStyle="1" w:styleId="a6">
    <w:name w:val="כותרת תחתונה תו"/>
    <w:basedOn w:val="a0"/>
    <w:link w:val="a5"/>
    <w:uiPriority w:val="99"/>
    <w:rsid w:val="002811A2"/>
  </w:style>
  <w:style w:type="paragraph" w:styleId="a7">
    <w:name w:val="Balloon Text"/>
    <w:basedOn w:val="a"/>
    <w:link w:val="a8"/>
    <w:uiPriority w:val="99"/>
    <w:semiHidden/>
    <w:unhideWhenUsed/>
    <w:rsid w:val="002811A2"/>
    <w:pPr>
      <w:spacing w:after="0" w:line="240" w:lineRule="auto"/>
    </w:pPr>
    <w:rPr>
      <w:rFonts w:ascii="Tahoma" w:hAnsi="Tahoma" w:cs="Tahoma"/>
      <w:sz w:val="16"/>
      <w:szCs w:val="16"/>
    </w:rPr>
  </w:style>
  <w:style w:type="character" w:customStyle="1" w:styleId="a8">
    <w:name w:val="טקסט בלונים תו"/>
    <w:link w:val="a7"/>
    <w:uiPriority w:val="99"/>
    <w:semiHidden/>
    <w:rsid w:val="002811A2"/>
    <w:rPr>
      <w:rFonts w:ascii="Tahoma" w:hAnsi="Tahoma" w:cs="Tahoma"/>
      <w:sz w:val="16"/>
      <w:szCs w:val="16"/>
    </w:rPr>
  </w:style>
  <w:style w:type="paragraph" w:customStyle="1" w:styleId="HeadHatzaotHok">
    <w:name w:val="Head HatzaotHok"/>
    <w:basedOn w:val="a"/>
    <w:rsid w:val="0079687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Hesber">
    <w:name w:val="Hesber"/>
    <w:basedOn w:val="a"/>
    <w:rsid w:val="008F227E"/>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color w:val="000000"/>
      <w:sz w:val="20"/>
      <w:szCs w:val="26"/>
      <w:lang w:eastAsia="ja-JP"/>
    </w:rPr>
  </w:style>
  <w:style w:type="paragraph" w:styleId="a9">
    <w:name w:val="List Paragraph"/>
    <w:basedOn w:val="a"/>
    <w:uiPriority w:val="34"/>
    <w:qFormat/>
    <w:rsid w:val="00985DE5"/>
    <w:pPr>
      <w:ind w:left="720"/>
      <w:contextualSpacing/>
    </w:pPr>
    <w:rPr>
      <w:rFonts w:eastAsia="Times New Roman"/>
    </w:rPr>
  </w:style>
  <w:style w:type="paragraph" w:customStyle="1" w:styleId="1">
    <w:name w:val="ציטוט1"/>
    <w:basedOn w:val="a"/>
    <w:uiPriority w:val="99"/>
    <w:rsid w:val="00EB6886"/>
    <w:pPr>
      <w:spacing w:after="0" w:line="240" w:lineRule="auto"/>
      <w:ind w:left="1080" w:right="1383"/>
      <w:jc w:val="both"/>
    </w:pPr>
    <w:rPr>
      <w:rFonts w:ascii="Times New Roman" w:eastAsia="Times New Roman" w:hAnsi="Times New Roman" w:cs="David"/>
      <w:noProof/>
      <w:sz w:val="24"/>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11A2"/>
    <w:pPr>
      <w:tabs>
        <w:tab w:val="center" w:pos="4153"/>
        <w:tab w:val="right" w:pos="8306"/>
      </w:tabs>
      <w:spacing w:after="0" w:line="240" w:lineRule="auto"/>
    </w:pPr>
  </w:style>
  <w:style w:type="character" w:customStyle="1" w:styleId="a4">
    <w:name w:val="כותרת עליונה תו"/>
    <w:basedOn w:val="a0"/>
    <w:link w:val="a3"/>
    <w:uiPriority w:val="99"/>
    <w:rsid w:val="002811A2"/>
  </w:style>
  <w:style w:type="paragraph" w:styleId="a5">
    <w:name w:val="footer"/>
    <w:basedOn w:val="a"/>
    <w:link w:val="a6"/>
    <w:uiPriority w:val="99"/>
    <w:unhideWhenUsed/>
    <w:rsid w:val="002811A2"/>
    <w:pPr>
      <w:tabs>
        <w:tab w:val="center" w:pos="4153"/>
        <w:tab w:val="right" w:pos="8306"/>
      </w:tabs>
      <w:spacing w:after="0" w:line="240" w:lineRule="auto"/>
    </w:pPr>
  </w:style>
  <w:style w:type="character" w:customStyle="1" w:styleId="a6">
    <w:name w:val="כותרת תחתונה תו"/>
    <w:basedOn w:val="a0"/>
    <w:link w:val="a5"/>
    <w:uiPriority w:val="99"/>
    <w:rsid w:val="002811A2"/>
  </w:style>
  <w:style w:type="paragraph" w:styleId="a7">
    <w:name w:val="Balloon Text"/>
    <w:basedOn w:val="a"/>
    <w:link w:val="a8"/>
    <w:uiPriority w:val="99"/>
    <w:semiHidden/>
    <w:unhideWhenUsed/>
    <w:rsid w:val="002811A2"/>
    <w:pPr>
      <w:spacing w:after="0" w:line="240" w:lineRule="auto"/>
    </w:pPr>
    <w:rPr>
      <w:rFonts w:ascii="Tahoma" w:hAnsi="Tahoma" w:cs="Tahoma"/>
      <w:sz w:val="16"/>
      <w:szCs w:val="16"/>
    </w:rPr>
  </w:style>
  <w:style w:type="character" w:customStyle="1" w:styleId="a8">
    <w:name w:val="טקסט בלונים תו"/>
    <w:link w:val="a7"/>
    <w:uiPriority w:val="99"/>
    <w:semiHidden/>
    <w:rsid w:val="002811A2"/>
    <w:rPr>
      <w:rFonts w:ascii="Tahoma" w:hAnsi="Tahoma" w:cs="Tahoma"/>
      <w:sz w:val="16"/>
      <w:szCs w:val="16"/>
    </w:rPr>
  </w:style>
  <w:style w:type="paragraph" w:customStyle="1" w:styleId="HeadHatzaotHok">
    <w:name w:val="Head HatzaotHok"/>
    <w:basedOn w:val="a"/>
    <w:rsid w:val="0079687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Hesber">
    <w:name w:val="Hesber"/>
    <w:basedOn w:val="a"/>
    <w:rsid w:val="008F227E"/>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color w:val="000000"/>
      <w:sz w:val="20"/>
      <w:szCs w:val="26"/>
      <w:lang w:eastAsia="ja-JP"/>
    </w:rPr>
  </w:style>
  <w:style w:type="paragraph" w:styleId="a9">
    <w:name w:val="List Paragraph"/>
    <w:basedOn w:val="a"/>
    <w:uiPriority w:val="34"/>
    <w:qFormat/>
    <w:rsid w:val="00985DE5"/>
    <w:pPr>
      <w:ind w:left="720"/>
      <w:contextualSpacing/>
    </w:pPr>
    <w:rPr>
      <w:rFonts w:eastAsia="Times New Roman"/>
    </w:rPr>
  </w:style>
  <w:style w:type="paragraph" w:customStyle="1" w:styleId="1">
    <w:name w:val="ציטוט1"/>
    <w:basedOn w:val="a"/>
    <w:uiPriority w:val="99"/>
    <w:rsid w:val="00EB6886"/>
    <w:pPr>
      <w:spacing w:after="0" w:line="240" w:lineRule="auto"/>
      <w:ind w:left="1080" w:right="1383"/>
      <w:jc w:val="both"/>
    </w:pPr>
    <w:rPr>
      <w:rFonts w:ascii="Times New Roman" w:eastAsia="Times New Roman" w:hAnsi="Times New Roman" w:cs="David"/>
      <w:noProof/>
      <w:sz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15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91C504F0-BA0B-4E87-8369-94C11C9BC732@Home"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1502;&#1495;&#1500;&#1511;&#1492;%20&#1502;&#1513;&#1508;&#1496;&#1497;&#1514;\&#1502;&#1511;&#1493;&#1493;&#1488;&#1493;&#1514;\&#1488;&#1495;&#1512;&#1497;%20&#1508;&#1505;&#1511;%20&#1492;&#1491;&#1497;&#1503;\&#1504;&#1497;&#1497;&#1512;%20&#1506;&#1502;&#1491;&#1492;%20&#1506;&#1500;%20&#1495;&#1493;&#1511;%20&#1492;&#1502;&#1511;&#1493;&#1493;&#1488;&#1493;&#1514;.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2D8ADC-A815-4863-91B0-C0C0B7E3BBA2}"/>
</file>

<file path=customXml/itemProps2.xml><?xml version="1.0" encoding="utf-8"?>
<ds:datastoreItem xmlns:ds="http://schemas.openxmlformats.org/officeDocument/2006/customXml" ds:itemID="{10321B69-7921-4085-9F2A-F5F8179D0B04}"/>
</file>

<file path=customXml/itemProps3.xml><?xml version="1.0" encoding="utf-8"?>
<ds:datastoreItem xmlns:ds="http://schemas.openxmlformats.org/officeDocument/2006/customXml" ds:itemID="{8105B2D5-72A0-4021-95C9-60A915A828A9}"/>
</file>

<file path=customXml/itemProps4.xml><?xml version="1.0" encoding="utf-8"?>
<ds:datastoreItem xmlns:ds="http://schemas.openxmlformats.org/officeDocument/2006/customXml" ds:itemID="{BAC65191-85C4-4954-A1EC-32BA2D5444D8}"/>
</file>

<file path=docProps/app.xml><?xml version="1.0" encoding="utf-8"?>
<Properties xmlns="http://schemas.openxmlformats.org/officeDocument/2006/extended-properties" xmlns:vt="http://schemas.openxmlformats.org/officeDocument/2006/docPropsVTypes">
  <Template>נייר עמדה על חוק המקוואות</Template>
  <TotalTime>170</TotalTime>
  <Pages>2</Pages>
  <Words>555</Words>
  <Characters>2776</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3325</CharactersWithSpaces>
  <SharedDoc>false</SharedDoc>
  <HLinks>
    <vt:vector size="6" baseType="variant">
      <vt:variant>
        <vt:i4>5832739</vt:i4>
      </vt:variant>
      <vt:variant>
        <vt:i4>-1</vt:i4>
      </vt:variant>
      <vt:variant>
        <vt:i4>2051</vt:i4>
      </vt:variant>
      <vt:variant>
        <vt:i4>1</vt:i4>
      </vt:variant>
      <vt:variant>
        <vt:lpwstr>cid:91C504F0-BA0B-4E87-8369-94C11C9BC732@Home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Orly Erez. Likhovski</dc:creator>
  <cp:lastModifiedBy>Orly Erez. Likhovski</cp:lastModifiedBy>
  <cp:revision>6</cp:revision>
  <cp:lastPrinted>2012-05-07T11:29:00Z</cp:lastPrinted>
  <dcterms:created xsi:type="dcterms:W3CDTF">2016-06-03T15:44:00Z</dcterms:created>
  <dcterms:modified xsi:type="dcterms:W3CDTF">2016-06-03T18:53:00Z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2002958</vt:r8>
  </property>
</Properties>
</file>