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0B0" w:rsidRDefault="007220B0" w:rsidP="00D439F6">
      <w:pPr>
        <w:jc w:val="right"/>
        <w:rPr>
          <w:rtl/>
        </w:rPr>
      </w:pPr>
    </w:p>
    <w:p w:rsidR="00D05678" w:rsidRPr="00265217" w:rsidRDefault="00867452" w:rsidP="00D14FAA">
      <w:pPr>
        <w:jc w:val="right"/>
        <w:rPr>
          <w:rFonts w:ascii="David" w:hAnsi="David" w:cs="David"/>
          <w:sz w:val="24"/>
          <w:szCs w:val="24"/>
        </w:rPr>
      </w:pPr>
      <w:r>
        <w:rPr>
          <w:rFonts w:hint="cs"/>
          <w:rtl/>
        </w:rPr>
        <w:t>‏</w:t>
      </w:r>
      <w:r w:rsidRPr="00265217">
        <w:rPr>
          <w:rFonts w:ascii="David" w:hAnsi="David" w:cs="David"/>
          <w:sz w:val="24"/>
          <w:szCs w:val="24"/>
          <w:rtl/>
        </w:rPr>
        <w:t>05 יוני 2016</w:t>
      </w:r>
    </w:p>
    <w:p w:rsidR="00D05678" w:rsidRPr="00265217" w:rsidRDefault="00D05678" w:rsidP="00D14FAA">
      <w:pPr>
        <w:spacing w:after="0"/>
        <w:rPr>
          <w:rFonts w:ascii="David" w:hAnsi="David" w:cs="David"/>
          <w:sz w:val="24"/>
          <w:szCs w:val="24"/>
          <w:rtl/>
        </w:rPr>
      </w:pPr>
      <w:r w:rsidRPr="00265217">
        <w:rPr>
          <w:rFonts w:ascii="David" w:hAnsi="David" w:cs="David"/>
          <w:sz w:val="24"/>
          <w:szCs w:val="24"/>
          <w:rtl/>
        </w:rPr>
        <w:t xml:space="preserve">לכבוד:                                                                              </w:t>
      </w:r>
    </w:p>
    <w:p w:rsidR="00D05678" w:rsidRPr="00265217" w:rsidRDefault="00867452" w:rsidP="00D14FAA">
      <w:pPr>
        <w:spacing w:after="0"/>
        <w:rPr>
          <w:rFonts w:ascii="David" w:hAnsi="David" w:cs="David"/>
          <w:sz w:val="24"/>
          <w:szCs w:val="24"/>
          <w:rtl/>
        </w:rPr>
      </w:pPr>
      <w:r w:rsidRPr="00265217">
        <w:rPr>
          <w:rFonts w:ascii="David" w:hAnsi="David" w:cs="David"/>
          <w:sz w:val="24"/>
          <w:szCs w:val="24"/>
          <w:rtl/>
        </w:rPr>
        <w:t>ח"כ אלי כהן</w:t>
      </w:r>
    </w:p>
    <w:p w:rsidR="00265217" w:rsidRPr="00265217" w:rsidRDefault="00867452" w:rsidP="00D14FAA">
      <w:pPr>
        <w:spacing w:after="0"/>
        <w:rPr>
          <w:rFonts w:ascii="David" w:hAnsi="David" w:cs="David"/>
          <w:sz w:val="24"/>
          <w:szCs w:val="24"/>
          <w:rtl/>
        </w:rPr>
      </w:pPr>
      <w:r w:rsidRPr="00265217">
        <w:rPr>
          <w:rFonts w:ascii="David" w:hAnsi="David" w:cs="David"/>
          <w:sz w:val="24"/>
          <w:szCs w:val="24"/>
          <w:rtl/>
        </w:rPr>
        <w:t xml:space="preserve">יו"ר </w:t>
      </w:r>
      <w:r w:rsidR="00265217" w:rsidRPr="00265217">
        <w:rPr>
          <w:rFonts w:ascii="David" w:hAnsi="David" w:cs="David"/>
          <w:sz w:val="24"/>
          <w:szCs w:val="24"/>
          <w:rtl/>
        </w:rPr>
        <w:t xml:space="preserve">הוועדה המיוחדת לדיון בהצעת חוק הרשות הממשלתית להתחדשות עירונית </w:t>
      </w:r>
    </w:p>
    <w:p w:rsidR="00867452" w:rsidRPr="00265217" w:rsidRDefault="00265217" w:rsidP="00D14FAA">
      <w:pPr>
        <w:spacing w:after="0"/>
        <w:rPr>
          <w:rFonts w:ascii="David" w:hAnsi="David" w:cs="David"/>
          <w:sz w:val="24"/>
          <w:szCs w:val="24"/>
          <w:rtl/>
        </w:rPr>
      </w:pPr>
      <w:r w:rsidRPr="00265217">
        <w:rPr>
          <w:rFonts w:ascii="David" w:hAnsi="David" w:cs="David"/>
          <w:sz w:val="24"/>
          <w:szCs w:val="24"/>
          <w:rtl/>
        </w:rPr>
        <w:t xml:space="preserve">ובסעיפים מהצעת חוק התכנית הכלכלית </w:t>
      </w:r>
    </w:p>
    <w:p w:rsidR="00265217" w:rsidRPr="00265217" w:rsidRDefault="00265217" w:rsidP="00D14FAA">
      <w:pPr>
        <w:spacing w:after="0"/>
        <w:rPr>
          <w:rFonts w:ascii="David" w:hAnsi="David" w:cs="David"/>
          <w:sz w:val="24"/>
          <w:szCs w:val="24"/>
          <w:u w:val="single"/>
          <w:rtl/>
        </w:rPr>
      </w:pPr>
      <w:r w:rsidRPr="00265217">
        <w:rPr>
          <w:rFonts w:ascii="David" w:hAnsi="David" w:cs="David"/>
          <w:sz w:val="24"/>
          <w:szCs w:val="24"/>
          <w:u w:val="single"/>
          <w:rtl/>
        </w:rPr>
        <w:t>הכנסת</w:t>
      </w:r>
    </w:p>
    <w:p w:rsidR="000B0BCE" w:rsidRPr="005D5893" w:rsidRDefault="000B0BCE" w:rsidP="00DC54B1">
      <w:pPr>
        <w:rPr>
          <w:rFonts w:cs="David"/>
          <w:sz w:val="24"/>
          <w:szCs w:val="24"/>
          <w:rtl/>
        </w:rPr>
      </w:pPr>
    </w:p>
    <w:p w:rsidR="000B0BCE" w:rsidRDefault="007220B0" w:rsidP="00DC54B1">
      <w:pPr>
        <w:rPr>
          <w:rFonts w:cs="David"/>
          <w:sz w:val="24"/>
          <w:szCs w:val="24"/>
          <w:rtl/>
        </w:rPr>
      </w:pPr>
      <w:r w:rsidRPr="005D5893">
        <w:rPr>
          <w:rFonts w:cs="David" w:hint="cs"/>
          <w:sz w:val="24"/>
          <w:szCs w:val="24"/>
          <w:rtl/>
        </w:rPr>
        <w:t>שלום רב,</w:t>
      </w:r>
    </w:p>
    <w:p w:rsidR="000004E4" w:rsidRDefault="003C2122" w:rsidP="00D14FAA">
      <w:pPr>
        <w:spacing w:after="0"/>
        <w:jc w:val="center"/>
        <w:rPr>
          <w:rFonts w:cs="David"/>
          <w:b/>
          <w:bCs/>
          <w:sz w:val="24"/>
          <w:szCs w:val="24"/>
          <w:u w:val="single"/>
          <w:rtl/>
        </w:rPr>
      </w:pPr>
      <w:r w:rsidRPr="003C2122">
        <w:rPr>
          <w:rFonts w:cs="David" w:hint="cs"/>
          <w:b/>
          <w:bCs/>
          <w:sz w:val="24"/>
          <w:szCs w:val="24"/>
          <w:rtl/>
        </w:rPr>
        <w:t xml:space="preserve">הנדון: </w:t>
      </w:r>
      <w:r w:rsidRPr="003C2122">
        <w:rPr>
          <w:rFonts w:cs="David" w:hint="cs"/>
          <w:b/>
          <w:bCs/>
          <w:sz w:val="24"/>
          <w:szCs w:val="24"/>
          <w:u w:val="single"/>
          <w:rtl/>
        </w:rPr>
        <w:t xml:space="preserve">הצעת חוק הפיקוח על שירותים פיננסיים (תיקוני חקיקה), </w:t>
      </w:r>
      <w:proofErr w:type="spellStart"/>
      <w:r w:rsidRPr="003C2122">
        <w:rPr>
          <w:rFonts w:cs="David" w:hint="cs"/>
          <w:b/>
          <w:bCs/>
          <w:sz w:val="24"/>
          <w:szCs w:val="24"/>
          <w:u w:val="single"/>
          <w:rtl/>
        </w:rPr>
        <w:t>התשע"ו</w:t>
      </w:r>
      <w:proofErr w:type="spellEnd"/>
      <w:r w:rsidRPr="003C2122">
        <w:rPr>
          <w:rFonts w:cs="David" w:hint="cs"/>
          <w:b/>
          <w:bCs/>
          <w:sz w:val="24"/>
          <w:szCs w:val="24"/>
          <w:u w:val="single"/>
          <w:rtl/>
        </w:rPr>
        <w:t xml:space="preserve"> </w:t>
      </w:r>
      <w:r w:rsidRPr="003C2122">
        <w:rPr>
          <w:rFonts w:cs="David"/>
          <w:b/>
          <w:bCs/>
          <w:sz w:val="24"/>
          <w:szCs w:val="24"/>
          <w:u w:val="single"/>
          <w:rtl/>
        </w:rPr>
        <w:t>–</w:t>
      </w:r>
      <w:r w:rsidRPr="003C2122">
        <w:rPr>
          <w:rFonts w:cs="David" w:hint="cs"/>
          <w:b/>
          <w:bCs/>
          <w:sz w:val="24"/>
          <w:szCs w:val="24"/>
          <w:u w:val="single"/>
          <w:rtl/>
        </w:rPr>
        <w:t xml:space="preserve"> 2016 </w:t>
      </w:r>
      <w:r w:rsidRPr="003C2122">
        <w:rPr>
          <w:rFonts w:cs="David"/>
          <w:b/>
          <w:bCs/>
          <w:sz w:val="24"/>
          <w:szCs w:val="24"/>
          <w:u w:val="single"/>
          <w:rtl/>
        </w:rPr>
        <w:t>–</w:t>
      </w:r>
      <w:r w:rsidRPr="003C2122">
        <w:rPr>
          <w:rFonts w:cs="David" w:hint="cs"/>
          <w:b/>
          <w:bCs/>
          <w:sz w:val="24"/>
          <w:szCs w:val="24"/>
          <w:u w:val="single"/>
          <w:rtl/>
        </w:rPr>
        <w:t xml:space="preserve"> </w:t>
      </w:r>
    </w:p>
    <w:p w:rsidR="000004E4" w:rsidRDefault="003C2122" w:rsidP="00D14FAA">
      <w:pPr>
        <w:spacing w:after="0"/>
        <w:jc w:val="center"/>
        <w:rPr>
          <w:rFonts w:cs="David"/>
          <w:b/>
          <w:bCs/>
          <w:sz w:val="24"/>
          <w:szCs w:val="24"/>
          <w:u w:val="single"/>
          <w:rtl/>
        </w:rPr>
      </w:pPr>
      <w:r w:rsidRPr="003C2122">
        <w:rPr>
          <w:rFonts w:cs="David" w:hint="cs"/>
          <w:b/>
          <w:bCs/>
          <w:sz w:val="24"/>
          <w:szCs w:val="24"/>
          <w:u w:val="single"/>
          <w:rtl/>
        </w:rPr>
        <w:t xml:space="preserve">הקמת רשות שוק  </w:t>
      </w:r>
      <w:r>
        <w:rPr>
          <w:rFonts w:cs="David" w:hint="cs"/>
          <w:b/>
          <w:bCs/>
          <w:sz w:val="24"/>
          <w:szCs w:val="24"/>
          <w:u w:val="single"/>
          <w:rtl/>
        </w:rPr>
        <w:t xml:space="preserve"> </w:t>
      </w:r>
      <w:r w:rsidRPr="003C2122">
        <w:rPr>
          <w:rFonts w:cs="David" w:hint="cs"/>
          <w:b/>
          <w:bCs/>
          <w:sz w:val="24"/>
          <w:szCs w:val="24"/>
          <w:u w:val="single"/>
          <w:rtl/>
        </w:rPr>
        <w:t>ההון    ביטוח וחיסכון</w:t>
      </w:r>
    </w:p>
    <w:p w:rsidR="00D14FAA" w:rsidRDefault="00D14FAA" w:rsidP="00D14FAA">
      <w:pPr>
        <w:spacing w:after="0"/>
        <w:jc w:val="center"/>
        <w:rPr>
          <w:rFonts w:cs="David"/>
          <w:b/>
          <w:bCs/>
          <w:sz w:val="24"/>
          <w:szCs w:val="24"/>
          <w:u w:val="single"/>
          <w:rtl/>
        </w:rPr>
      </w:pPr>
    </w:p>
    <w:p w:rsidR="003C2122" w:rsidRPr="00D14FAA" w:rsidRDefault="00476DA4" w:rsidP="00D14FAA">
      <w:pPr>
        <w:jc w:val="both"/>
        <w:rPr>
          <w:rFonts w:cs="David"/>
          <w:sz w:val="24"/>
          <w:szCs w:val="24"/>
          <w:rtl/>
        </w:rPr>
      </w:pPr>
      <w:r>
        <w:rPr>
          <w:rFonts w:cs="David" w:hint="cs"/>
          <w:sz w:val="24"/>
          <w:szCs w:val="24"/>
          <w:rtl/>
        </w:rPr>
        <w:t>בשם איגוד בתי ההשקעות (</w:t>
      </w:r>
      <w:proofErr w:type="spellStart"/>
      <w:r w:rsidR="000004E4">
        <w:rPr>
          <w:rFonts w:cs="David" w:hint="cs"/>
          <w:sz w:val="24"/>
          <w:szCs w:val="24"/>
          <w:rtl/>
        </w:rPr>
        <w:t>ע"ר</w:t>
      </w:r>
      <w:proofErr w:type="spellEnd"/>
      <w:r w:rsidR="000004E4">
        <w:rPr>
          <w:rFonts w:cs="David" w:hint="cs"/>
          <w:sz w:val="24"/>
          <w:szCs w:val="24"/>
          <w:rtl/>
        </w:rPr>
        <w:t>), הריני מתכבדת לפנות אליך בק</w:t>
      </w:r>
      <w:r w:rsidR="00FB6419">
        <w:rPr>
          <w:rFonts w:cs="David" w:hint="cs"/>
          <w:sz w:val="24"/>
          <w:szCs w:val="24"/>
          <w:rtl/>
        </w:rPr>
        <w:t>ש</w:t>
      </w:r>
      <w:r w:rsidR="000004E4">
        <w:rPr>
          <w:rFonts w:cs="David" w:hint="cs"/>
          <w:sz w:val="24"/>
          <w:szCs w:val="24"/>
          <w:rtl/>
        </w:rPr>
        <w:t xml:space="preserve">ר עם </w:t>
      </w:r>
      <w:r w:rsidR="003C2122" w:rsidRPr="00D14FAA">
        <w:rPr>
          <w:rFonts w:cs="David" w:hint="cs"/>
          <w:sz w:val="24"/>
          <w:szCs w:val="24"/>
          <w:rtl/>
        </w:rPr>
        <w:t>הצעת החוק להקמת רשות שוק ההון ביטוח וחיסכון אשר נדונה בימים אלה במסגרת הוועדה שבראשותך.</w:t>
      </w:r>
    </w:p>
    <w:p w:rsidR="003C2122" w:rsidRDefault="003C2122" w:rsidP="00FB6419">
      <w:pPr>
        <w:pStyle w:val="a7"/>
        <w:numPr>
          <w:ilvl w:val="0"/>
          <w:numId w:val="17"/>
        </w:numPr>
        <w:ind w:left="429"/>
        <w:jc w:val="both"/>
        <w:rPr>
          <w:rFonts w:cs="David"/>
          <w:sz w:val="24"/>
          <w:szCs w:val="24"/>
          <w:rtl/>
        </w:rPr>
      </w:pPr>
      <w:r>
        <w:rPr>
          <w:rFonts w:cs="David" w:hint="cs"/>
          <w:sz w:val="24"/>
          <w:szCs w:val="24"/>
          <w:rtl/>
        </w:rPr>
        <w:t xml:space="preserve">ראשית, נדגיש כי </w:t>
      </w:r>
      <w:r w:rsidR="005122F9">
        <w:rPr>
          <w:rFonts w:cs="David" w:hint="cs"/>
          <w:sz w:val="24"/>
          <w:szCs w:val="24"/>
          <w:rtl/>
        </w:rPr>
        <w:t xml:space="preserve">לאיגוד בתי השקעות </w:t>
      </w:r>
      <w:r w:rsidR="00FB6419" w:rsidRPr="00FB6419">
        <w:rPr>
          <w:rFonts w:cs="David" w:hint="cs"/>
          <w:sz w:val="24"/>
          <w:szCs w:val="24"/>
          <w:u w:val="single"/>
          <w:rtl/>
        </w:rPr>
        <w:t xml:space="preserve">אין כל </w:t>
      </w:r>
      <w:r w:rsidR="005122F9" w:rsidRPr="00FB6419">
        <w:rPr>
          <w:rFonts w:cs="David" w:hint="cs"/>
          <w:sz w:val="24"/>
          <w:szCs w:val="24"/>
          <w:u w:val="single"/>
          <w:rtl/>
        </w:rPr>
        <w:t>התנגדות להקמת רשות פיקוח מקצועית ועצמאית אשר תפקח על שוק ההון. לדעתנו, רשות מקצועית יכולה לתרום לקידום שוק ההון, לשכלול התחרות בו וליציבות השחקנים בשוק זה</w:t>
      </w:r>
      <w:r w:rsidR="005122F9">
        <w:rPr>
          <w:rFonts w:cs="David" w:hint="cs"/>
          <w:sz w:val="24"/>
          <w:szCs w:val="24"/>
          <w:rtl/>
        </w:rPr>
        <w:t>.</w:t>
      </w:r>
    </w:p>
    <w:p w:rsidR="005122F9" w:rsidRDefault="005122F9" w:rsidP="00D14FAA">
      <w:pPr>
        <w:pStyle w:val="a7"/>
        <w:jc w:val="both"/>
        <w:rPr>
          <w:rFonts w:cs="David"/>
          <w:sz w:val="24"/>
          <w:szCs w:val="24"/>
          <w:rtl/>
        </w:rPr>
      </w:pPr>
    </w:p>
    <w:p w:rsidR="000004E4" w:rsidRDefault="005122F9" w:rsidP="00D14FAA">
      <w:pPr>
        <w:pStyle w:val="a7"/>
        <w:numPr>
          <w:ilvl w:val="0"/>
          <w:numId w:val="17"/>
        </w:numPr>
        <w:ind w:left="429"/>
        <w:jc w:val="both"/>
        <w:rPr>
          <w:rFonts w:cs="David"/>
          <w:sz w:val="24"/>
          <w:szCs w:val="24"/>
        </w:rPr>
      </w:pPr>
      <w:r>
        <w:rPr>
          <w:rFonts w:cs="David" w:hint="cs"/>
          <w:sz w:val="24"/>
          <w:szCs w:val="24"/>
          <w:rtl/>
        </w:rPr>
        <w:t xml:space="preserve">ברור כי להשגת המטרות הנ"ל דרושים לרשות החדשה כלים וסמכויות פיקוח אפקטיביים מחד, אך מאידך </w:t>
      </w:r>
      <w:r w:rsidRPr="00112F10">
        <w:rPr>
          <w:rFonts w:cs="David" w:hint="cs"/>
          <w:b/>
          <w:bCs/>
          <w:sz w:val="24"/>
          <w:szCs w:val="24"/>
          <w:rtl/>
        </w:rPr>
        <w:t xml:space="preserve">חשוב לא פחות כי בהגדרת </w:t>
      </w:r>
      <w:r w:rsidR="00C135BA" w:rsidRPr="00112F10">
        <w:rPr>
          <w:rFonts w:cs="David" w:hint="cs"/>
          <w:b/>
          <w:bCs/>
          <w:sz w:val="24"/>
          <w:szCs w:val="24"/>
          <w:rtl/>
        </w:rPr>
        <w:t>ה</w:t>
      </w:r>
      <w:r w:rsidRPr="00112F10">
        <w:rPr>
          <w:rFonts w:cs="David" w:hint="cs"/>
          <w:b/>
          <w:bCs/>
          <w:sz w:val="24"/>
          <w:szCs w:val="24"/>
          <w:rtl/>
        </w:rPr>
        <w:t>סמכויות</w:t>
      </w:r>
      <w:r w:rsidR="00C135BA" w:rsidRPr="00112F10">
        <w:rPr>
          <w:rFonts w:cs="David" w:hint="cs"/>
          <w:b/>
          <w:bCs/>
          <w:sz w:val="24"/>
          <w:szCs w:val="24"/>
          <w:rtl/>
        </w:rPr>
        <w:t xml:space="preserve"> המורחבות</w:t>
      </w:r>
      <w:r w:rsidRPr="00112F10">
        <w:rPr>
          <w:rFonts w:cs="David" w:hint="cs"/>
          <w:b/>
          <w:bCs/>
          <w:sz w:val="24"/>
          <w:szCs w:val="24"/>
          <w:rtl/>
        </w:rPr>
        <w:t xml:space="preserve"> </w:t>
      </w:r>
      <w:r w:rsidR="0001113E">
        <w:rPr>
          <w:rFonts w:cs="David" w:hint="cs"/>
          <w:b/>
          <w:bCs/>
          <w:sz w:val="24"/>
          <w:szCs w:val="24"/>
          <w:rtl/>
        </w:rPr>
        <w:t>ל</w:t>
      </w:r>
      <w:r w:rsidRPr="00112F10">
        <w:rPr>
          <w:rFonts w:cs="David" w:hint="cs"/>
          <w:b/>
          <w:bCs/>
          <w:sz w:val="24"/>
          <w:szCs w:val="24"/>
          <w:rtl/>
        </w:rPr>
        <w:t xml:space="preserve">רשות </w:t>
      </w:r>
      <w:r w:rsidR="00C135BA" w:rsidRPr="00112F10">
        <w:rPr>
          <w:rFonts w:cs="David" w:hint="cs"/>
          <w:b/>
          <w:bCs/>
          <w:sz w:val="24"/>
          <w:szCs w:val="24"/>
          <w:rtl/>
        </w:rPr>
        <w:t>תינתן הדעת על כך שלא ייווצרו כפילויות הסדרה והכבדה רגולטורית שתפגע בתפקוד הגופים המפוקחים.</w:t>
      </w:r>
    </w:p>
    <w:p w:rsidR="00D14FAA" w:rsidRPr="00D14FAA" w:rsidRDefault="00D14FAA" w:rsidP="00D14FAA">
      <w:pPr>
        <w:pStyle w:val="a7"/>
        <w:rPr>
          <w:rFonts w:cs="David"/>
          <w:sz w:val="24"/>
          <w:szCs w:val="24"/>
          <w:rtl/>
        </w:rPr>
      </w:pPr>
    </w:p>
    <w:p w:rsidR="008C1FB6" w:rsidRPr="00D14FAA" w:rsidRDefault="00EF786B" w:rsidP="002B77A9">
      <w:pPr>
        <w:pStyle w:val="a7"/>
        <w:numPr>
          <w:ilvl w:val="0"/>
          <w:numId w:val="17"/>
        </w:numPr>
        <w:ind w:left="429"/>
        <w:jc w:val="both"/>
        <w:rPr>
          <w:rFonts w:cs="David"/>
          <w:sz w:val="24"/>
          <w:szCs w:val="24"/>
          <w:rtl/>
        </w:rPr>
      </w:pPr>
      <w:r w:rsidRPr="00D14FAA">
        <w:rPr>
          <w:rFonts w:cs="David" w:hint="cs"/>
          <w:sz w:val="24"/>
          <w:szCs w:val="24"/>
          <w:rtl/>
        </w:rPr>
        <w:t xml:space="preserve">הצעת החוק </w:t>
      </w:r>
      <w:r w:rsidR="00595B06">
        <w:rPr>
          <w:rFonts w:cs="David" w:hint="cs"/>
          <w:sz w:val="24"/>
          <w:szCs w:val="24"/>
          <w:rtl/>
        </w:rPr>
        <w:t xml:space="preserve">הנדונה </w:t>
      </w:r>
      <w:r w:rsidRPr="00D14FAA">
        <w:rPr>
          <w:rFonts w:cs="David" w:hint="cs"/>
          <w:sz w:val="24"/>
          <w:szCs w:val="24"/>
          <w:rtl/>
        </w:rPr>
        <w:t>מתכוונת לה</w:t>
      </w:r>
      <w:r w:rsidR="00DF433B">
        <w:rPr>
          <w:rFonts w:cs="David" w:hint="cs"/>
          <w:sz w:val="24"/>
          <w:szCs w:val="24"/>
          <w:rtl/>
        </w:rPr>
        <w:t>רחיב סמכויות</w:t>
      </w:r>
      <w:r w:rsidRPr="00D14FAA">
        <w:rPr>
          <w:rFonts w:cs="David" w:hint="cs"/>
          <w:sz w:val="24"/>
          <w:szCs w:val="24"/>
          <w:rtl/>
        </w:rPr>
        <w:t xml:space="preserve"> פיקוח </w:t>
      </w:r>
      <w:r w:rsidR="00DF433B">
        <w:rPr>
          <w:rFonts w:cs="David" w:hint="cs"/>
          <w:sz w:val="24"/>
          <w:szCs w:val="24"/>
          <w:rtl/>
        </w:rPr>
        <w:t>לרשות החדשה ולהחיל הוראות פיקוח על תאגידי האחזקה, אשר</w:t>
      </w:r>
      <w:r w:rsidRPr="00D14FAA">
        <w:rPr>
          <w:rFonts w:cs="David" w:hint="cs"/>
          <w:sz w:val="24"/>
          <w:szCs w:val="24"/>
          <w:rtl/>
        </w:rPr>
        <w:t xml:space="preserve"> מרבית הנכסים</w:t>
      </w:r>
      <w:r w:rsidR="0091550C" w:rsidRPr="00D14FAA">
        <w:rPr>
          <w:rFonts w:cs="David" w:hint="cs"/>
          <w:sz w:val="24"/>
          <w:szCs w:val="24"/>
          <w:rtl/>
        </w:rPr>
        <w:t xml:space="preserve"> </w:t>
      </w:r>
      <w:r w:rsidR="002B77A9">
        <w:rPr>
          <w:rFonts w:cs="David" w:hint="cs"/>
          <w:sz w:val="24"/>
          <w:szCs w:val="24"/>
          <w:rtl/>
        </w:rPr>
        <w:t>שבניהולם</w:t>
      </w:r>
      <w:r w:rsidR="0091550C" w:rsidRPr="00D14FAA">
        <w:rPr>
          <w:rFonts w:cs="David" w:hint="cs"/>
          <w:sz w:val="24"/>
          <w:szCs w:val="24"/>
          <w:rtl/>
        </w:rPr>
        <w:t xml:space="preserve"> מנוהלים </w:t>
      </w:r>
      <w:r w:rsidR="002B77A9">
        <w:rPr>
          <w:rFonts w:cs="David" w:hint="cs"/>
          <w:sz w:val="24"/>
          <w:szCs w:val="24"/>
          <w:rtl/>
        </w:rPr>
        <w:t>על ידי החברות המוחזקות שכפופות</w:t>
      </w:r>
      <w:r w:rsidRPr="00D14FAA">
        <w:rPr>
          <w:rFonts w:cs="David" w:hint="cs"/>
          <w:sz w:val="24"/>
          <w:szCs w:val="24"/>
          <w:rtl/>
        </w:rPr>
        <w:t xml:space="preserve"> למשט</w:t>
      </w:r>
      <w:r w:rsidR="008C1FB6" w:rsidRPr="00D14FAA">
        <w:rPr>
          <w:rFonts w:cs="David" w:hint="cs"/>
          <w:sz w:val="24"/>
          <w:szCs w:val="24"/>
          <w:rtl/>
        </w:rPr>
        <w:t>ר פיקוח הדוק מצד רשות ניירות ערך</w:t>
      </w:r>
      <w:r w:rsidR="002B77A9">
        <w:rPr>
          <w:rFonts w:cs="David" w:hint="cs"/>
          <w:sz w:val="24"/>
          <w:szCs w:val="24"/>
          <w:rtl/>
        </w:rPr>
        <w:t>,</w:t>
      </w:r>
      <w:r w:rsidR="000004E4" w:rsidRPr="00D14FAA">
        <w:rPr>
          <w:rFonts w:cs="David" w:hint="cs"/>
          <w:sz w:val="24"/>
          <w:szCs w:val="24"/>
          <w:rtl/>
        </w:rPr>
        <w:t xml:space="preserve"> כפי שעולה מהדוגמא המצ"ב בשלושת בתי ההשקעות המובילים בישראל:</w:t>
      </w:r>
    </w:p>
    <w:tbl>
      <w:tblPr>
        <w:tblStyle w:val="a8"/>
        <w:bidiVisual/>
        <w:tblW w:w="0" w:type="auto"/>
        <w:tblInd w:w="1080" w:type="dxa"/>
        <w:tblLook w:val="04A0" w:firstRow="1" w:lastRow="0" w:firstColumn="1" w:lastColumn="0" w:noHBand="0" w:noVBand="1"/>
      </w:tblPr>
      <w:tblGrid>
        <w:gridCol w:w="2099"/>
        <w:gridCol w:w="2057"/>
        <w:gridCol w:w="2057"/>
        <w:gridCol w:w="2057"/>
      </w:tblGrid>
      <w:tr w:rsidR="000004E4" w:rsidRPr="0061136F" w:rsidTr="00595B06">
        <w:tc>
          <w:tcPr>
            <w:tcW w:w="2394" w:type="dxa"/>
          </w:tcPr>
          <w:p w:rsidR="008C1FB6" w:rsidRPr="00D14FAA" w:rsidRDefault="008C1FB6" w:rsidP="00D14FAA">
            <w:pPr>
              <w:jc w:val="both"/>
              <w:rPr>
                <w:rFonts w:ascii="Arial Narrow" w:eastAsia="Times New Roman" w:hAnsi="Arial Narrow" w:cs="David"/>
                <w:b/>
                <w:bCs/>
                <w:rtl/>
                <w:lang w:eastAsia="he-IL"/>
              </w:rPr>
            </w:pP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פסגות</w:t>
            </w: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מיטב דש</w:t>
            </w: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אקסלנס</w:t>
            </w:r>
          </w:p>
        </w:tc>
      </w:tr>
      <w:tr w:rsidR="000004E4" w:rsidRPr="0061136F" w:rsidTr="00595B06">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סך נכסים מנוהלים</w:t>
            </w: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188 מיליארד שקלים</w:t>
            </w: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117 מיליארד שקלים</w:t>
            </w: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80 מיליארד שקלים</w:t>
            </w:r>
          </w:p>
        </w:tc>
      </w:tr>
      <w:tr w:rsidR="000004E4" w:rsidRPr="0061136F" w:rsidTr="00595B06">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מתוך זה בפיקוח אגף שוק ההון</w:t>
            </w: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60 מיליארד שקלים</w:t>
            </w: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40 מיליארד שקלים</w:t>
            </w: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23 מיליארד שקלים</w:t>
            </w:r>
          </w:p>
        </w:tc>
      </w:tr>
      <w:tr w:rsidR="000004E4" w:rsidRPr="0061136F" w:rsidTr="00595B06">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באחוזים</w:t>
            </w: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32%</w:t>
            </w: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34%</w:t>
            </w:r>
          </w:p>
        </w:tc>
        <w:tc>
          <w:tcPr>
            <w:tcW w:w="2394" w:type="dxa"/>
          </w:tcPr>
          <w:p w:rsidR="008C1FB6" w:rsidRPr="00D14FAA" w:rsidRDefault="008C1FB6"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28%</w:t>
            </w:r>
          </w:p>
        </w:tc>
      </w:tr>
      <w:tr w:rsidR="00D14FAA" w:rsidRPr="0061136F" w:rsidTr="00595B06">
        <w:tc>
          <w:tcPr>
            <w:tcW w:w="2394" w:type="dxa"/>
          </w:tcPr>
          <w:p w:rsidR="008C1FB6" w:rsidRPr="00D14FAA" w:rsidRDefault="000004E4"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מתוך זה במסגרת תאגידים ופעילויות המפוקח</w:t>
            </w:r>
            <w:r w:rsidR="00D14FAA">
              <w:rPr>
                <w:rFonts w:ascii="Arial Narrow" w:eastAsia="Times New Roman" w:hAnsi="Arial Narrow" w:cs="David" w:hint="cs"/>
                <w:b/>
                <w:bCs/>
                <w:rtl/>
                <w:lang w:eastAsia="he-IL"/>
              </w:rPr>
              <w:t xml:space="preserve">ים על ידי רשות ניירות ערך </w:t>
            </w:r>
          </w:p>
        </w:tc>
        <w:tc>
          <w:tcPr>
            <w:tcW w:w="2394" w:type="dxa"/>
          </w:tcPr>
          <w:p w:rsidR="008C1FB6" w:rsidRPr="00D14FAA" w:rsidRDefault="000004E4"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68%</w:t>
            </w:r>
          </w:p>
        </w:tc>
        <w:tc>
          <w:tcPr>
            <w:tcW w:w="2394" w:type="dxa"/>
          </w:tcPr>
          <w:p w:rsidR="008C1FB6" w:rsidRPr="00D14FAA" w:rsidRDefault="000004E4"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66%</w:t>
            </w:r>
          </w:p>
        </w:tc>
        <w:tc>
          <w:tcPr>
            <w:tcW w:w="2394" w:type="dxa"/>
          </w:tcPr>
          <w:p w:rsidR="008C1FB6" w:rsidRPr="00D14FAA" w:rsidRDefault="000004E4" w:rsidP="00D14FAA">
            <w:pPr>
              <w:jc w:val="center"/>
              <w:rPr>
                <w:rFonts w:ascii="Arial Narrow" w:eastAsia="Times New Roman" w:hAnsi="Arial Narrow" w:cs="David"/>
                <w:b/>
                <w:bCs/>
                <w:rtl/>
                <w:lang w:eastAsia="he-IL"/>
              </w:rPr>
            </w:pPr>
            <w:r w:rsidRPr="00D14FAA">
              <w:rPr>
                <w:rFonts w:ascii="Arial Narrow" w:eastAsia="Times New Roman" w:hAnsi="Arial Narrow" w:cs="David" w:hint="cs"/>
                <w:b/>
                <w:bCs/>
                <w:rtl/>
                <w:lang w:eastAsia="he-IL"/>
              </w:rPr>
              <w:t>72%</w:t>
            </w:r>
          </w:p>
        </w:tc>
      </w:tr>
    </w:tbl>
    <w:p w:rsidR="000004E4" w:rsidRDefault="000004E4" w:rsidP="00D14FAA">
      <w:pPr>
        <w:ind w:left="1080"/>
        <w:jc w:val="both"/>
        <w:rPr>
          <w:rFonts w:ascii="Arial Narrow" w:eastAsia="Times New Roman" w:hAnsi="Arial Narrow" w:cs="David"/>
          <w:sz w:val="26"/>
          <w:szCs w:val="24"/>
          <w:highlight w:val="yellow"/>
          <w:rtl/>
          <w:lang w:eastAsia="he-IL"/>
        </w:rPr>
      </w:pPr>
    </w:p>
    <w:p w:rsidR="00D14FAA" w:rsidRDefault="00D14FAA" w:rsidP="00D14FAA">
      <w:pPr>
        <w:pStyle w:val="a7"/>
        <w:ind w:left="713"/>
        <w:jc w:val="both"/>
        <w:rPr>
          <w:rFonts w:cs="David"/>
          <w:sz w:val="24"/>
          <w:szCs w:val="24"/>
          <w:rtl/>
        </w:rPr>
      </w:pPr>
    </w:p>
    <w:p w:rsidR="00D14FAA" w:rsidRDefault="00D14FAA" w:rsidP="00D14FAA">
      <w:pPr>
        <w:pStyle w:val="a7"/>
        <w:ind w:left="713"/>
        <w:jc w:val="both"/>
        <w:rPr>
          <w:rFonts w:cs="David"/>
          <w:sz w:val="24"/>
          <w:szCs w:val="24"/>
          <w:rtl/>
        </w:rPr>
      </w:pPr>
    </w:p>
    <w:p w:rsidR="00D14FAA" w:rsidRDefault="00D14FAA" w:rsidP="00D14FAA">
      <w:pPr>
        <w:pStyle w:val="a7"/>
        <w:ind w:left="713"/>
        <w:jc w:val="both"/>
        <w:rPr>
          <w:rFonts w:cs="David"/>
          <w:sz w:val="24"/>
          <w:szCs w:val="24"/>
        </w:rPr>
      </w:pPr>
    </w:p>
    <w:p w:rsidR="008C1FB6" w:rsidRPr="000004E4" w:rsidRDefault="000004E4" w:rsidP="00D14FAA">
      <w:pPr>
        <w:pStyle w:val="a7"/>
        <w:numPr>
          <w:ilvl w:val="0"/>
          <w:numId w:val="17"/>
        </w:numPr>
        <w:ind w:left="713"/>
        <w:jc w:val="both"/>
        <w:rPr>
          <w:rFonts w:cs="David"/>
          <w:sz w:val="24"/>
          <w:szCs w:val="24"/>
          <w:rtl/>
        </w:rPr>
      </w:pPr>
      <w:r>
        <w:rPr>
          <w:rFonts w:cs="David" w:hint="cs"/>
          <w:sz w:val="24"/>
          <w:szCs w:val="24"/>
          <w:rtl/>
        </w:rPr>
        <w:lastRenderedPageBreak/>
        <w:t xml:space="preserve">תוצאת הדברים </w:t>
      </w:r>
      <w:r w:rsidR="00D14FAA">
        <w:rPr>
          <w:rFonts w:cs="David" w:hint="cs"/>
          <w:sz w:val="24"/>
          <w:szCs w:val="24"/>
          <w:rtl/>
        </w:rPr>
        <w:t>אפוא</w:t>
      </w:r>
      <w:r>
        <w:rPr>
          <w:rFonts w:cs="David" w:hint="cs"/>
          <w:sz w:val="24"/>
          <w:szCs w:val="24"/>
          <w:rtl/>
        </w:rPr>
        <w:t xml:space="preserve">, אינה מותירה כל מקום לספק </w:t>
      </w:r>
      <w:r>
        <w:rPr>
          <w:rFonts w:cs="David"/>
          <w:sz w:val="24"/>
          <w:szCs w:val="24"/>
          <w:rtl/>
        </w:rPr>
        <w:t>–</w:t>
      </w:r>
      <w:r>
        <w:rPr>
          <w:rFonts w:cs="David" w:hint="cs"/>
          <w:sz w:val="24"/>
          <w:szCs w:val="24"/>
          <w:rtl/>
        </w:rPr>
        <w:t xml:space="preserve"> </w:t>
      </w:r>
      <w:r w:rsidRPr="00D14FAA">
        <w:rPr>
          <w:rFonts w:cs="David" w:hint="cs"/>
          <w:sz w:val="24"/>
          <w:szCs w:val="24"/>
          <w:u w:val="single"/>
          <w:rtl/>
        </w:rPr>
        <w:t>הרוב המוחלט של הנכסים המנוהלים (</w:t>
      </w:r>
      <w:r w:rsidRPr="00D14FAA">
        <w:rPr>
          <w:rFonts w:cs="David" w:hint="cs"/>
          <w:sz w:val="24"/>
          <w:szCs w:val="24"/>
          <w:u w:val="single"/>
        </w:rPr>
        <w:t>O</w:t>
      </w:r>
      <w:r w:rsidRPr="00D14FAA">
        <w:rPr>
          <w:rFonts w:cs="David"/>
          <w:sz w:val="24"/>
          <w:szCs w:val="24"/>
          <w:u w:val="single"/>
        </w:rPr>
        <w:t>ther People Money</w:t>
      </w:r>
      <w:r w:rsidRPr="00D14FAA">
        <w:rPr>
          <w:rFonts w:cs="David" w:hint="cs"/>
          <w:sz w:val="24"/>
          <w:szCs w:val="24"/>
          <w:u w:val="single"/>
          <w:rtl/>
        </w:rPr>
        <w:t>), תחת המעטה של תאגידי האחזקה הפיננסיים (בתי ההשקעות), נתון לפיקוח מצד רשות ניירות ערך, אשר כולל, בין היתר, אסדרה של הנושאים הבאים</w:t>
      </w:r>
      <w:r>
        <w:rPr>
          <w:rFonts w:cs="David" w:hint="cs"/>
          <w:sz w:val="24"/>
          <w:szCs w:val="24"/>
          <w:rtl/>
        </w:rPr>
        <w:t xml:space="preserve">:  </w:t>
      </w:r>
      <w:r>
        <w:rPr>
          <w:rFonts w:cs="David" w:hint="cs"/>
          <w:sz w:val="24"/>
          <w:szCs w:val="24"/>
        </w:rPr>
        <w:t xml:space="preserve"> </w:t>
      </w:r>
    </w:p>
    <w:p w:rsidR="008C1FB6" w:rsidRPr="00D14FAA" w:rsidRDefault="00E90D45" w:rsidP="00D14FAA">
      <w:pPr>
        <w:pStyle w:val="a7"/>
        <w:numPr>
          <w:ilvl w:val="1"/>
          <w:numId w:val="17"/>
        </w:numPr>
        <w:ind w:left="1138"/>
        <w:jc w:val="both"/>
        <w:rPr>
          <w:rFonts w:cs="David"/>
          <w:sz w:val="24"/>
          <w:szCs w:val="24"/>
        </w:rPr>
      </w:pPr>
      <w:r w:rsidRPr="00D14FAA">
        <w:rPr>
          <w:rFonts w:cs="David" w:hint="cs"/>
          <w:sz w:val="24"/>
          <w:szCs w:val="24"/>
          <w:rtl/>
        </w:rPr>
        <w:t xml:space="preserve">הוראות לעניין ממשל תאגידי (התנהלות דירקטוריון וועדותיו);  </w:t>
      </w:r>
    </w:p>
    <w:p w:rsidR="008C1FB6" w:rsidRPr="00D14FAA" w:rsidRDefault="00E90D45" w:rsidP="00D14FAA">
      <w:pPr>
        <w:pStyle w:val="a7"/>
        <w:numPr>
          <w:ilvl w:val="1"/>
          <w:numId w:val="17"/>
        </w:numPr>
        <w:ind w:left="1138"/>
        <w:jc w:val="both"/>
        <w:rPr>
          <w:rFonts w:cs="David"/>
          <w:sz w:val="24"/>
          <w:szCs w:val="24"/>
        </w:rPr>
      </w:pPr>
      <w:r w:rsidRPr="00D14FAA">
        <w:rPr>
          <w:rFonts w:cs="David" w:hint="cs"/>
          <w:sz w:val="24"/>
          <w:szCs w:val="24"/>
          <w:rtl/>
        </w:rPr>
        <w:t xml:space="preserve">כללים לעניין אופן ניהול השקעות; </w:t>
      </w:r>
    </w:p>
    <w:p w:rsidR="008C1FB6" w:rsidRPr="00D14FAA" w:rsidRDefault="00E90D45" w:rsidP="00D14FAA">
      <w:pPr>
        <w:pStyle w:val="a7"/>
        <w:numPr>
          <w:ilvl w:val="1"/>
          <w:numId w:val="17"/>
        </w:numPr>
        <w:ind w:left="1138"/>
        <w:jc w:val="both"/>
        <w:rPr>
          <w:rFonts w:cs="David"/>
          <w:sz w:val="24"/>
          <w:szCs w:val="24"/>
        </w:rPr>
      </w:pPr>
      <w:r w:rsidRPr="00D14FAA">
        <w:rPr>
          <w:rFonts w:cs="David" w:hint="cs"/>
          <w:sz w:val="24"/>
          <w:szCs w:val="24"/>
          <w:rtl/>
        </w:rPr>
        <w:t xml:space="preserve">כללי </w:t>
      </w:r>
      <w:r w:rsidR="008C1FB6" w:rsidRPr="00D14FAA">
        <w:rPr>
          <w:rFonts w:cs="David" w:hint="cs"/>
          <w:sz w:val="24"/>
          <w:szCs w:val="24"/>
          <w:rtl/>
        </w:rPr>
        <w:t>גילוי ודיווח</w:t>
      </w:r>
      <w:r w:rsidRPr="00D14FAA">
        <w:rPr>
          <w:rFonts w:cs="David" w:hint="cs"/>
          <w:sz w:val="24"/>
          <w:szCs w:val="24"/>
          <w:rtl/>
        </w:rPr>
        <w:t xml:space="preserve"> (פומביים ושאינם פומביים); </w:t>
      </w:r>
    </w:p>
    <w:p w:rsidR="008C1FB6" w:rsidRPr="00D14FAA" w:rsidRDefault="00E90D45" w:rsidP="00D14FAA">
      <w:pPr>
        <w:pStyle w:val="a7"/>
        <w:numPr>
          <w:ilvl w:val="1"/>
          <w:numId w:val="17"/>
        </w:numPr>
        <w:ind w:left="1138"/>
        <w:jc w:val="both"/>
        <w:rPr>
          <w:rFonts w:cs="David"/>
          <w:sz w:val="24"/>
          <w:szCs w:val="24"/>
        </w:rPr>
      </w:pPr>
      <w:r w:rsidRPr="00D14FAA">
        <w:rPr>
          <w:rFonts w:cs="David" w:hint="cs"/>
          <w:sz w:val="24"/>
          <w:szCs w:val="24"/>
          <w:rtl/>
        </w:rPr>
        <w:t xml:space="preserve">קביעת תנאי כשירות, </w:t>
      </w:r>
      <w:r w:rsidR="008C1FB6" w:rsidRPr="00D14FAA">
        <w:rPr>
          <w:rFonts w:cs="David" w:hint="cs"/>
          <w:sz w:val="24"/>
          <w:szCs w:val="24"/>
          <w:rtl/>
        </w:rPr>
        <w:t>מינוי נושאי משרה</w:t>
      </w:r>
      <w:r w:rsidRPr="00D14FAA">
        <w:rPr>
          <w:rFonts w:cs="David" w:hint="cs"/>
          <w:sz w:val="24"/>
          <w:szCs w:val="24"/>
          <w:rtl/>
        </w:rPr>
        <w:t xml:space="preserve">, הפסקת כהונה וכיו"ב; </w:t>
      </w:r>
    </w:p>
    <w:p w:rsidR="008C1FB6" w:rsidRPr="00D14FAA" w:rsidRDefault="00E90D45" w:rsidP="00D14FAA">
      <w:pPr>
        <w:pStyle w:val="a7"/>
        <w:numPr>
          <w:ilvl w:val="1"/>
          <w:numId w:val="17"/>
        </w:numPr>
        <w:ind w:left="1138"/>
        <w:jc w:val="both"/>
        <w:rPr>
          <w:rFonts w:cs="David"/>
          <w:sz w:val="24"/>
          <w:szCs w:val="24"/>
        </w:rPr>
      </w:pPr>
      <w:r w:rsidRPr="00D14FAA">
        <w:rPr>
          <w:rFonts w:cs="David" w:hint="cs"/>
          <w:sz w:val="24"/>
          <w:szCs w:val="24"/>
          <w:rtl/>
        </w:rPr>
        <w:t xml:space="preserve">הוראות לעניין </w:t>
      </w:r>
      <w:r w:rsidR="008C1FB6" w:rsidRPr="00D14FAA">
        <w:rPr>
          <w:rFonts w:cs="David" w:hint="cs"/>
          <w:sz w:val="24"/>
          <w:szCs w:val="24"/>
          <w:rtl/>
        </w:rPr>
        <w:t>אבטחת מידע</w:t>
      </w:r>
      <w:r w:rsidRPr="00D14FAA">
        <w:rPr>
          <w:rFonts w:cs="David" w:hint="cs"/>
          <w:sz w:val="24"/>
          <w:szCs w:val="24"/>
          <w:rtl/>
        </w:rPr>
        <w:t xml:space="preserve">, שמירה על פרטיות וניהול המשכיות עסקית; </w:t>
      </w:r>
    </w:p>
    <w:p w:rsidR="008C1FB6" w:rsidRPr="00D14FAA" w:rsidRDefault="00E90D45" w:rsidP="00D14FAA">
      <w:pPr>
        <w:pStyle w:val="a7"/>
        <w:numPr>
          <w:ilvl w:val="1"/>
          <w:numId w:val="17"/>
        </w:numPr>
        <w:ind w:left="1138"/>
        <w:jc w:val="both"/>
        <w:rPr>
          <w:rFonts w:cs="David"/>
          <w:sz w:val="24"/>
          <w:szCs w:val="24"/>
        </w:rPr>
      </w:pPr>
      <w:r w:rsidRPr="00D14FAA">
        <w:rPr>
          <w:rFonts w:cs="David" w:hint="cs"/>
          <w:sz w:val="24"/>
          <w:szCs w:val="24"/>
          <w:rtl/>
        </w:rPr>
        <w:t xml:space="preserve">הוראות לעניין פיקוח, בקרה ותפעול של מערכי ההשקעות;  </w:t>
      </w:r>
    </w:p>
    <w:p w:rsidR="008C1FB6" w:rsidRPr="00D14FAA" w:rsidRDefault="00E90D45" w:rsidP="00D14FAA">
      <w:pPr>
        <w:pStyle w:val="a7"/>
        <w:numPr>
          <w:ilvl w:val="1"/>
          <w:numId w:val="17"/>
        </w:numPr>
        <w:ind w:left="1138"/>
        <w:jc w:val="both"/>
        <w:rPr>
          <w:rFonts w:cs="David"/>
          <w:sz w:val="24"/>
          <w:szCs w:val="24"/>
        </w:rPr>
      </w:pPr>
      <w:r w:rsidRPr="00D14FAA">
        <w:rPr>
          <w:rFonts w:cs="David" w:hint="cs"/>
          <w:sz w:val="24"/>
          <w:szCs w:val="24"/>
          <w:rtl/>
        </w:rPr>
        <w:t xml:space="preserve">הוראות לטיפול ומניעת </w:t>
      </w:r>
      <w:r w:rsidR="008C1FB6" w:rsidRPr="00D14FAA">
        <w:rPr>
          <w:rFonts w:cs="David" w:hint="cs"/>
          <w:sz w:val="24"/>
          <w:szCs w:val="24"/>
          <w:rtl/>
        </w:rPr>
        <w:t>ניגודי עניינים</w:t>
      </w:r>
      <w:r w:rsidRPr="00D14FAA">
        <w:rPr>
          <w:rFonts w:cs="David" w:hint="cs"/>
          <w:sz w:val="24"/>
          <w:szCs w:val="24"/>
          <w:rtl/>
        </w:rPr>
        <w:t>;</w:t>
      </w:r>
    </w:p>
    <w:p w:rsidR="00E90D45" w:rsidRPr="00D14FAA" w:rsidRDefault="00E90D45" w:rsidP="00D14FAA">
      <w:pPr>
        <w:pStyle w:val="a7"/>
        <w:numPr>
          <w:ilvl w:val="1"/>
          <w:numId w:val="17"/>
        </w:numPr>
        <w:ind w:left="1138"/>
        <w:jc w:val="both"/>
        <w:rPr>
          <w:rFonts w:cs="David"/>
          <w:sz w:val="24"/>
          <w:szCs w:val="24"/>
        </w:rPr>
      </w:pPr>
      <w:r w:rsidRPr="00D14FAA">
        <w:rPr>
          <w:rFonts w:cs="David" w:hint="cs"/>
          <w:sz w:val="24"/>
          <w:szCs w:val="24"/>
          <w:rtl/>
        </w:rPr>
        <w:t>מגבלות השקעה אישיות של עובדים ונושאי משרה;</w:t>
      </w:r>
    </w:p>
    <w:p w:rsidR="008C1FB6" w:rsidRPr="00D14FAA" w:rsidRDefault="00E90D45" w:rsidP="00D14FAA">
      <w:pPr>
        <w:pStyle w:val="a7"/>
        <w:numPr>
          <w:ilvl w:val="1"/>
          <w:numId w:val="17"/>
        </w:numPr>
        <w:ind w:left="1138"/>
        <w:jc w:val="both"/>
        <w:rPr>
          <w:rFonts w:cs="David"/>
          <w:sz w:val="24"/>
          <w:szCs w:val="24"/>
        </w:rPr>
      </w:pPr>
      <w:r w:rsidRPr="00D14FAA">
        <w:rPr>
          <w:rFonts w:cs="David" w:hint="cs"/>
          <w:sz w:val="24"/>
          <w:szCs w:val="24"/>
          <w:rtl/>
        </w:rPr>
        <w:t xml:space="preserve">הוראות לעניין אופן התגמול והמדידה של מנהלי השקעות וגורמים המשפיעים על אופן ניהול ההשקעות; </w:t>
      </w:r>
      <w:r w:rsidR="008C1FB6" w:rsidRPr="00D14FAA">
        <w:rPr>
          <w:rFonts w:cs="David" w:hint="cs"/>
          <w:sz w:val="24"/>
          <w:szCs w:val="24"/>
          <w:rtl/>
        </w:rPr>
        <w:t xml:space="preserve"> </w:t>
      </w:r>
    </w:p>
    <w:p w:rsidR="00E90D45" w:rsidRPr="00D14FAA" w:rsidRDefault="00E90D45" w:rsidP="00D14FAA">
      <w:pPr>
        <w:pStyle w:val="a7"/>
        <w:numPr>
          <w:ilvl w:val="1"/>
          <w:numId w:val="17"/>
        </w:numPr>
        <w:ind w:left="1138" w:hanging="567"/>
        <w:jc w:val="both"/>
        <w:rPr>
          <w:rFonts w:cs="David"/>
          <w:sz w:val="24"/>
          <w:szCs w:val="24"/>
        </w:rPr>
      </w:pPr>
      <w:r w:rsidRPr="00D14FAA">
        <w:rPr>
          <w:rFonts w:cs="David" w:hint="cs"/>
          <w:sz w:val="24"/>
          <w:szCs w:val="24"/>
          <w:rtl/>
        </w:rPr>
        <w:t>מיסוד מערכי בקרה, ביקורת ואכיפה פנימית</w:t>
      </w:r>
      <w:r>
        <w:rPr>
          <w:rFonts w:cs="David" w:hint="cs"/>
          <w:sz w:val="24"/>
          <w:szCs w:val="24"/>
          <w:rtl/>
        </w:rPr>
        <w:t xml:space="preserve">. </w:t>
      </w:r>
    </w:p>
    <w:p w:rsidR="00E90D45" w:rsidRPr="00D14FAA" w:rsidRDefault="00E90D45" w:rsidP="00D14FAA">
      <w:pPr>
        <w:pStyle w:val="a7"/>
        <w:ind w:left="713"/>
        <w:jc w:val="both"/>
        <w:rPr>
          <w:rFonts w:ascii="Arial Narrow" w:eastAsia="Times New Roman" w:hAnsi="Arial Narrow" w:cs="David"/>
          <w:sz w:val="26"/>
          <w:szCs w:val="24"/>
          <w:lang w:eastAsia="he-IL"/>
        </w:rPr>
      </w:pPr>
    </w:p>
    <w:p w:rsidR="00D14FAA" w:rsidRPr="00D14FAA" w:rsidRDefault="004C4D6B" w:rsidP="00D14FAA">
      <w:pPr>
        <w:pStyle w:val="a7"/>
        <w:numPr>
          <w:ilvl w:val="0"/>
          <w:numId w:val="17"/>
        </w:numPr>
        <w:jc w:val="both"/>
        <w:rPr>
          <w:rFonts w:cs="David"/>
          <w:sz w:val="24"/>
          <w:szCs w:val="24"/>
          <w:u w:val="single"/>
        </w:rPr>
      </w:pPr>
      <w:r>
        <w:rPr>
          <w:rFonts w:cs="David" w:hint="cs"/>
          <w:sz w:val="24"/>
          <w:szCs w:val="24"/>
          <w:rtl/>
        </w:rPr>
        <w:t>כאמור</w:t>
      </w:r>
      <w:r w:rsidR="00D14FAA" w:rsidRPr="0001113E">
        <w:rPr>
          <w:rFonts w:cs="David" w:hint="cs"/>
          <w:sz w:val="24"/>
          <w:szCs w:val="24"/>
          <w:rtl/>
        </w:rPr>
        <w:t>,</w:t>
      </w:r>
      <w:r w:rsidR="00D14FAA">
        <w:rPr>
          <w:rFonts w:cs="David" w:hint="cs"/>
          <w:sz w:val="24"/>
          <w:szCs w:val="24"/>
          <w:u w:val="single"/>
          <w:rtl/>
        </w:rPr>
        <w:t xml:space="preserve"> לפי </w:t>
      </w:r>
      <w:r w:rsidR="00D14FAA" w:rsidRPr="00C918B4">
        <w:rPr>
          <w:rFonts w:cs="David" w:hint="cs"/>
          <w:sz w:val="24"/>
          <w:szCs w:val="24"/>
          <w:u w:val="single"/>
          <w:rtl/>
        </w:rPr>
        <w:t>סעיף 96א</w:t>
      </w:r>
      <w:r w:rsidR="00D14FAA">
        <w:rPr>
          <w:rFonts w:cs="David" w:hint="cs"/>
          <w:sz w:val="24"/>
          <w:szCs w:val="24"/>
          <w:u w:val="single"/>
          <w:rtl/>
        </w:rPr>
        <w:t xml:space="preserve"> להצעת החוק, </w:t>
      </w:r>
      <w:r w:rsidR="00D14FAA">
        <w:rPr>
          <w:rFonts w:cs="David" w:hint="cs"/>
          <w:sz w:val="24"/>
          <w:szCs w:val="24"/>
          <w:rtl/>
        </w:rPr>
        <w:t>מוצעת הרחבת סמכויות הפיקוח של הרשות על תאגידי</w:t>
      </w:r>
      <w:r w:rsidR="00D14FAA" w:rsidRPr="007771E3">
        <w:rPr>
          <w:rFonts w:cs="David" w:hint="cs"/>
          <w:sz w:val="24"/>
          <w:szCs w:val="24"/>
          <w:rtl/>
        </w:rPr>
        <w:t xml:space="preserve"> אחזקה </w:t>
      </w:r>
      <w:r w:rsidR="00D14FAA">
        <w:rPr>
          <w:rFonts w:cs="David" w:hint="cs"/>
          <w:sz w:val="24"/>
          <w:szCs w:val="24"/>
          <w:rtl/>
        </w:rPr>
        <w:t xml:space="preserve">של גופים מוסדיים ועל </w:t>
      </w:r>
      <w:r w:rsidR="00D14FAA" w:rsidRPr="0001113E">
        <w:rPr>
          <w:rFonts w:cs="David" w:hint="cs"/>
          <w:sz w:val="24"/>
          <w:szCs w:val="24"/>
          <w:u w:val="single"/>
          <w:rtl/>
        </w:rPr>
        <w:t>בתי השקעות</w:t>
      </w:r>
      <w:r w:rsidR="00D14FAA">
        <w:rPr>
          <w:rFonts w:cs="David" w:hint="cs"/>
          <w:sz w:val="24"/>
          <w:szCs w:val="24"/>
          <w:rtl/>
        </w:rPr>
        <w:t xml:space="preserve"> שגופים מוסדיים מהווים חלק מהותי מפעילותם </w:t>
      </w:r>
      <w:r w:rsidR="00D14FAA" w:rsidRPr="007771E3">
        <w:rPr>
          <w:rFonts w:cs="David" w:hint="cs"/>
          <w:sz w:val="24"/>
          <w:szCs w:val="24"/>
          <w:rtl/>
        </w:rPr>
        <w:t>(</w:t>
      </w:r>
      <w:r w:rsidR="00D14FAA">
        <w:rPr>
          <w:rFonts w:cs="David" w:hint="cs"/>
          <w:sz w:val="24"/>
          <w:szCs w:val="24"/>
          <w:rtl/>
        </w:rPr>
        <w:t>"</w:t>
      </w:r>
      <w:r w:rsidR="00D14FAA" w:rsidRPr="007771E3">
        <w:rPr>
          <w:rFonts w:cs="David" w:hint="cs"/>
          <w:sz w:val="24"/>
          <w:szCs w:val="24"/>
          <w:rtl/>
        </w:rPr>
        <w:t xml:space="preserve"> </w:t>
      </w:r>
      <w:r w:rsidR="00D14FAA" w:rsidRPr="0001113E">
        <w:rPr>
          <w:rFonts w:cs="David" w:hint="cs"/>
          <w:sz w:val="24"/>
          <w:szCs w:val="24"/>
          <w:rtl/>
        </w:rPr>
        <w:t xml:space="preserve">תאגידי אחזקה מוסדית").  </w:t>
      </w:r>
    </w:p>
    <w:p w:rsidR="00D14FAA" w:rsidRDefault="00D14FAA" w:rsidP="00D14FAA">
      <w:pPr>
        <w:pStyle w:val="a7"/>
        <w:ind w:left="360"/>
        <w:jc w:val="both"/>
        <w:rPr>
          <w:rFonts w:cs="David"/>
          <w:sz w:val="24"/>
          <w:szCs w:val="24"/>
          <w:rtl/>
        </w:rPr>
      </w:pPr>
    </w:p>
    <w:p w:rsidR="00D14FAA" w:rsidRDefault="00D14FAA" w:rsidP="004C4D6B">
      <w:pPr>
        <w:pStyle w:val="a7"/>
        <w:ind w:left="360"/>
        <w:jc w:val="both"/>
        <w:rPr>
          <w:rFonts w:cs="David"/>
          <w:sz w:val="24"/>
          <w:szCs w:val="24"/>
          <w:rtl/>
        </w:rPr>
      </w:pPr>
      <w:r w:rsidRPr="00D14FAA">
        <w:rPr>
          <w:rFonts w:cs="David" w:hint="cs"/>
          <w:sz w:val="24"/>
          <w:szCs w:val="24"/>
          <w:rtl/>
        </w:rPr>
        <w:t xml:space="preserve">על פי נוסח הצעת החוק, ועל אף ההפרדה התאגידית הקיימת בין גוף מפוקח לבין תאגיד האחזקה המוסדית השולט בו, על תאגיד האחזקה המוסדית יחולו כללי הרגולציה הפרטנית שחלים כבר כיום על הגופים המוסדיים. </w:t>
      </w:r>
    </w:p>
    <w:p w:rsidR="00D14FAA" w:rsidRDefault="00D14FAA" w:rsidP="00D14FAA">
      <w:pPr>
        <w:pStyle w:val="a7"/>
        <w:ind w:left="360"/>
        <w:jc w:val="both"/>
        <w:rPr>
          <w:rFonts w:cs="David"/>
          <w:sz w:val="24"/>
          <w:szCs w:val="24"/>
          <w:rtl/>
        </w:rPr>
      </w:pPr>
    </w:p>
    <w:p w:rsidR="00D14FAA" w:rsidRDefault="00D14FAA" w:rsidP="00D14FAA">
      <w:pPr>
        <w:pStyle w:val="a7"/>
        <w:numPr>
          <w:ilvl w:val="0"/>
          <w:numId w:val="17"/>
        </w:numPr>
        <w:jc w:val="both"/>
        <w:rPr>
          <w:rFonts w:cs="David"/>
          <w:sz w:val="24"/>
          <w:szCs w:val="24"/>
          <w:u w:val="single"/>
          <w:rtl/>
        </w:rPr>
      </w:pPr>
      <w:r w:rsidRPr="00D14FAA">
        <w:rPr>
          <w:rFonts w:cs="David" w:hint="cs"/>
          <w:b/>
          <w:bCs/>
          <w:sz w:val="24"/>
          <w:szCs w:val="24"/>
          <w:rtl/>
        </w:rPr>
        <w:t>למעשה, הרחבת סמכות הפיקוח של הרשות בנושא זה נקבעת בד</w:t>
      </w:r>
      <w:r w:rsidRPr="00D14FAA">
        <w:rPr>
          <w:rFonts w:ascii="Arial Narrow" w:eastAsia="Times New Roman" w:hAnsi="Arial Narrow" w:cs="David" w:hint="cs"/>
          <w:b/>
          <w:bCs/>
          <w:sz w:val="26"/>
          <w:szCs w:val="24"/>
          <w:rtl/>
          <w:lang w:eastAsia="he-IL"/>
        </w:rPr>
        <w:t>רך של "העתקת סמכויות" וגזירה שווה בין הוראות הפיקוח הקיימות על חברות מנהלות להוראות שיחולו על בתי השקעות / תאגידי אחזקה מוסדית. לפי עמדתנו, אין נחיצות והצדקה להעתקת הסמכויות הגורפת כאמור, זאת מהטעמים הבאים</w:t>
      </w:r>
      <w:r w:rsidRPr="00D14FAA">
        <w:rPr>
          <w:rFonts w:ascii="Arial Narrow" w:eastAsia="Times New Roman" w:hAnsi="Arial Narrow" w:cs="David" w:hint="cs"/>
          <w:sz w:val="26"/>
          <w:szCs w:val="24"/>
          <w:rtl/>
          <w:lang w:eastAsia="he-IL"/>
        </w:rPr>
        <w:t>:</w:t>
      </w:r>
    </w:p>
    <w:p w:rsidR="00D14FAA" w:rsidRPr="00D14FAA" w:rsidRDefault="00D14FAA" w:rsidP="00D14FAA">
      <w:pPr>
        <w:pStyle w:val="a7"/>
        <w:ind w:left="360"/>
        <w:jc w:val="both"/>
        <w:rPr>
          <w:rFonts w:cs="David"/>
          <w:sz w:val="24"/>
          <w:szCs w:val="24"/>
          <w:u w:val="single"/>
          <w:rtl/>
        </w:rPr>
      </w:pPr>
    </w:p>
    <w:p w:rsidR="00D14FAA" w:rsidRDefault="00D14FAA" w:rsidP="00FB6419">
      <w:pPr>
        <w:pStyle w:val="a7"/>
        <w:numPr>
          <w:ilvl w:val="1"/>
          <w:numId w:val="17"/>
        </w:numPr>
        <w:jc w:val="both"/>
        <w:rPr>
          <w:rFonts w:ascii="Arial Narrow" w:eastAsia="Times New Roman" w:hAnsi="Arial Narrow" w:cs="David"/>
          <w:sz w:val="26"/>
          <w:szCs w:val="24"/>
          <w:lang w:eastAsia="he-IL"/>
        </w:rPr>
      </w:pPr>
      <w:r w:rsidRPr="004037E4">
        <w:rPr>
          <w:rFonts w:ascii="Arial Narrow" w:eastAsia="Times New Roman" w:hAnsi="Arial Narrow" w:cs="David" w:hint="cs"/>
          <w:sz w:val="26"/>
          <w:szCs w:val="24"/>
          <w:rtl/>
          <w:lang w:eastAsia="he-IL"/>
        </w:rPr>
        <w:t>לא קיים "ואקום" פיקוחי המחייב החלה של סעיפים שונים מחוקי הפיקוח על תאגידי האחזקה, שכן נכסי העמיתים מנוהלים על ידי החברות המנהלות של הגופים המוסדיים</w:t>
      </w:r>
      <w:r>
        <w:rPr>
          <w:rFonts w:ascii="Arial Narrow" w:eastAsia="Times New Roman" w:hAnsi="Arial Narrow" w:cs="David" w:hint="cs"/>
          <w:sz w:val="26"/>
          <w:szCs w:val="24"/>
          <w:rtl/>
          <w:lang w:eastAsia="he-IL"/>
        </w:rPr>
        <w:t>,</w:t>
      </w:r>
      <w:r w:rsidRPr="004037E4">
        <w:rPr>
          <w:rFonts w:ascii="Arial Narrow" w:eastAsia="Times New Roman" w:hAnsi="Arial Narrow" w:cs="David" w:hint="cs"/>
          <w:sz w:val="26"/>
          <w:szCs w:val="24"/>
          <w:rtl/>
          <w:lang w:eastAsia="he-IL"/>
        </w:rPr>
        <w:t xml:space="preserve"> הנתונים כאמור לרגולציה פרטנית</w:t>
      </w:r>
      <w:r>
        <w:rPr>
          <w:rFonts w:ascii="Arial Narrow" w:eastAsia="Times New Roman" w:hAnsi="Arial Narrow" w:cs="David" w:hint="cs"/>
          <w:sz w:val="26"/>
          <w:szCs w:val="24"/>
          <w:rtl/>
          <w:lang w:eastAsia="he-IL"/>
        </w:rPr>
        <w:t xml:space="preserve"> והדוקה שאין לה אח ורע בשום הסדרה שחלה על גופים עסקיים אחרים שאינם גופים מוסדיים</w:t>
      </w:r>
      <w:r w:rsidRPr="004037E4">
        <w:rPr>
          <w:rFonts w:ascii="Arial Narrow" w:eastAsia="Times New Roman" w:hAnsi="Arial Narrow" w:cs="David" w:hint="cs"/>
          <w:sz w:val="26"/>
          <w:szCs w:val="24"/>
          <w:rtl/>
          <w:lang w:eastAsia="he-IL"/>
        </w:rPr>
        <w:t>.</w:t>
      </w:r>
      <w:r>
        <w:rPr>
          <w:rFonts w:ascii="Arial Narrow" w:eastAsia="Times New Roman" w:hAnsi="Arial Narrow" w:cs="David" w:hint="cs"/>
          <w:sz w:val="26"/>
          <w:szCs w:val="24"/>
          <w:rtl/>
          <w:lang w:eastAsia="he-IL"/>
        </w:rPr>
        <w:t xml:space="preserve"> </w:t>
      </w:r>
    </w:p>
    <w:p w:rsidR="00D14FAA" w:rsidRDefault="00D14FAA" w:rsidP="00D14FAA">
      <w:pPr>
        <w:pStyle w:val="a7"/>
        <w:ind w:left="792"/>
        <w:jc w:val="both"/>
        <w:rPr>
          <w:rFonts w:ascii="Arial Narrow" w:eastAsia="Times New Roman" w:hAnsi="Arial Narrow" w:cs="David"/>
          <w:sz w:val="26"/>
          <w:szCs w:val="24"/>
          <w:lang w:eastAsia="he-IL"/>
        </w:rPr>
      </w:pPr>
    </w:p>
    <w:p w:rsidR="00D14FAA" w:rsidRPr="004037E4" w:rsidRDefault="00D14FAA" w:rsidP="00D14FAA">
      <w:pPr>
        <w:pStyle w:val="a7"/>
        <w:numPr>
          <w:ilvl w:val="1"/>
          <w:numId w:val="17"/>
        </w:numPr>
        <w:jc w:val="both"/>
        <w:rPr>
          <w:rFonts w:ascii="Arial Narrow" w:eastAsia="Times New Roman" w:hAnsi="Arial Narrow" w:cs="David"/>
          <w:sz w:val="26"/>
          <w:szCs w:val="24"/>
          <w:rtl/>
          <w:lang w:eastAsia="he-IL"/>
        </w:rPr>
      </w:pPr>
      <w:r w:rsidRPr="004037E4">
        <w:rPr>
          <w:rFonts w:ascii="Arial Narrow" w:eastAsia="Times New Roman" w:hAnsi="Arial Narrow" w:cs="David" w:hint="cs"/>
          <w:sz w:val="26"/>
          <w:szCs w:val="24"/>
          <w:rtl/>
          <w:lang w:eastAsia="he-IL"/>
        </w:rPr>
        <w:t xml:space="preserve">ככל </w:t>
      </w:r>
      <w:r>
        <w:rPr>
          <w:rFonts w:ascii="Arial Narrow" w:eastAsia="Times New Roman" w:hAnsi="Arial Narrow" w:cs="David" w:hint="cs"/>
          <w:sz w:val="26"/>
          <w:szCs w:val="24"/>
          <w:rtl/>
          <w:lang w:eastAsia="he-IL"/>
        </w:rPr>
        <w:t>שתיקבע הרחבת הפיקוח כאמור, עליה להיעשות במשורה ובהתייחס</w:t>
      </w:r>
      <w:r w:rsidRPr="004037E4">
        <w:rPr>
          <w:rFonts w:ascii="Arial Narrow" w:eastAsia="Times New Roman" w:hAnsi="Arial Narrow" w:cs="David" w:hint="cs"/>
          <w:sz w:val="26"/>
          <w:szCs w:val="24"/>
          <w:rtl/>
          <w:lang w:eastAsia="he-IL"/>
        </w:rPr>
        <w:t xml:space="preserve"> לנושאים ספציפיים בלבד מתוך עקרון מנחה המונע "כפל רגולטורי" והקובע </w:t>
      </w:r>
      <w:r w:rsidRPr="00FB6419">
        <w:rPr>
          <w:rFonts w:ascii="Arial Narrow" w:eastAsia="Times New Roman" w:hAnsi="Arial Narrow" w:cs="David" w:hint="cs"/>
          <w:b/>
          <w:bCs/>
          <w:sz w:val="26"/>
          <w:szCs w:val="24"/>
          <w:u w:val="single"/>
          <w:rtl/>
          <w:lang w:eastAsia="he-IL"/>
        </w:rPr>
        <w:t>מדרג רגולטורי</w:t>
      </w:r>
      <w:r w:rsidRPr="004037E4">
        <w:rPr>
          <w:rFonts w:ascii="Arial Narrow" w:eastAsia="Times New Roman" w:hAnsi="Arial Narrow" w:cs="David" w:hint="cs"/>
          <w:sz w:val="26"/>
          <w:szCs w:val="24"/>
          <w:rtl/>
          <w:lang w:eastAsia="he-IL"/>
        </w:rPr>
        <w:t xml:space="preserve"> שבמסגרתו תאגיד האחזקה ונושאי המשרה המכהנים בו, יהיו כפופים לסט בודד </w:t>
      </w:r>
      <w:r>
        <w:rPr>
          <w:rFonts w:ascii="Arial Narrow" w:eastAsia="Times New Roman" w:hAnsi="Arial Narrow" w:cs="David" w:hint="cs"/>
          <w:sz w:val="26"/>
          <w:szCs w:val="24"/>
          <w:rtl/>
          <w:lang w:eastAsia="he-IL"/>
        </w:rPr>
        <w:t xml:space="preserve">ואחיד </w:t>
      </w:r>
      <w:r w:rsidRPr="004037E4">
        <w:rPr>
          <w:rFonts w:ascii="Arial Narrow" w:eastAsia="Times New Roman" w:hAnsi="Arial Narrow" w:cs="David" w:hint="cs"/>
          <w:sz w:val="26"/>
          <w:szCs w:val="24"/>
          <w:rtl/>
          <w:lang w:eastAsia="he-IL"/>
        </w:rPr>
        <w:t xml:space="preserve">של מערכת כללים. הדגש אינו </w:t>
      </w:r>
      <w:r>
        <w:rPr>
          <w:rFonts w:ascii="Arial Narrow" w:eastAsia="Times New Roman" w:hAnsi="Arial Narrow" w:cs="David" w:hint="cs"/>
          <w:sz w:val="26"/>
          <w:szCs w:val="24"/>
          <w:rtl/>
          <w:lang w:eastAsia="he-IL"/>
        </w:rPr>
        <w:t xml:space="preserve">על </w:t>
      </w:r>
      <w:r w:rsidRPr="004037E4">
        <w:rPr>
          <w:rFonts w:ascii="Arial Narrow" w:eastAsia="Times New Roman" w:hAnsi="Arial Narrow" w:cs="David" w:hint="cs"/>
          <w:sz w:val="26"/>
          <w:szCs w:val="24"/>
          <w:rtl/>
          <w:lang w:eastAsia="he-IL"/>
        </w:rPr>
        <w:t>"הנטל הרגולטורי"</w:t>
      </w:r>
      <w:r>
        <w:rPr>
          <w:rFonts w:ascii="Arial Narrow" w:eastAsia="Times New Roman" w:hAnsi="Arial Narrow" w:cs="David" w:hint="cs"/>
          <w:sz w:val="26"/>
          <w:szCs w:val="24"/>
          <w:rtl/>
          <w:lang w:eastAsia="he-IL"/>
        </w:rPr>
        <w:t xml:space="preserve">, </w:t>
      </w:r>
      <w:r w:rsidRPr="004037E4">
        <w:rPr>
          <w:rFonts w:ascii="Arial Narrow" w:eastAsia="Times New Roman" w:hAnsi="Arial Narrow" w:cs="David" w:hint="cs"/>
          <w:sz w:val="26"/>
          <w:szCs w:val="24"/>
          <w:rtl/>
          <w:lang w:eastAsia="he-IL"/>
        </w:rPr>
        <w:t xml:space="preserve">אלא </w:t>
      </w:r>
      <w:r>
        <w:rPr>
          <w:rFonts w:ascii="Arial Narrow" w:eastAsia="Times New Roman" w:hAnsi="Arial Narrow" w:cs="David" w:hint="cs"/>
          <w:sz w:val="26"/>
          <w:szCs w:val="24"/>
          <w:rtl/>
          <w:lang w:eastAsia="he-IL"/>
        </w:rPr>
        <w:t xml:space="preserve">על מניעת </w:t>
      </w:r>
      <w:r w:rsidRPr="004037E4">
        <w:rPr>
          <w:rFonts w:ascii="Arial Narrow" w:eastAsia="Times New Roman" w:hAnsi="Arial Narrow" w:cs="David" w:hint="cs"/>
          <w:sz w:val="26"/>
          <w:szCs w:val="24"/>
          <w:rtl/>
          <w:lang w:eastAsia="he-IL"/>
        </w:rPr>
        <w:t xml:space="preserve">"הכפל הרגולטורי" שגוזר הכפלת מערכים ואי וודאות </w:t>
      </w:r>
      <w:r>
        <w:rPr>
          <w:rFonts w:ascii="Arial Narrow" w:eastAsia="Times New Roman" w:hAnsi="Arial Narrow" w:cs="David" w:hint="cs"/>
          <w:sz w:val="26"/>
          <w:szCs w:val="24"/>
          <w:rtl/>
          <w:lang w:eastAsia="he-IL"/>
        </w:rPr>
        <w:t>לגופים המפוקחים</w:t>
      </w:r>
      <w:r w:rsidRPr="004037E4">
        <w:rPr>
          <w:rFonts w:ascii="Arial Narrow" w:eastAsia="Times New Roman" w:hAnsi="Arial Narrow" w:cs="David" w:hint="cs"/>
          <w:sz w:val="26"/>
          <w:szCs w:val="24"/>
          <w:rtl/>
          <w:lang w:eastAsia="he-IL"/>
        </w:rPr>
        <w:t xml:space="preserve">. </w:t>
      </w:r>
    </w:p>
    <w:p w:rsidR="00D14FAA" w:rsidRDefault="00D14FAA" w:rsidP="00D14FAA">
      <w:pPr>
        <w:pStyle w:val="a7"/>
        <w:ind w:left="713"/>
        <w:jc w:val="both"/>
        <w:rPr>
          <w:rFonts w:ascii="Arial Narrow" w:eastAsia="Times New Roman" w:hAnsi="Arial Narrow" w:cs="David"/>
          <w:sz w:val="26"/>
          <w:szCs w:val="24"/>
          <w:rtl/>
          <w:lang w:eastAsia="he-IL"/>
        </w:rPr>
      </w:pPr>
    </w:p>
    <w:p w:rsidR="00E90D45" w:rsidRPr="00476DA4" w:rsidRDefault="00E90D45" w:rsidP="00D14FAA">
      <w:pPr>
        <w:pStyle w:val="a7"/>
        <w:numPr>
          <w:ilvl w:val="0"/>
          <w:numId w:val="17"/>
        </w:numPr>
        <w:jc w:val="both"/>
        <w:rPr>
          <w:rFonts w:ascii="Arial Narrow" w:eastAsia="Times New Roman" w:hAnsi="Arial Narrow" w:cs="David"/>
          <w:sz w:val="26"/>
          <w:szCs w:val="24"/>
          <w:lang w:eastAsia="he-IL"/>
        </w:rPr>
      </w:pPr>
      <w:r w:rsidRPr="00476DA4">
        <w:rPr>
          <w:rFonts w:ascii="Arial Narrow" w:eastAsia="Times New Roman" w:hAnsi="Arial Narrow" w:cs="David" w:hint="cs"/>
          <w:sz w:val="26"/>
          <w:szCs w:val="24"/>
          <w:rtl/>
          <w:lang w:eastAsia="he-IL"/>
        </w:rPr>
        <w:t>החלה וליתר דיוק "גזירה" של הסעיפים הנוגעים לפיקוח על עסקי הביטוח ו"הדבקתם" בשרשור על תאגידי אחזקה פיננסיים, מובילים למצב בלתי נמנע של כפילות וחמור מכך ל"התנגשות" עם ה</w:t>
      </w:r>
      <w:r w:rsidR="00D14FAA" w:rsidRPr="00476DA4">
        <w:rPr>
          <w:rFonts w:ascii="Arial Narrow" w:eastAsia="Times New Roman" w:hAnsi="Arial Narrow" w:cs="David" w:hint="cs"/>
          <w:sz w:val="26"/>
          <w:szCs w:val="24"/>
          <w:rtl/>
          <w:lang w:eastAsia="he-IL"/>
        </w:rPr>
        <w:t>ה</w:t>
      </w:r>
      <w:r w:rsidRPr="00476DA4">
        <w:rPr>
          <w:rFonts w:ascii="Arial Narrow" w:eastAsia="Times New Roman" w:hAnsi="Arial Narrow" w:cs="David" w:hint="cs"/>
          <w:sz w:val="26"/>
          <w:szCs w:val="24"/>
          <w:rtl/>
          <w:lang w:eastAsia="he-IL"/>
        </w:rPr>
        <w:t xml:space="preserve">סדרה הנוכחית (והעתידית), פרי רשות ניירות ערך, באופן שמחליש את הפיקוח דה-פקטו, ומייצר אנומליות ואי וודאות בקרב הגופים המפוקחים, הגורמים המפקחים ולבלבול בקרב הציבור. </w:t>
      </w:r>
    </w:p>
    <w:p w:rsidR="00E90D45" w:rsidRPr="00476DA4" w:rsidRDefault="00E90D45" w:rsidP="00D14FAA">
      <w:pPr>
        <w:pStyle w:val="a7"/>
        <w:ind w:left="713"/>
        <w:jc w:val="both"/>
        <w:rPr>
          <w:rFonts w:ascii="Arial Narrow" w:eastAsia="Times New Roman" w:hAnsi="Arial Narrow" w:cs="David"/>
          <w:sz w:val="26"/>
          <w:szCs w:val="24"/>
          <w:lang w:eastAsia="he-IL"/>
        </w:rPr>
      </w:pPr>
    </w:p>
    <w:p w:rsidR="00D14FAA" w:rsidRPr="00476DA4" w:rsidRDefault="00E90D45" w:rsidP="00D14FAA">
      <w:pPr>
        <w:pStyle w:val="a7"/>
        <w:numPr>
          <w:ilvl w:val="0"/>
          <w:numId w:val="17"/>
        </w:numPr>
        <w:jc w:val="both"/>
        <w:rPr>
          <w:rFonts w:ascii="Arial Narrow" w:eastAsia="Times New Roman" w:hAnsi="Arial Narrow" w:cs="David"/>
          <w:sz w:val="26"/>
          <w:szCs w:val="24"/>
          <w:lang w:eastAsia="he-IL"/>
        </w:rPr>
      </w:pPr>
      <w:r w:rsidRPr="00476DA4">
        <w:rPr>
          <w:rFonts w:ascii="Arial Narrow" w:eastAsia="Times New Roman" w:hAnsi="Arial Narrow" w:cs="David" w:hint="cs"/>
          <w:sz w:val="26"/>
          <w:szCs w:val="24"/>
          <w:rtl/>
          <w:lang w:eastAsia="he-IL"/>
        </w:rPr>
        <w:lastRenderedPageBreak/>
        <w:t xml:space="preserve">בנקודה זו חשוב לציין, </w:t>
      </w:r>
      <w:r w:rsidRPr="00476DA4">
        <w:rPr>
          <w:rFonts w:ascii="Arial Narrow" w:eastAsia="Times New Roman" w:hAnsi="Arial Narrow" w:cs="David" w:hint="cs"/>
          <w:b/>
          <w:bCs/>
          <w:sz w:val="26"/>
          <w:szCs w:val="24"/>
          <w:rtl/>
          <w:lang w:eastAsia="he-IL"/>
        </w:rPr>
        <w:t xml:space="preserve">תאגידי האחזקה מהווים פלטפורמה לאיגום והקצאה יעילה של משאבים ומערכים שתכליתם לסייע לחברות הבנות (הנתונות כל אחת תחת פיקוח רגולטורי), חלף שכפול מערכים, בזבוז משאבים וחוסר יכולת </w:t>
      </w:r>
      <w:r w:rsidR="00D14FAA" w:rsidRPr="00476DA4">
        <w:rPr>
          <w:rFonts w:ascii="Arial Narrow" w:eastAsia="Times New Roman" w:hAnsi="Arial Narrow" w:cs="David" w:hint="cs"/>
          <w:b/>
          <w:bCs/>
          <w:sz w:val="26"/>
          <w:szCs w:val="24"/>
          <w:rtl/>
          <w:lang w:eastAsia="he-IL"/>
        </w:rPr>
        <w:t xml:space="preserve">לחולל סינרגיה </w:t>
      </w:r>
      <w:r w:rsidR="00953FF9" w:rsidRPr="00476DA4">
        <w:rPr>
          <w:rFonts w:ascii="Arial Narrow" w:eastAsia="Times New Roman" w:hAnsi="Arial Narrow" w:cs="David" w:hint="cs"/>
          <w:b/>
          <w:bCs/>
          <w:sz w:val="26"/>
          <w:szCs w:val="24"/>
          <w:rtl/>
          <w:lang w:eastAsia="he-IL"/>
        </w:rPr>
        <w:t xml:space="preserve">ולעשות שימוש בידע ומומחיות שנצברו על ידי פונקציות המטה השונות כתוצאה מהתמחות והתמודדות עם אירועים שונים בחברות הבנות השונות. </w:t>
      </w:r>
    </w:p>
    <w:p w:rsidR="00D14FAA" w:rsidRPr="00476DA4" w:rsidRDefault="00D14FAA" w:rsidP="00D14FAA">
      <w:pPr>
        <w:pStyle w:val="a7"/>
        <w:rPr>
          <w:rFonts w:ascii="Arial Narrow" w:eastAsia="Times New Roman" w:hAnsi="Arial Narrow" w:cs="David"/>
          <w:sz w:val="26"/>
          <w:szCs w:val="24"/>
          <w:rtl/>
          <w:lang w:eastAsia="he-IL"/>
        </w:rPr>
      </w:pPr>
    </w:p>
    <w:p w:rsidR="00953FF9" w:rsidRPr="00D14FAA" w:rsidRDefault="00953FF9" w:rsidP="005560CB">
      <w:pPr>
        <w:pStyle w:val="a7"/>
        <w:numPr>
          <w:ilvl w:val="0"/>
          <w:numId w:val="17"/>
        </w:numPr>
        <w:jc w:val="both"/>
        <w:rPr>
          <w:rFonts w:ascii="Arial Narrow" w:eastAsia="Times New Roman" w:hAnsi="Arial Narrow" w:cs="David"/>
          <w:sz w:val="26"/>
          <w:szCs w:val="24"/>
          <w:lang w:eastAsia="he-IL"/>
        </w:rPr>
      </w:pPr>
      <w:r w:rsidRPr="00476DA4">
        <w:rPr>
          <w:rFonts w:ascii="Arial Narrow" w:eastAsia="Times New Roman" w:hAnsi="Arial Narrow" w:cs="David" w:hint="cs"/>
          <w:sz w:val="26"/>
          <w:szCs w:val="24"/>
          <w:rtl/>
          <w:lang w:eastAsia="he-IL"/>
        </w:rPr>
        <w:t>הטלת פיקוח מלמעלה ללא טיפול וקביעת קווים מנחים והיררכיה ברורה של הוראות רגולטוריות שונות, עלול להוביל לסרבול ולהכשיל את העוסקים במלאכה בתאגידי ההחזקה</w:t>
      </w:r>
      <w:r w:rsidRPr="00D14FAA">
        <w:rPr>
          <w:rFonts w:ascii="Arial Narrow" w:eastAsia="Times New Roman" w:hAnsi="Arial Narrow" w:cs="David" w:hint="cs"/>
          <w:sz w:val="26"/>
          <w:szCs w:val="24"/>
          <w:rtl/>
          <w:lang w:eastAsia="he-IL"/>
        </w:rPr>
        <w:t xml:space="preserve"> (פונקציות המטה בעיקרון), מלעמוד, במצטבר, בשלל הדרישות הרגולטוריו</w:t>
      </w:r>
      <w:r w:rsidRPr="00D14FAA">
        <w:rPr>
          <w:rFonts w:ascii="Arial Narrow" w:eastAsia="Times New Roman" w:hAnsi="Arial Narrow" w:cs="David" w:hint="eastAsia"/>
          <w:sz w:val="26"/>
          <w:szCs w:val="24"/>
          <w:rtl/>
          <w:lang w:eastAsia="he-IL"/>
        </w:rPr>
        <w:t>ת</w:t>
      </w:r>
      <w:r w:rsidRPr="00D14FAA">
        <w:rPr>
          <w:rFonts w:ascii="Arial Narrow" w:eastAsia="Times New Roman" w:hAnsi="Arial Narrow" w:cs="David" w:hint="cs"/>
          <w:sz w:val="26"/>
          <w:szCs w:val="24"/>
          <w:rtl/>
          <w:lang w:eastAsia="he-IL"/>
        </w:rPr>
        <w:t xml:space="preserve">. </w:t>
      </w:r>
    </w:p>
    <w:p w:rsidR="00FB6419" w:rsidRDefault="00FB6419" w:rsidP="00FB6419">
      <w:pPr>
        <w:pStyle w:val="a7"/>
        <w:ind w:left="360"/>
        <w:jc w:val="both"/>
        <w:rPr>
          <w:rFonts w:ascii="Arial Narrow" w:eastAsia="Times New Roman" w:hAnsi="Arial Narrow" w:cs="David"/>
          <w:sz w:val="26"/>
          <w:szCs w:val="24"/>
          <w:lang w:eastAsia="he-IL"/>
        </w:rPr>
      </w:pPr>
    </w:p>
    <w:p w:rsidR="00886E0B" w:rsidRDefault="00886E0B" w:rsidP="00737FF9">
      <w:pPr>
        <w:pStyle w:val="a7"/>
        <w:numPr>
          <w:ilvl w:val="0"/>
          <w:numId w:val="17"/>
        </w:numPr>
        <w:jc w:val="both"/>
        <w:rPr>
          <w:rFonts w:ascii="Arial Narrow" w:eastAsia="Times New Roman" w:hAnsi="Arial Narrow" w:cs="David"/>
          <w:sz w:val="26"/>
          <w:szCs w:val="24"/>
          <w:lang w:eastAsia="he-IL"/>
        </w:rPr>
      </w:pPr>
      <w:r>
        <w:rPr>
          <w:rFonts w:ascii="Arial Narrow" w:eastAsia="Times New Roman" w:hAnsi="Arial Narrow" w:cs="David" w:hint="cs"/>
          <w:sz w:val="26"/>
          <w:szCs w:val="24"/>
          <w:rtl/>
          <w:lang w:eastAsia="he-IL"/>
        </w:rPr>
        <w:t>לאור ה</w:t>
      </w:r>
      <w:r w:rsidR="00737FF9">
        <w:rPr>
          <w:rFonts w:ascii="Arial Narrow" w:eastAsia="Times New Roman" w:hAnsi="Arial Narrow" w:cs="David" w:hint="cs"/>
          <w:sz w:val="26"/>
          <w:szCs w:val="24"/>
          <w:rtl/>
          <w:lang w:eastAsia="he-IL"/>
        </w:rPr>
        <w:t>אמור</w:t>
      </w:r>
      <w:r>
        <w:rPr>
          <w:rFonts w:ascii="Arial Narrow" w:eastAsia="Times New Roman" w:hAnsi="Arial Narrow" w:cs="David" w:hint="cs"/>
          <w:sz w:val="26"/>
          <w:szCs w:val="24"/>
          <w:rtl/>
          <w:lang w:eastAsia="he-IL"/>
        </w:rPr>
        <w:t xml:space="preserve"> לעיל </w:t>
      </w:r>
      <w:r w:rsidR="00737FF9">
        <w:rPr>
          <w:rFonts w:ascii="Arial Narrow" w:eastAsia="Times New Roman" w:hAnsi="Arial Narrow" w:cs="David" w:hint="cs"/>
          <w:sz w:val="26"/>
          <w:szCs w:val="24"/>
          <w:rtl/>
          <w:lang w:eastAsia="he-IL"/>
        </w:rPr>
        <w:t xml:space="preserve">וכדי למנוע </w:t>
      </w:r>
      <w:r>
        <w:rPr>
          <w:rFonts w:ascii="Arial Narrow" w:eastAsia="Times New Roman" w:hAnsi="Arial Narrow" w:cs="David" w:hint="cs"/>
          <w:sz w:val="26"/>
          <w:szCs w:val="24"/>
          <w:rtl/>
          <w:lang w:eastAsia="he-IL"/>
        </w:rPr>
        <w:t>את הכשלים והכפילות שעלול</w:t>
      </w:r>
      <w:r w:rsidR="00737FF9">
        <w:rPr>
          <w:rFonts w:ascii="Arial Narrow" w:eastAsia="Times New Roman" w:hAnsi="Arial Narrow" w:cs="David" w:hint="cs"/>
          <w:sz w:val="26"/>
          <w:szCs w:val="24"/>
          <w:rtl/>
          <w:lang w:eastAsia="he-IL"/>
        </w:rPr>
        <w:t>ה</w:t>
      </w:r>
      <w:r>
        <w:rPr>
          <w:rFonts w:ascii="Arial Narrow" w:eastAsia="Times New Roman" w:hAnsi="Arial Narrow" w:cs="David" w:hint="cs"/>
          <w:sz w:val="26"/>
          <w:szCs w:val="24"/>
          <w:rtl/>
          <w:lang w:eastAsia="he-IL"/>
        </w:rPr>
        <w:t xml:space="preserve"> לגרור החלה גורפת של סמכויות </w:t>
      </w:r>
      <w:r w:rsidRPr="009F016A">
        <w:rPr>
          <w:rFonts w:ascii="Arial Narrow" w:eastAsia="Times New Roman" w:hAnsi="Arial Narrow" w:cs="David" w:hint="cs"/>
          <w:sz w:val="26"/>
          <w:szCs w:val="24"/>
          <w:u w:val="single"/>
          <w:rtl/>
          <w:lang w:eastAsia="he-IL"/>
        </w:rPr>
        <w:t>הפיקוח על תאגידי אחזקה, אנחנו מבקשים לבצע תיקון בהצעת החוק ובכלל זה:</w:t>
      </w:r>
    </w:p>
    <w:p w:rsidR="00FB6419" w:rsidRPr="00FB6419" w:rsidRDefault="00FB6419" w:rsidP="00FB6419">
      <w:pPr>
        <w:pStyle w:val="a7"/>
        <w:rPr>
          <w:rFonts w:ascii="Arial Narrow" w:eastAsia="Times New Roman" w:hAnsi="Arial Narrow" w:cs="David"/>
          <w:sz w:val="26"/>
          <w:szCs w:val="24"/>
          <w:rtl/>
          <w:lang w:eastAsia="he-IL"/>
        </w:rPr>
      </w:pPr>
    </w:p>
    <w:p w:rsidR="00476DA4" w:rsidRDefault="00886E0B" w:rsidP="00D14FAA">
      <w:pPr>
        <w:pStyle w:val="a7"/>
        <w:numPr>
          <w:ilvl w:val="1"/>
          <w:numId w:val="17"/>
        </w:numPr>
        <w:ind w:left="855" w:hanging="567"/>
        <w:jc w:val="both"/>
        <w:rPr>
          <w:rFonts w:ascii="Arial Narrow" w:eastAsia="Times New Roman" w:hAnsi="Arial Narrow" w:cs="David"/>
          <w:b/>
          <w:bCs/>
          <w:sz w:val="26"/>
          <w:szCs w:val="24"/>
          <w:lang w:eastAsia="he-IL"/>
        </w:rPr>
      </w:pPr>
      <w:r w:rsidRPr="009F016A">
        <w:rPr>
          <w:rFonts w:ascii="Arial Narrow" w:eastAsia="Times New Roman" w:hAnsi="Arial Narrow" w:cs="David" w:hint="cs"/>
          <w:b/>
          <w:bCs/>
          <w:sz w:val="26"/>
          <w:szCs w:val="24"/>
          <w:rtl/>
          <w:lang w:eastAsia="he-IL"/>
        </w:rPr>
        <w:t>לבטל את ההחלה הגורפת של הוראות הפיקוח המנויות בסעיף 96א' (ב) להצעת החוק תוך קביעת הבחנה בין הסמכויות הנדרשות להרחבת הפיקוח לבין אלו החלות כבר כיום על הגופים המוסדיים ו</w:t>
      </w:r>
      <w:r w:rsidR="009A6252" w:rsidRPr="009F016A">
        <w:rPr>
          <w:rFonts w:ascii="Arial Narrow" w:eastAsia="Times New Roman" w:hAnsi="Arial Narrow" w:cs="David" w:hint="cs"/>
          <w:b/>
          <w:bCs/>
          <w:sz w:val="26"/>
          <w:szCs w:val="24"/>
          <w:rtl/>
          <w:lang w:eastAsia="he-IL"/>
        </w:rPr>
        <w:t>לא נחוצות בפיקוח על תאגידי האחזקה</w:t>
      </w:r>
      <w:r w:rsidR="00476DA4">
        <w:rPr>
          <w:rFonts w:ascii="Arial Narrow" w:eastAsia="Times New Roman" w:hAnsi="Arial Narrow" w:cs="David" w:hint="cs"/>
          <w:b/>
          <w:bCs/>
          <w:sz w:val="26"/>
          <w:szCs w:val="24"/>
          <w:rtl/>
          <w:lang w:eastAsia="he-IL"/>
        </w:rPr>
        <w:t>, תוך הענקת קדימות בהיררכיה להוראות כאמור ביחס להוראות דומות /מקבילות של רגולטורים נוספים ("פסקת התגברות")</w:t>
      </w:r>
      <w:r w:rsidR="009A6252" w:rsidRPr="009F016A">
        <w:rPr>
          <w:rFonts w:ascii="Arial Narrow" w:eastAsia="Times New Roman" w:hAnsi="Arial Narrow" w:cs="David" w:hint="cs"/>
          <w:b/>
          <w:bCs/>
          <w:sz w:val="26"/>
          <w:szCs w:val="24"/>
          <w:rtl/>
          <w:lang w:eastAsia="he-IL"/>
        </w:rPr>
        <w:t xml:space="preserve">. </w:t>
      </w:r>
    </w:p>
    <w:p w:rsidR="00476DA4" w:rsidRDefault="00476DA4" w:rsidP="00476DA4">
      <w:pPr>
        <w:pStyle w:val="a7"/>
        <w:ind w:left="855"/>
        <w:jc w:val="both"/>
        <w:rPr>
          <w:rFonts w:ascii="Arial Narrow" w:eastAsia="Times New Roman" w:hAnsi="Arial Narrow" w:cs="David"/>
          <w:b/>
          <w:bCs/>
          <w:sz w:val="26"/>
          <w:szCs w:val="24"/>
          <w:rtl/>
          <w:lang w:eastAsia="he-IL"/>
        </w:rPr>
      </w:pPr>
    </w:p>
    <w:p w:rsidR="00DE2E85" w:rsidRPr="00622021" w:rsidRDefault="009A6252" w:rsidP="00622021">
      <w:pPr>
        <w:pStyle w:val="a7"/>
        <w:ind w:left="855"/>
        <w:jc w:val="both"/>
        <w:rPr>
          <w:rFonts w:ascii="Arial Narrow" w:eastAsia="Times New Roman" w:hAnsi="Arial Narrow" w:cs="David"/>
          <w:b/>
          <w:bCs/>
          <w:sz w:val="26"/>
          <w:szCs w:val="24"/>
          <w:lang w:eastAsia="he-IL"/>
        </w:rPr>
      </w:pPr>
      <w:r w:rsidRPr="009F016A">
        <w:rPr>
          <w:rFonts w:ascii="Arial Narrow" w:eastAsia="Times New Roman" w:hAnsi="Arial Narrow" w:cs="David" w:hint="cs"/>
          <w:b/>
          <w:bCs/>
          <w:sz w:val="26"/>
          <w:szCs w:val="24"/>
          <w:rtl/>
          <w:lang w:eastAsia="he-IL"/>
        </w:rPr>
        <w:t>לעניין זה, במסגרת הרחבת הפיקוח יש להתמקד בסמכויות המבטיחות קיום ההפרדה התאגידית בין תאגיד האחזקה לגוף המוסדי וכן סמכויות המבטיחות שקיפות לגבי יחסי גומלין בין תאגיד האחזקה לגוף המוסדי, כגון:</w:t>
      </w:r>
    </w:p>
    <w:p w:rsidR="00DE2E85" w:rsidRPr="009F016A" w:rsidRDefault="00DE2E85" w:rsidP="00D14FAA">
      <w:pPr>
        <w:pStyle w:val="a7"/>
        <w:numPr>
          <w:ilvl w:val="1"/>
          <w:numId w:val="14"/>
        </w:numPr>
        <w:spacing w:after="0"/>
        <w:contextualSpacing w:val="0"/>
        <w:jc w:val="both"/>
        <w:rPr>
          <w:rFonts w:ascii="David" w:hAnsi="David" w:cs="David"/>
          <w:b/>
          <w:bCs/>
          <w:sz w:val="24"/>
          <w:szCs w:val="24"/>
          <w:rtl/>
        </w:rPr>
      </w:pPr>
      <w:r w:rsidRPr="009F016A">
        <w:rPr>
          <w:rFonts w:ascii="David" w:hAnsi="David" w:cs="David"/>
          <w:b/>
          <w:bCs/>
          <w:sz w:val="24"/>
          <w:szCs w:val="24"/>
          <w:rtl/>
        </w:rPr>
        <w:t xml:space="preserve">סמכות </w:t>
      </w:r>
      <w:r w:rsidR="00622021">
        <w:rPr>
          <w:rFonts w:ascii="David" w:hAnsi="David" w:cs="David" w:hint="cs"/>
          <w:b/>
          <w:bCs/>
          <w:sz w:val="24"/>
          <w:szCs w:val="24"/>
          <w:rtl/>
        </w:rPr>
        <w:t xml:space="preserve">בלתי מוגבלת </w:t>
      </w:r>
      <w:r w:rsidRPr="009F016A">
        <w:rPr>
          <w:rFonts w:ascii="David" w:hAnsi="David" w:cs="David"/>
          <w:b/>
          <w:bCs/>
          <w:sz w:val="24"/>
          <w:szCs w:val="24"/>
          <w:rtl/>
        </w:rPr>
        <w:t>לקבלת מידע</w:t>
      </w:r>
      <w:r w:rsidR="00953FF9">
        <w:rPr>
          <w:rFonts w:ascii="David" w:hAnsi="David" w:cs="David" w:hint="cs"/>
          <w:b/>
          <w:bCs/>
          <w:sz w:val="24"/>
          <w:szCs w:val="24"/>
          <w:rtl/>
        </w:rPr>
        <w:t xml:space="preserve">; </w:t>
      </w:r>
      <w:r w:rsidRPr="009F016A">
        <w:rPr>
          <w:rFonts w:ascii="David" w:hAnsi="David" w:cs="David"/>
          <w:b/>
          <w:bCs/>
          <w:sz w:val="24"/>
          <w:szCs w:val="24"/>
          <w:rtl/>
        </w:rPr>
        <w:t xml:space="preserve"> </w:t>
      </w:r>
    </w:p>
    <w:p w:rsidR="00DE2E85" w:rsidRDefault="00622021" w:rsidP="00622021">
      <w:pPr>
        <w:pStyle w:val="a7"/>
        <w:numPr>
          <w:ilvl w:val="1"/>
          <w:numId w:val="14"/>
        </w:numPr>
        <w:spacing w:after="0"/>
        <w:contextualSpacing w:val="0"/>
        <w:jc w:val="both"/>
        <w:rPr>
          <w:rFonts w:ascii="David" w:hAnsi="David" w:cs="David"/>
          <w:b/>
          <w:bCs/>
          <w:sz w:val="24"/>
          <w:szCs w:val="24"/>
        </w:rPr>
      </w:pPr>
      <w:r>
        <w:rPr>
          <w:rFonts w:ascii="David" w:hAnsi="David" w:cs="David" w:hint="cs"/>
          <w:b/>
          <w:bCs/>
          <w:sz w:val="24"/>
          <w:szCs w:val="24"/>
          <w:rtl/>
        </w:rPr>
        <w:t>פרסום דוחות כספיים לציבור</w:t>
      </w:r>
      <w:r w:rsidR="00953FF9">
        <w:rPr>
          <w:rFonts w:ascii="David" w:hAnsi="David" w:cs="David" w:hint="cs"/>
          <w:b/>
          <w:bCs/>
          <w:sz w:val="24"/>
          <w:szCs w:val="24"/>
          <w:rtl/>
        </w:rPr>
        <w:t xml:space="preserve">; </w:t>
      </w:r>
    </w:p>
    <w:p w:rsidR="00622021" w:rsidRDefault="00622021" w:rsidP="00D14FAA">
      <w:pPr>
        <w:pStyle w:val="a7"/>
        <w:numPr>
          <w:ilvl w:val="1"/>
          <w:numId w:val="14"/>
        </w:numPr>
        <w:spacing w:after="0"/>
        <w:contextualSpacing w:val="0"/>
        <w:jc w:val="both"/>
        <w:rPr>
          <w:rFonts w:ascii="David" w:hAnsi="David" w:cs="David"/>
          <w:b/>
          <w:bCs/>
          <w:sz w:val="24"/>
          <w:szCs w:val="24"/>
        </w:rPr>
      </w:pPr>
      <w:r>
        <w:rPr>
          <w:rFonts w:ascii="David" w:hAnsi="David" w:cs="David" w:hint="cs"/>
          <w:b/>
          <w:bCs/>
          <w:sz w:val="24"/>
          <w:szCs w:val="24"/>
          <w:rtl/>
        </w:rPr>
        <w:t>ממשל תאגיד</w:t>
      </w:r>
      <w:r w:rsidR="00737FF9">
        <w:rPr>
          <w:rFonts w:ascii="David" w:hAnsi="David" w:cs="David" w:hint="cs"/>
          <w:b/>
          <w:bCs/>
          <w:sz w:val="24"/>
          <w:szCs w:val="24"/>
          <w:rtl/>
        </w:rPr>
        <w:t>י</w:t>
      </w:r>
      <w:r>
        <w:rPr>
          <w:rFonts w:ascii="David" w:hAnsi="David" w:cs="David" w:hint="cs"/>
          <w:b/>
          <w:bCs/>
          <w:sz w:val="24"/>
          <w:szCs w:val="24"/>
          <w:rtl/>
        </w:rPr>
        <w:t xml:space="preserve"> </w:t>
      </w:r>
      <w:r>
        <w:rPr>
          <w:rFonts w:ascii="David" w:hAnsi="David" w:cs="David"/>
          <w:b/>
          <w:bCs/>
          <w:sz w:val="24"/>
          <w:szCs w:val="24"/>
          <w:rtl/>
        </w:rPr>
        <w:t>–</w:t>
      </w:r>
      <w:r>
        <w:rPr>
          <w:rFonts w:ascii="David" w:hAnsi="David" w:cs="David" w:hint="cs"/>
          <w:b/>
          <w:bCs/>
          <w:sz w:val="24"/>
          <w:szCs w:val="24"/>
          <w:rtl/>
        </w:rPr>
        <w:t xml:space="preserve"> מינוי דירקטורים חיצוניים ודירקטורים בלתי תלויים</w:t>
      </w:r>
    </w:p>
    <w:p w:rsidR="00953FF9" w:rsidRPr="009F016A" w:rsidRDefault="00622021" w:rsidP="00622021">
      <w:pPr>
        <w:pStyle w:val="a7"/>
        <w:numPr>
          <w:ilvl w:val="1"/>
          <w:numId w:val="14"/>
        </w:numPr>
        <w:spacing w:after="0"/>
        <w:contextualSpacing w:val="0"/>
        <w:jc w:val="both"/>
        <w:rPr>
          <w:rFonts w:ascii="David" w:hAnsi="David" w:cs="David"/>
          <w:b/>
          <w:bCs/>
          <w:sz w:val="24"/>
          <w:szCs w:val="24"/>
        </w:rPr>
      </w:pPr>
      <w:r>
        <w:rPr>
          <w:rFonts w:ascii="David" w:hAnsi="David" w:cs="David" w:hint="cs"/>
          <w:b/>
          <w:bCs/>
          <w:sz w:val="24"/>
          <w:szCs w:val="24"/>
          <w:rtl/>
        </w:rPr>
        <w:t xml:space="preserve">אישור </w:t>
      </w:r>
      <w:r w:rsidR="00953FF9" w:rsidRPr="005265A4">
        <w:rPr>
          <w:rFonts w:ascii="David" w:hAnsi="David" w:cs="David" w:hint="cs"/>
          <w:b/>
          <w:bCs/>
          <w:sz w:val="24"/>
          <w:szCs w:val="24"/>
          <w:rtl/>
        </w:rPr>
        <w:t xml:space="preserve">כהונה וסיום כהונה של נושאי משרה </w:t>
      </w:r>
      <w:r w:rsidR="00953FF9">
        <w:rPr>
          <w:rFonts w:ascii="David" w:hAnsi="David" w:cs="David" w:hint="cs"/>
          <w:b/>
          <w:bCs/>
          <w:sz w:val="24"/>
          <w:szCs w:val="24"/>
          <w:rtl/>
        </w:rPr>
        <w:t>ובעלי תפקידים מרכזיים.</w:t>
      </w:r>
    </w:p>
    <w:p w:rsidR="009A6252" w:rsidRPr="00D14FAA" w:rsidRDefault="009A6252" w:rsidP="00D14FAA">
      <w:pPr>
        <w:spacing w:after="0"/>
        <w:ind w:left="360"/>
        <w:jc w:val="both"/>
        <w:rPr>
          <w:rFonts w:ascii="David" w:eastAsia="Times New Roman" w:hAnsi="David" w:cs="David"/>
          <w:b/>
          <w:bCs/>
          <w:sz w:val="24"/>
          <w:szCs w:val="24"/>
          <w:rtl/>
          <w:lang w:eastAsia="he-IL"/>
        </w:rPr>
      </w:pPr>
    </w:p>
    <w:p w:rsidR="00DE2E85" w:rsidRDefault="00DE2E85" w:rsidP="00737FF9">
      <w:pPr>
        <w:pStyle w:val="a7"/>
        <w:numPr>
          <w:ilvl w:val="1"/>
          <w:numId w:val="17"/>
        </w:numPr>
        <w:ind w:left="855" w:hanging="567"/>
        <w:jc w:val="both"/>
        <w:rPr>
          <w:rFonts w:ascii="David" w:eastAsia="Times New Roman" w:hAnsi="David" w:cs="David"/>
          <w:b/>
          <w:bCs/>
          <w:sz w:val="24"/>
          <w:szCs w:val="24"/>
          <w:lang w:eastAsia="he-IL"/>
        </w:rPr>
      </w:pPr>
      <w:r w:rsidRPr="009F016A">
        <w:rPr>
          <w:rFonts w:ascii="David" w:eastAsia="Times New Roman" w:hAnsi="David" w:cs="David" w:hint="cs"/>
          <w:b/>
          <w:bCs/>
          <w:sz w:val="24"/>
          <w:szCs w:val="24"/>
          <w:rtl/>
          <w:lang w:eastAsia="he-IL"/>
        </w:rPr>
        <w:t xml:space="preserve">לקבוע בחוק כי הרחבת סמכויות הפיקוח של הרשות על תאגידי האחזקה מעבר לסמכויות הבסיס (כמוצע לעיל) </w:t>
      </w:r>
      <w:r w:rsidRPr="00622021">
        <w:rPr>
          <w:rFonts w:ascii="David" w:eastAsia="Times New Roman" w:hAnsi="David" w:cs="David" w:hint="cs"/>
          <w:b/>
          <w:bCs/>
          <w:sz w:val="24"/>
          <w:szCs w:val="24"/>
          <w:u w:val="single"/>
          <w:rtl/>
          <w:lang w:eastAsia="he-IL"/>
        </w:rPr>
        <w:t xml:space="preserve">תבוצע </w:t>
      </w:r>
      <w:r w:rsidR="00622021" w:rsidRPr="00622021">
        <w:rPr>
          <w:rFonts w:ascii="David" w:eastAsia="Times New Roman" w:hAnsi="David" w:cs="David" w:hint="cs"/>
          <w:b/>
          <w:bCs/>
          <w:sz w:val="24"/>
          <w:szCs w:val="24"/>
          <w:u w:val="single"/>
          <w:rtl/>
          <w:lang w:eastAsia="he-IL"/>
        </w:rPr>
        <w:t>בהסכמה ובתיאום עם רשות ניירות ערך ו</w:t>
      </w:r>
      <w:bookmarkStart w:id="0" w:name="_GoBack"/>
      <w:bookmarkEnd w:id="0"/>
      <w:r w:rsidRPr="00622021">
        <w:rPr>
          <w:rFonts w:ascii="David" w:eastAsia="Times New Roman" w:hAnsi="David" w:cs="David" w:hint="cs"/>
          <w:b/>
          <w:bCs/>
          <w:sz w:val="24"/>
          <w:szCs w:val="24"/>
          <w:u w:val="single"/>
          <w:rtl/>
          <w:lang w:eastAsia="he-IL"/>
        </w:rPr>
        <w:t>באישור ועדת הכספים של הכנסת</w:t>
      </w:r>
      <w:r w:rsidR="00237FB5" w:rsidRPr="00622021">
        <w:rPr>
          <w:rFonts w:ascii="David" w:eastAsia="Times New Roman" w:hAnsi="David" w:cs="David" w:hint="cs"/>
          <w:b/>
          <w:bCs/>
          <w:sz w:val="24"/>
          <w:szCs w:val="24"/>
          <w:u w:val="single"/>
          <w:rtl/>
          <w:lang w:eastAsia="he-IL"/>
        </w:rPr>
        <w:t xml:space="preserve"> ולאחר בחינה של מימוש הסמכות בשים לב ל</w:t>
      </w:r>
      <w:r w:rsidR="00EF786B" w:rsidRPr="00622021">
        <w:rPr>
          <w:rFonts w:ascii="David" w:eastAsia="Times New Roman" w:hAnsi="David" w:cs="David" w:hint="cs"/>
          <w:b/>
          <w:bCs/>
          <w:sz w:val="24"/>
          <w:szCs w:val="24"/>
          <w:u w:val="single"/>
          <w:rtl/>
          <w:lang w:eastAsia="he-IL"/>
        </w:rPr>
        <w:t>הוראות רגולטוריות מקבילות ו/או קיימות ברמת המוצרים והחברות הבנות בתאגידי ההחזקה ובכלל כך הוראות והנחיות מטעם ה</w:t>
      </w:r>
      <w:r w:rsidR="00237FB5" w:rsidRPr="00622021">
        <w:rPr>
          <w:rFonts w:ascii="David" w:eastAsia="Times New Roman" w:hAnsi="David" w:cs="David" w:hint="cs"/>
          <w:b/>
          <w:bCs/>
          <w:sz w:val="24"/>
          <w:szCs w:val="24"/>
          <w:u w:val="single"/>
          <w:rtl/>
          <w:lang w:eastAsia="he-IL"/>
        </w:rPr>
        <w:t>רשות לניירות ערך, הבורסה לניירות ערך ואגף שוק ההון</w:t>
      </w:r>
      <w:r w:rsidR="00EF786B" w:rsidRPr="00622021">
        <w:rPr>
          <w:rFonts w:ascii="David" w:eastAsia="Times New Roman" w:hAnsi="David" w:cs="David" w:hint="cs"/>
          <w:b/>
          <w:bCs/>
          <w:sz w:val="24"/>
          <w:szCs w:val="24"/>
          <w:u w:val="single"/>
          <w:rtl/>
          <w:lang w:eastAsia="he-IL"/>
        </w:rPr>
        <w:t>, ביטוח וחסכו</w:t>
      </w:r>
      <w:r w:rsidR="00EF786B">
        <w:rPr>
          <w:rFonts w:ascii="David" w:eastAsia="Times New Roman" w:hAnsi="David" w:cs="David" w:hint="cs"/>
          <w:b/>
          <w:bCs/>
          <w:sz w:val="24"/>
          <w:szCs w:val="24"/>
          <w:rtl/>
          <w:lang w:eastAsia="he-IL"/>
        </w:rPr>
        <w:t>ן</w:t>
      </w:r>
      <w:r w:rsidR="00237FB5">
        <w:rPr>
          <w:rFonts w:ascii="David" w:eastAsia="Times New Roman" w:hAnsi="David" w:cs="David" w:hint="cs"/>
          <w:b/>
          <w:bCs/>
          <w:sz w:val="24"/>
          <w:szCs w:val="24"/>
          <w:rtl/>
          <w:lang w:eastAsia="he-IL"/>
        </w:rPr>
        <w:t>.</w:t>
      </w:r>
    </w:p>
    <w:p w:rsidR="00476DA4" w:rsidRPr="00476DA4" w:rsidRDefault="00476DA4" w:rsidP="00476DA4">
      <w:pPr>
        <w:pStyle w:val="a7"/>
        <w:ind w:left="360"/>
        <w:jc w:val="both"/>
        <w:rPr>
          <w:rFonts w:ascii="David" w:eastAsia="Times New Roman" w:hAnsi="David" w:cs="David"/>
          <w:sz w:val="24"/>
          <w:szCs w:val="24"/>
          <w:rtl/>
          <w:lang w:eastAsia="he-IL"/>
        </w:rPr>
      </w:pPr>
    </w:p>
    <w:p w:rsidR="00476DA4" w:rsidRPr="00476DA4" w:rsidRDefault="00476DA4" w:rsidP="00476DA4">
      <w:pPr>
        <w:pStyle w:val="a7"/>
        <w:ind w:left="360"/>
        <w:jc w:val="both"/>
        <w:rPr>
          <w:rFonts w:ascii="David" w:eastAsia="Times New Roman" w:hAnsi="David" w:cs="David"/>
          <w:sz w:val="24"/>
          <w:szCs w:val="24"/>
          <w:rtl/>
          <w:lang w:eastAsia="he-IL"/>
        </w:rPr>
      </w:pPr>
      <w:r w:rsidRPr="00476DA4">
        <w:rPr>
          <w:rFonts w:ascii="David" w:eastAsia="Times New Roman" w:hAnsi="David" w:cs="David" w:hint="cs"/>
          <w:sz w:val="24"/>
          <w:szCs w:val="24"/>
          <w:rtl/>
          <w:lang w:eastAsia="he-IL"/>
        </w:rPr>
        <w:t xml:space="preserve">נשמח להציג, להבהיר ולהרחיב את הטיעונים המועלים במכתבנו זה, במסגרת דיוני הוועדה ו/או בכל פורום רלוונטי אחר. </w:t>
      </w:r>
    </w:p>
    <w:p w:rsidR="003C2122" w:rsidRDefault="003C2122" w:rsidP="00476DA4">
      <w:pPr>
        <w:spacing w:line="360" w:lineRule="auto"/>
        <w:ind w:left="720"/>
        <w:contextualSpacing/>
        <w:jc w:val="both"/>
        <w:rPr>
          <w:rFonts w:ascii="Arial Narrow" w:eastAsia="Times New Roman" w:hAnsi="Arial Narrow" w:cs="David"/>
          <w:sz w:val="26"/>
          <w:szCs w:val="24"/>
          <w:rtl/>
          <w:lang w:eastAsia="he-IL"/>
        </w:rPr>
      </w:pPr>
      <w:r>
        <w:rPr>
          <w:rFonts w:ascii="Arial Narrow" w:eastAsia="Times New Roman" w:hAnsi="Arial Narrow" w:cs="David" w:hint="cs"/>
          <w:sz w:val="26"/>
          <w:szCs w:val="24"/>
          <w:rtl/>
          <w:lang w:eastAsia="he-IL"/>
        </w:rPr>
        <w:t xml:space="preserve"> </w:t>
      </w:r>
      <w:r w:rsidR="00EC541B">
        <w:rPr>
          <w:rFonts w:ascii="Arial Narrow" w:eastAsia="Times New Roman" w:hAnsi="Arial Narrow" w:cs="David" w:hint="cs"/>
          <w:sz w:val="26"/>
          <w:szCs w:val="24"/>
          <w:rtl/>
          <w:lang w:eastAsia="he-IL"/>
        </w:rPr>
        <w:t xml:space="preserve">                                                                                                                   </w:t>
      </w:r>
      <w:r w:rsidR="00476DA4">
        <w:rPr>
          <w:rFonts w:ascii="Arial Narrow" w:eastAsia="Times New Roman" w:hAnsi="Arial Narrow" w:cs="David" w:hint="cs"/>
          <w:sz w:val="26"/>
          <w:szCs w:val="24"/>
          <w:rtl/>
          <w:lang w:eastAsia="he-IL"/>
        </w:rPr>
        <w:t xml:space="preserve">בכבוד רב, </w:t>
      </w:r>
    </w:p>
    <w:p w:rsidR="00622021" w:rsidRDefault="00622021" w:rsidP="00622021">
      <w:pPr>
        <w:ind w:left="720"/>
        <w:contextualSpacing/>
        <w:jc w:val="both"/>
        <w:rPr>
          <w:rFonts w:ascii="Arial Narrow" w:eastAsia="Times New Roman" w:hAnsi="Arial Narrow" w:cs="David"/>
          <w:sz w:val="26"/>
          <w:szCs w:val="24"/>
          <w:rtl/>
          <w:lang w:eastAsia="he-IL"/>
        </w:rPr>
      </w:pPr>
      <w:r>
        <w:rPr>
          <w:rFonts w:ascii="Arial Narrow" w:eastAsia="Times New Roman" w:hAnsi="Arial Narrow" w:cs="David"/>
          <w:sz w:val="26"/>
          <w:szCs w:val="24"/>
          <w:rtl/>
          <w:lang w:eastAsia="he-IL"/>
        </w:rPr>
        <w:tab/>
      </w:r>
      <w:r>
        <w:rPr>
          <w:rFonts w:ascii="Arial Narrow" w:eastAsia="Times New Roman" w:hAnsi="Arial Narrow" w:cs="David"/>
          <w:sz w:val="26"/>
          <w:szCs w:val="24"/>
          <w:rtl/>
          <w:lang w:eastAsia="he-IL"/>
        </w:rPr>
        <w:tab/>
      </w:r>
      <w:r>
        <w:rPr>
          <w:rFonts w:ascii="Arial Narrow" w:eastAsia="Times New Roman" w:hAnsi="Arial Narrow" w:cs="David"/>
          <w:sz w:val="26"/>
          <w:szCs w:val="24"/>
          <w:rtl/>
          <w:lang w:eastAsia="he-IL"/>
        </w:rPr>
        <w:tab/>
      </w:r>
      <w:r>
        <w:rPr>
          <w:rFonts w:ascii="Arial Narrow" w:eastAsia="Times New Roman" w:hAnsi="Arial Narrow" w:cs="David"/>
          <w:sz w:val="26"/>
          <w:szCs w:val="24"/>
          <w:rtl/>
          <w:lang w:eastAsia="he-IL"/>
        </w:rPr>
        <w:tab/>
      </w:r>
      <w:r>
        <w:rPr>
          <w:rFonts w:ascii="Arial Narrow" w:eastAsia="Times New Roman" w:hAnsi="Arial Narrow" w:cs="David"/>
          <w:sz w:val="26"/>
          <w:szCs w:val="24"/>
          <w:rtl/>
          <w:lang w:eastAsia="he-IL"/>
        </w:rPr>
        <w:tab/>
      </w:r>
      <w:r>
        <w:rPr>
          <w:rFonts w:ascii="Arial Narrow" w:eastAsia="Times New Roman" w:hAnsi="Arial Narrow" w:cs="David"/>
          <w:sz w:val="26"/>
          <w:szCs w:val="24"/>
          <w:rtl/>
          <w:lang w:eastAsia="he-IL"/>
        </w:rPr>
        <w:tab/>
      </w:r>
      <w:r>
        <w:rPr>
          <w:rFonts w:ascii="Arial Narrow" w:eastAsia="Times New Roman" w:hAnsi="Arial Narrow" w:cs="David"/>
          <w:sz w:val="26"/>
          <w:szCs w:val="24"/>
          <w:rtl/>
          <w:lang w:eastAsia="he-IL"/>
        </w:rPr>
        <w:tab/>
      </w:r>
      <w:r>
        <w:rPr>
          <w:rFonts w:ascii="Arial Narrow" w:eastAsia="Times New Roman" w:hAnsi="Arial Narrow" w:cs="David"/>
          <w:sz w:val="26"/>
          <w:szCs w:val="24"/>
          <w:rtl/>
          <w:lang w:eastAsia="he-IL"/>
        </w:rPr>
        <w:tab/>
      </w:r>
      <w:r>
        <w:rPr>
          <w:rFonts w:ascii="Arial Narrow" w:eastAsia="Times New Roman" w:hAnsi="Arial Narrow" w:cs="David" w:hint="cs"/>
          <w:sz w:val="26"/>
          <w:szCs w:val="24"/>
          <w:rtl/>
          <w:lang w:eastAsia="he-IL"/>
        </w:rPr>
        <w:t xml:space="preserve"> </w:t>
      </w:r>
      <w:r w:rsidR="00476DA4">
        <w:rPr>
          <w:rFonts w:ascii="Arial Narrow" w:eastAsia="Times New Roman" w:hAnsi="Arial Narrow" w:cs="David" w:hint="cs"/>
          <w:sz w:val="26"/>
          <w:szCs w:val="24"/>
          <w:rtl/>
          <w:lang w:eastAsia="he-IL"/>
        </w:rPr>
        <w:t xml:space="preserve">יוליה מרוז, </w:t>
      </w:r>
      <w:r>
        <w:rPr>
          <w:rFonts w:ascii="Arial Narrow" w:eastAsia="Times New Roman" w:hAnsi="Arial Narrow" w:cs="David" w:hint="cs"/>
          <w:sz w:val="26"/>
          <w:szCs w:val="24"/>
          <w:rtl/>
          <w:lang w:eastAsia="he-IL"/>
        </w:rPr>
        <w:t>מנכ"ל</w:t>
      </w:r>
    </w:p>
    <w:p w:rsidR="00476DA4" w:rsidRDefault="00622021" w:rsidP="00622021">
      <w:pPr>
        <w:ind w:left="5040"/>
        <w:contextualSpacing/>
        <w:jc w:val="both"/>
        <w:rPr>
          <w:rFonts w:ascii="Arial Narrow" w:eastAsia="Times New Roman" w:hAnsi="Arial Narrow" w:cs="David"/>
          <w:sz w:val="26"/>
          <w:szCs w:val="24"/>
          <w:rtl/>
          <w:lang w:eastAsia="he-IL"/>
        </w:rPr>
      </w:pPr>
      <w:r>
        <w:rPr>
          <w:rFonts w:ascii="Arial Narrow" w:eastAsia="Times New Roman" w:hAnsi="Arial Narrow" w:cs="David" w:hint="cs"/>
          <w:sz w:val="26"/>
          <w:szCs w:val="24"/>
          <w:rtl/>
          <w:lang w:eastAsia="he-IL"/>
        </w:rPr>
        <w:t xml:space="preserve">                     </w:t>
      </w:r>
      <w:r w:rsidR="00476DA4">
        <w:rPr>
          <w:rFonts w:ascii="Arial Narrow" w:eastAsia="Times New Roman" w:hAnsi="Arial Narrow" w:cs="David" w:hint="cs"/>
          <w:sz w:val="26"/>
          <w:szCs w:val="24"/>
          <w:rtl/>
          <w:lang w:eastAsia="he-IL"/>
        </w:rPr>
        <w:t>איגוד בתי ההשקעות (</w:t>
      </w:r>
      <w:proofErr w:type="spellStart"/>
      <w:r w:rsidR="00476DA4">
        <w:rPr>
          <w:rFonts w:ascii="Arial Narrow" w:eastAsia="Times New Roman" w:hAnsi="Arial Narrow" w:cs="David" w:hint="cs"/>
          <w:sz w:val="26"/>
          <w:szCs w:val="24"/>
          <w:rtl/>
          <w:lang w:eastAsia="he-IL"/>
        </w:rPr>
        <w:t>ע"ר</w:t>
      </w:r>
      <w:proofErr w:type="spellEnd"/>
      <w:r w:rsidR="00476DA4">
        <w:rPr>
          <w:rFonts w:ascii="Arial Narrow" w:eastAsia="Times New Roman" w:hAnsi="Arial Narrow" w:cs="David" w:hint="cs"/>
          <w:sz w:val="26"/>
          <w:szCs w:val="24"/>
          <w:rtl/>
          <w:lang w:eastAsia="he-IL"/>
        </w:rPr>
        <w:t>)</w:t>
      </w:r>
    </w:p>
    <w:sectPr w:rsidR="00476DA4" w:rsidSect="00525CC3">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16C" w:rsidRDefault="001A016C" w:rsidP="00452BCF">
      <w:pPr>
        <w:spacing w:after="0" w:line="240" w:lineRule="auto"/>
      </w:pPr>
      <w:r>
        <w:separator/>
      </w:r>
    </w:p>
  </w:endnote>
  <w:endnote w:type="continuationSeparator" w:id="0">
    <w:p w:rsidR="001A016C" w:rsidRDefault="001A016C" w:rsidP="00452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00"/>
    <w:family w:val="swiss"/>
    <w:pitch w:val="variable"/>
    <w:sig w:usb0="00000803"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B06" w:rsidRDefault="00595B06">
    <w:pPr>
      <w:pStyle w:val="a5"/>
    </w:pPr>
    <w:r>
      <w:rPr>
        <w:noProof/>
      </w:rPr>
      <w:drawing>
        <wp:anchor distT="0" distB="0" distL="114300" distR="114300" simplePos="0" relativeHeight="251659264" behindDoc="1" locked="0" layoutInCell="1" allowOverlap="1">
          <wp:simplePos x="0" y="0"/>
          <wp:positionH relativeFrom="column">
            <wp:posOffset>-533400</wp:posOffset>
          </wp:positionH>
          <wp:positionV relativeFrom="paragraph">
            <wp:posOffset>85090</wp:posOffset>
          </wp:positionV>
          <wp:extent cx="7991475" cy="666750"/>
          <wp:effectExtent l="0" t="0" r="0" b="0"/>
          <wp:wrapNone/>
          <wp:docPr id="2" name="Picture 2" descr="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1475" cy="6667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16C" w:rsidRDefault="001A016C" w:rsidP="00452BCF">
      <w:pPr>
        <w:spacing w:after="0" w:line="240" w:lineRule="auto"/>
      </w:pPr>
      <w:r>
        <w:separator/>
      </w:r>
    </w:p>
  </w:footnote>
  <w:footnote w:type="continuationSeparator" w:id="0">
    <w:p w:rsidR="001A016C" w:rsidRDefault="001A016C" w:rsidP="00452B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B06" w:rsidRPr="00452BCF" w:rsidRDefault="00595B06" w:rsidP="00452BCF">
    <w:pPr>
      <w:pStyle w:val="a3"/>
      <w:tabs>
        <w:tab w:val="clear" w:pos="4680"/>
        <w:tab w:val="clear" w:pos="9360"/>
        <w:tab w:val="left" w:pos="8355"/>
      </w:tabs>
      <w:rPr>
        <w:color w:val="FF0000"/>
      </w:rPr>
    </w:pPr>
    <w:r>
      <w:rPr>
        <w:noProof/>
        <w:color w:val="FF0000"/>
      </w:rPr>
      <w:drawing>
        <wp:anchor distT="0" distB="0" distL="114300" distR="114300" simplePos="0" relativeHeight="251658240" behindDoc="1" locked="0" layoutInCell="1" allowOverlap="1">
          <wp:simplePos x="0" y="0"/>
          <wp:positionH relativeFrom="page">
            <wp:align>right</wp:align>
          </wp:positionH>
          <wp:positionV relativeFrom="paragraph">
            <wp:posOffset>-473075</wp:posOffset>
          </wp:positionV>
          <wp:extent cx="7981950" cy="1189355"/>
          <wp:effectExtent l="0" t="0" r="0" b="0"/>
          <wp:wrapNone/>
          <wp:docPr id="1" name="Picture 1" descr="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1950" cy="1189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2BCF">
      <w:rPr>
        <w:color w:val="FF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F175A"/>
    <w:multiLevelType w:val="hybridMultilevel"/>
    <w:tmpl w:val="BC10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55EDF"/>
    <w:multiLevelType w:val="hybridMultilevel"/>
    <w:tmpl w:val="B7B89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96A05"/>
    <w:multiLevelType w:val="hybridMultilevel"/>
    <w:tmpl w:val="0CD6D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521B9"/>
    <w:multiLevelType w:val="hybridMultilevel"/>
    <w:tmpl w:val="D300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0513A2"/>
    <w:multiLevelType w:val="hybridMultilevel"/>
    <w:tmpl w:val="9FA059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0D41024"/>
    <w:multiLevelType w:val="hybridMultilevel"/>
    <w:tmpl w:val="F5FEB7A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3391614"/>
    <w:multiLevelType w:val="hybridMultilevel"/>
    <w:tmpl w:val="4698A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98116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2BF4039"/>
    <w:multiLevelType w:val="hybridMultilevel"/>
    <w:tmpl w:val="3A7AD430"/>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46573B5"/>
    <w:multiLevelType w:val="multilevel"/>
    <w:tmpl w:val="4BE0541A"/>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5783434"/>
    <w:multiLevelType w:val="hybridMultilevel"/>
    <w:tmpl w:val="D494F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7F6413"/>
    <w:multiLevelType w:val="hybridMultilevel"/>
    <w:tmpl w:val="CDC454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5D40363A"/>
    <w:multiLevelType w:val="hybridMultilevel"/>
    <w:tmpl w:val="12D02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861736"/>
    <w:multiLevelType w:val="hybridMultilevel"/>
    <w:tmpl w:val="8C9826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D67C4E"/>
    <w:multiLevelType w:val="hybridMultilevel"/>
    <w:tmpl w:val="FC0C0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AD1FE3"/>
    <w:multiLevelType w:val="hybridMultilevel"/>
    <w:tmpl w:val="ED30E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FEA4142"/>
    <w:multiLevelType w:val="hybridMultilevel"/>
    <w:tmpl w:val="AB66F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6900E7"/>
    <w:multiLevelType w:val="hybridMultilevel"/>
    <w:tmpl w:val="9FE6B1D4"/>
    <w:lvl w:ilvl="0" w:tplc="4BB4A514">
      <w:start w:val="3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5"/>
  </w:num>
  <w:num w:numId="4">
    <w:abstractNumId w:val="16"/>
  </w:num>
  <w:num w:numId="5">
    <w:abstractNumId w:val="0"/>
  </w:num>
  <w:num w:numId="6">
    <w:abstractNumId w:val="4"/>
  </w:num>
  <w:num w:numId="7">
    <w:abstractNumId w:val="13"/>
  </w:num>
  <w:num w:numId="8">
    <w:abstractNumId w:val="14"/>
  </w:num>
  <w:num w:numId="9">
    <w:abstractNumId w:val="1"/>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2"/>
  </w:num>
  <w:num w:numId="13">
    <w:abstractNumId w:val="6"/>
  </w:num>
  <w:num w:numId="14">
    <w:abstractNumId w:val="12"/>
  </w:num>
  <w:num w:numId="15">
    <w:abstractNumId w:val="15"/>
  </w:num>
  <w:num w:numId="16">
    <w:abstractNumId w:val="11"/>
  </w:num>
  <w:num w:numId="17">
    <w:abstractNumId w:val="9"/>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91B"/>
    <w:rsid w:val="000004E4"/>
    <w:rsid w:val="0001113E"/>
    <w:rsid w:val="000532B5"/>
    <w:rsid w:val="000B0BCE"/>
    <w:rsid w:val="000B5001"/>
    <w:rsid w:val="00112F10"/>
    <w:rsid w:val="001733D4"/>
    <w:rsid w:val="001A016C"/>
    <w:rsid w:val="001F29EB"/>
    <w:rsid w:val="00237FB5"/>
    <w:rsid w:val="00261B86"/>
    <w:rsid w:val="00265217"/>
    <w:rsid w:val="002B77A9"/>
    <w:rsid w:val="002F2BDA"/>
    <w:rsid w:val="002F2BFC"/>
    <w:rsid w:val="003154BC"/>
    <w:rsid w:val="00315A2D"/>
    <w:rsid w:val="003439D1"/>
    <w:rsid w:val="003723DB"/>
    <w:rsid w:val="003C2122"/>
    <w:rsid w:val="003C4BF3"/>
    <w:rsid w:val="003D1151"/>
    <w:rsid w:val="003D5E89"/>
    <w:rsid w:val="003E3507"/>
    <w:rsid w:val="003F763E"/>
    <w:rsid w:val="004037E4"/>
    <w:rsid w:val="004371A8"/>
    <w:rsid w:val="00452BCF"/>
    <w:rsid w:val="00473397"/>
    <w:rsid w:val="00476DA4"/>
    <w:rsid w:val="004A291B"/>
    <w:rsid w:val="004C4D6B"/>
    <w:rsid w:val="004F106D"/>
    <w:rsid w:val="005122F9"/>
    <w:rsid w:val="00525CC3"/>
    <w:rsid w:val="00550A89"/>
    <w:rsid w:val="005560CB"/>
    <w:rsid w:val="00595B06"/>
    <w:rsid w:val="005A2473"/>
    <w:rsid w:val="005A564E"/>
    <w:rsid w:val="005D0B8A"/>
    <w:rsid w:val="005D5893"/>
    <w:rsid w:val="005D5DA0"/>
    <w:rsid w:val="005E3965"/>
    <w:rsid w:val="005E667C"/>
    <w:rsid w:val="005F4B74"/>
    <w:rsid w:val="00622021"/>
    <w:rsid w:val="006331D9"/>
    <w:rsid w:val="00683490"/>
    <w:rsid w:val="006A1141"/>
    <w:rsid w:val="007220B0"/>
    <w:rsid w:val="00737FF9"/>
    <w:rsid w:val="0076133E"/>
    <w:rsid w:val="007659E6"/>
    <w:rsid w:val="0082652C"/>
    <w:rsid w:val="0085185A"/>
    <w:rsid w:val="0085353F"/>
    <w:rsid w:val="00857DEC"/>
    <w:rsid w:val="00867452"/>
    <w:rsid w:val="00886E0B"/>
    <w:rsid w:val="00894975"/>
    <w:rsid w:val="008B6C7D"/>
    <w:rsid w:val="008C1FB6"/>
    <w:rsid w:val="0091550C"/>
    <w:rsid w:val="0093127A"/>
    <w:rsid w:val="00935013"/>
    <w:rsid w:val="0094703C"/>
    <w:rsid w:val="00953FF9"/>
    <w:rsid w:val="009A6252"/>
    <w:rsid w:val="009F016A"/>
    <w:rsid w:val="00AB4095"/>
    <w:rsid w:val="00AB7587"/>
    <w:rsid w:val="00AD1879"/>
    <w:rsid w:val="00AE2913"/>
    <w:rsid w:val="00AE7EE9"/>
    <w:rsid w:val="00AF1AB8"/>
    <w:rsid w:val="00BA5FA5"/>
    <w:rsid w:val="00C135BA"/>
    <w:rsid w:val="00C32E07"/>
    <w:rsid w:val="00CC4439"/>
    <w:rsid w:val="00D02A19"/>
    <w:rsid w:val="00D05678"/>
    <w:rsid w:val="00D058D7"/>
    <w:rsid w:val="00D14FAA"/>
    <w:rsid w:val="00D439F6"/>
    <w:rsid w:val="00D71BBA"/>
    <w:rsid w:val="00DA5A26"/>
    <w:rsid w:val="00DC54B1"/>
    <w:rsid w:val="00DE2E85"/>
    <w:rsid w:val="00DE53E5"/>
    <w:rsid w:val="00DF433B"/>
    <w:rsid w:val="00E3295C"/>
    <w:rsid w:val="00E90D45"/>
    <w:rsid w:val="00EA45D8"/>
    <w:rsid w:val="00EB2705"/>
    <w:rsid w:val="00EB7B86"/>
    <w:rsid w:val="00EC0A0F"/>
    <w:rsid w:val="00EC541B"/>
    <w:rsid w:val="00EF786B"/>
    <w:rsid w:val="00F1248D"/>
    <w:rsid w:val="00F14BD7"/>
    <w:rsid w:val="00F45615"/>
    <w:rsid w:val="00F771D5"/>
    <w:rsid w:val="00F93759"/>
    <w:rsid w:val="00FB641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B7FAC2-AF92-4123-8699-B6554098F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23DB"/>
    <w:pPr>
      <w:bidi/>
      <w:spacing w:after="200" w:line="276"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2BCF"/>
    <w:pPr>
      <w:tabs>
        <w:tab w:val="center" w:pos="4680"/>
        <w:tab w:val="right" w:pos="9360"/>
      </w:tabs>
    </w:pPr>
  </w:style>
  <w:style w:type="character" w:customStyle="1" w:styleId="a4">
    <w:name w:val="כותרת עליונה תו"/>
    <w:basedOn w:val="a0"/>
    <w:link w:val="a3"/>
    <w:uiPriority w:val="99"/>
    <w:rsid w:val="00452BCF"/>
    <w:rPr>
      <w:sz w:val="22"/>
      <w:szCs w:val="22"/>
      <w:lang w:bidi="ar-SA"/>
    </w:rPr>
  </w:style>
  <w:style w:type="paragraph" w:styleId="a5">
    <w:name w:val="footer"/>
    <w:basedOn w:val="a"/>
    <w:link w:val="a6"/>
    <w:uiPriority w:val="99"/>
    <w:unhideWhenUsed/>
    <w:rsid w:val="00452BCF"/>
    <w:pPr>
      <w:tabs>
        <w:tab w:val="center" w:pos="4680"/>
        <w:tab w:val="right" w:pos="9360"/>
      </w:tabs>
    </w:pPr>
  </w:style>
  <w:style w:type="character" w:customStyle="1" w:styleId="a6">
    <w:name w:val="כותרת תחתונה תו"/>
    <w:basedOn w:val="a0"/>
    <w:link w:val="a5"/>
    <w:uiPriority w:val="99"/>
    <w:rsid w:val="00452BCF"/>
    <w:rPr>
      <w:sz w:val="22"/>
      <w:szCs w:val="22"/>
      <w:lang w:bidi="ar-SA"/>
    </w:rPr>
  </w:style>
  <w:style w:type="paragraph" w:styleId="a7">
    <w:name w:val="List Paragraph"/>
    <w:basedOn w:val="a"/>
    <w:uiPriority w:val="34"/>
    <w:qFormat/>
    <w:rsid w:val="00473397"/>
    <w:pPr>
      <w:ind w:left="720"/>
      <w:contextualSpacing/>
    </w:pPr>
  </w:style>
  <w:style w:type="table" w:styleId="a8">
    <w:name w:val="Table Grid"/>
    <w:basedOn w:val="a1"/>
    <w:uiPriority w:val="59"/>
    <w:rsid w:val="00261B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basedOn w:val="a"/>
    <w:link w:val="aa"/>
    <w:uiPriority w:val="99"/>
    <w:semiHidden/>
    <w:unhideWhenUsed/>
    <w:rsid w:val="00525CC3"/>
    <w:pPr>
      <w:spacing w:after="0" w:line="240" w:lineRule="auto"/>
    </w:pPr>
    <w:rPr>
      <w:sz w:val="20"/>
      <w:szCs w:val="20"/>
    </w:rPr>
  </w:style>
  <w:style w:type="character" w:customStyle="1" w:styleId="aa">
    <w:name w:val="טקסט הערת שוליים תו"/>
    <w:basedOn w:val="a0"/>
    <w:link w:val="a9"/>
    <w:uiPriority w:val="99"/>
    <w:semiHidden/>
    <w:rsid w:val="00525CC3"/>
    <w:rPr>
      <w:rFonts w:asciiTheme="minorHAnsi" w:eastAsiaTheme="minorHAnsi" w:hAnsiTheme="minorHAnsi" w:cstheme="minorBidi"/>
      <w:lang w:bidi="ar-SA"/>
    </w:rPr>
  </w:style>
  <w:style w:type="character" w:styleId="ab">
    <w:name w:val="footnote reference"/>
    <w:uiPriority w:val="99"/>
    <w:semiHidden/>
    <w:unhideWhenUsed/>
    <w:rsid w:val="00525C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39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eph\AppData\Local\Microsoft\Windows\Temporary%20Internet%20Files\Content.IE5\KH1185QF\word%20tem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187F95-FE31-4A83-B65A-4070E6079F78}"/>
</file>

<file path=customXml/itemProps2.xml><?xml version="1.0" encoding="utf-8"?>
<ds:datastoreItem xmlns:ds="http://schemas.openxmlformats.org/officeDocument/2006/customXml" ds:itemID="{EFDF8D6E-522C-4241-890F-4154A82F0CC0}"/>
</file>

<file path=customXml/itemProps3.xml><?xml version="1.0" encoding="utf-8"?>
<ds:datastoreItem xmlns:ds="http://schemas.openxmlformats.org/officeDocument/2006/customXml" ds:itemID="{D95FE6C7-5F1F-412C-B69A-EE340506C9B5}"/>
</file>

<file path=docProps/app.xml><?xml version="1.0" encoding="utf-8"?>
<Properties xmlns="http://schemas.openxmlformats.org/officeDocument/2006/extended-properties" xmlns:vt="http://schemas.openxmlformats.org/officeDocument/2006/docPropsVTypes">
  <Template>word temp</Template>
  <TotalTime>0</TotalTime>
  <Pages>3</Pages>
  <Words>875</Words>
  <Characters>4990</Characters>
  <Application>Microsoft Office Word</Application>
  <DocSecurity>0</DocSecurity>
  <Lines>41</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Meroz</dc:creator>
  <cp:lastModifiedBy>Julia Meroz</cp:lastModifiedBy>
  <cp:revision>2</cp:revision>
  <cp:lastPrinted>2014-11-27T09:44:00Z</cp:lastPrinted>
  <dcterms:created xsi:type="dcterms:W3CDTF">2016-06-05T17:34:00Z</dcterms:created>
  <dcterms:modified xsi:type="dcterms:W3CDTF">2016-06-05T17:34:00Z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579239</vt:r8>
  </property>
</Properties>
</file>