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736" w:rsidRDefault="000F4736" w:rsidP="00392C22"/>
    <w:p w:rsidR="00487D0F" w:rsidRDefault="00487D0F" w:rsidP="00392C22"/>
    <w:p w:rsidR="00487D0F" w:rsidRDefault="006B2E04" w:rsidP="006B2E04">
      <w:pPr>
        <w:jc w:val="right"/>
      </w:pPr>
      <w:r>
        <w:rPr>
          <w:rFonts w:hint="cs"/>
          <w:rtl/>
        </w:rPr>
        <w:t>06.06.2016</w:t>
      </w:r>
    </w:p>
    <w:p w:rsidR="00487D0F" w:rsidRPr="00B67B40" w:rsidRDefault="00487D0F" w:rsidP="00487D0F">
      <w:pPr>
        <w:rPr>
          <w:u w:val="single"/>
          <w:rtl/>
        </w:rPr>
      </w:pPr>
      <w:r w:rsidRPr="00B67B40">
        <w:rPr>
          <w:rFonts w:hint="cs"/>
          <w:u w:val="single"/>
          <w:rtl/>
        </w:rPr>
        <w:t>לכבוד:</w:t>
      </w:r>
    </w:p>
    <w:p w:rsidR="00487D0F" w:rsidRPr="00B67B40" w:rsidRDefault="00487D0F" w:rsidP="00487D0F">
      <w:pPr>
        <w:rPr>
          <w:u w:val="single"/>
          <w:rtl/>
        </w:rPr>
      </w:pPr>
    </w:p>
    <w:p w:rsidR="00487D0F" w:rsidRPr="00B67B40" w:rsidRDefault="005F7130" w:rsidP="0054779E">
      <w:pPr>
        <w:rPr>
          <w:u w:val="single"/>
          <w:rtl/>
        </w:rPr>
      </w:pPr>
      <w:r w:rsidRPr="00B67B40">
        <w:rPr>
          <w:rFonts w:hint="cs"/>
          <w:u w:val="single"/>
          <w:rtl/>
        </w:rPr>
        <w:t xml:space="preserve">יו"ר ועדת </w:t>
      </w:r>
      <w:r w:rsidR="0054779E">
        <w:rPr>
          <w:rFonts w:hint="cs"/>
          <w:u w:val="single"/>
          <w:rtl/>
        </w:rPr>
        <w:t>ה</w:t>
      </w:r>
      <w:r w:rsidRPr="00B67B40">
        <w:rPr>
          <w:rFonts w:hint="cs"/>
          <w:u w:val="single"/>
          <w:rtl/>
        </w:rPr>
        <w:t>חוקה</w:t>
      </w:r>
      <w:r w:rsidR="0054779E">
        <w:rPr>
          <w:rFonts w:hint="cs"/>
          <w:u w:val="single"/>
          <w:rtl/>
        </w:rPr>
        <w:t xml:space="preserve"> חוק</w:t>
      </w:r>
      <w:r w:rsidRPr="00B67B40">
        <w:rPr>
          <w:rFonts w:hint="cs"/>
          <w:u w:val="single"/>
          <w:rtl/>
        </w:rPr>
        <w:t xml:space="preserve"> ומשפט</w:t>
      </w:r>
      <w:r w:rsidR="0054779E">
        <w:rPr>
          <w:rFonts w:hint="cs"/>
          <w:u w:val="single"/>
          <w:rtl/>
        </w:rPr>
        <w:t>, ח"כ ניסן סלומי</w:t>
      </w:r>
      <w:r w:rsidR="00B67B40" w:rsidRPr="00B67B40">
        <w:rPr>
          <w:rFonts w:hint="cs"/>
          <w:u w:val="single"/>
          <w:rtl/>
        </w:rPr>
        <w:t>נסקי</w:t>
      </w:r>
    </w:p>
    <w:p w:rsidR="00B67B40" w:rsidRDefault="00B67B40" w:rsidP="00E3624A">
      <w:pPr>
        <w:jc w:val="center"/>
        <w:rPr>
          <w:b/>
          <w:bCs/>
          <w:u w:val="single"/>
          <w:rtl/>
        </w:rPr>
      </w:pPr>
    </w:p>
    <w:p w:rsidR="00487D0F" w:rsidRPr="0054779E" w:rsidRDefault="00487D0F" w:rsidP="0054779E">
      <w:pPr>
        <w:jc w:val="center"/>
        <w:rPr>
          <w:b/>
          <w:bCs/>
          <w:u w:val="single"/>
          <w:rtl/>
        </w:rPr>
      </w:pPr>
      <w:r w:rsidRPr="00E3624A">
        <w:rPr>
          <w:rFonts w:hint="cs"/>
          <w:b/>
          <w:bCs/>
          <w:u w:val="single"/>
          <w:rtl/>
        </w:rPr>
        <w:t xml:space="preserve">הנדון: </w:t>
      </w:r>
      <w:r w:rsidR="00E3624A">
        <w:rPr>
          <w:rFonts w:hint="cs"/>
          <w:b/>
          <w:bCs/>
          <w:u w:val="single"/>
          <w:rtl/>
        </w:rPr>
        <w:t>מועד ה</w:t>
      </w:r>
      <w:r w:rsidR="00375094">
        <w:rPr>
          <w:rFonts w:hint="cs"/>
          <w:b/>
          <w:bCs/>
          <w:u w:val="single"/>
          <w:rtl/>
        </w:rPr>
        <w:t>ח</w:t>
      </w:r>
      <w:r w:rsidR="00E3624A">
        <w:rPr>
          <w:rFonts w:hint="cs"/>
          <w:b/>
          <w:bCs/>
          <w:u w:val="single"/>
          <w:rtl/>
        </w:rPr>
        <w:t>לת</w:t>
      </w:r>
      <w:r w:rsidRPr="00E3624A">
        <w:rPr>
          <w:rFonts w:hint="cs"/>
          <w:b/>
          <w:bCs/>
          <w:u w:val="single"/>
          <w:rtl/>
        </w:rPr>
        <w:t xml:space="preserve"> חוק חובת גילוי לגבי מי שנתמך על ידי ישות מדינית זרה</w:t>
      </w:r>
    </w:p>
    <w:p w:rsidR="00487D0F" w:rsidRDefault="00487D0F" w:rsidP="00487D0F">
      <w:pPr>
        <w:rPr>
          <w:rtl/>
        </w:rPr>
      </w:pPr>
      <w:r>
        <w:rPr>
          <w:rFonts w:hint="cs"/>
          <w:rtl/>
        </w:rPr>
        <w:t>שלום רב,</w:t>
      </w:r>
    </w:p>
    <w:p w:rsidR="00487D0F" w:rsidRDefault="00487D0F" w:rsidP="00487D0F">
      <w:pPr>
        <w:rPr>
          <w:rtl/>
        </w:rPr>
      </w:pPr>
    </w:p>
    <w:p w:rsidR="00487D0F" w:rsidRDefault="00487D0F" w:rsidP="00487D0F">
      <w:pPr>
        <w:rPr>
          <w:rtl/>
        </w:rPr>
      </w:pPr>
      <w:r>
        <w:rPr>
          <w:rFonts w:hint="cs"/>
          <w:rtl/>
        </w:rPr>
        <w:t>הנני פונה אלייך לקראת הדיון בועדת החוקה שעתיד להתקיים מחר, יום ג, 07.06.16</w:t>
      </w:r>
      <w:r w:rsidR="00072B61">
        <w:rPr>
          <w:rFonts w:hint="cs"/>
          <w:rtl/>
        </w:rPr>
        <w:t xml:space="preserve">, בהצעת </w:t>
      </w:r>
      <w:r>
        <w:rPr>
          <w:rFonts w:hint="cs"/>
          <w:rtl/>
        </w:rPr>
        <w:t>חוק חובת גילוי לגבי מי שנתמך על ידי ישות מדינית זרה.</w:t>
      </w:r>
    </w:p>
    <w:p w:rsidR="00487D0F" w:rsidRDefault="00487D0F" w:rsidP="00487D0F">
      <w:pPr>
        <w:rPr>
          <w:rtl/>
        </w:rPr>
      </w:pPr>
      <w:r>
        <w:rPr>
          <w:rFonts w:hint="cs"/>
          <w:rtl/>
        </w:rPr>
        <w:t>העמדה כי הצעת החוק איננה ראויה, פוגעת בעקרון חופש הביטוי</w:t>
      </w:r>
      <w:r w:rsidR="00E3624A">
        <w:rPr>
          <w:rFonts w:hint="cs"/>
          <w:rtl/>
        </w:rPr>
        <w:t>,</w:t>
      </w:r>
      <w:r>
        <w:rPr>
          <w:rFonts w:hint="cs"/>
          <w:rtl/>
        </w:rPr>
        <w:t xml:space="preserve"> ונוע</w:t>
      </w:r>
      <w:r w:rsidR="00E3624A">
        <w:rPr>
          <w:rFonts w:hint="cs"/>
          <w:rtl/>
        </w:rPr>
        <w:t>דה לבייש את</w:t>
      </w:r>
      <w:r>
        <w:rPr>
          <w:rFonts w:hint="cs"/>
          <w:rtl/>
        </w:rPr>
        <w:t xml:space="preserve"> ארגוני החברה האזרחית ולא לתרום לשקיפות, ידועה ונאמרה גם על ידי הדרג המקצועי- משפטי בוועדה.</w:t>
      </w:r>
    </w:p>
    <w:p w:rsidR="00487D0F" w:rsidRDefault="00487D0F" w:rsidP="00487D0F">
      <w:pPr>
        <w:rPr>
          <w:rtl/>
        </w:rPr>
      </w:pPr>
    </w:p>
    <w:p w:rsidR="00487D0F" w:rsidRDefault="00487D0F" w:rsidP="00487D0F">
      <w:pPr>
        <w:rPr>
          <w:rtl/>
        </w:rPr>
      </w:pPr>
      <w:r>
        <w:rPr>
          <w:rFonts w:hint="cs"/>
          <w:rtl/>
        </w:rPr>
        <w:t>מבלי לפגוע בטיעונים כבדי משקל אלו, ברצוני להעלות בפני הועדה את סוגיית ת</w:t>
      </w:r>
      <w:r w:rsidR="00375094">
        <w:rPr>
          <w:rFonts w:hint="cs"/>
          <w:rtl/>
        </w:rPr>
        <w:t>ח</w:t>
      </w:r>
      <w:r>
        <w:rPr>
          <w:rFonts w:hint="cs"/>
          <w:rtl/>
        </w:rPr>
        <w:t>ולת החוק והמועד ממנו הוא יחול.</w:t>
      </w:r>
    </w:p>
    <w:p w:rsidR="00487D0F" w:rsidRDefault="00487D0F" w:rsidP="00375094">
      <w:pPr>
        <w:rPr>
          <w:rtl/>
        </w:rPr>
      </w:pPr>
      <w:r>
        <w:rPr>
          <w:rFonts w:hint="cs"/>
          <w:rtl/>
        </w:rPr>
        <w:t>הצעת החוק מבקשת לה</w:t>
      </w:r>
      <w:r w:rsidR="00375094">
        <w:rPr>
          <w:rFonts w:hint="cs"/>
          <w:rtl/>
        </w:rPr>
        <w:t>ח</w:t>
      </w:r>
      <w:r>
        <w:rPr>
          <w:rFonts w:hint="cs"/>
          <w:rtl/>
        </w:rPr>
        <w:t xml:space="preserve">יל חובות נוספות על ארגונים ועמותות בהתאם </w:t>
      </w:r>
      <w:r w:rsidR="00E3624A">
        <w:rPr>
          <w:rFonts w:hint="cs"/>
          <w:rtl/>
        </w:rPr>
        <w:t>לדיווחים בדוח</w:t>
      </w:r>
      <w:r>
        <w:rPr>
          <w:rFonts w:hint="cs"/>
          <w:rtl/>
        </w:rPr>
        <w:t xml:space="preserve"> הכספי של הש</w:t>
      </w:r>
      <w:r w:rsidR="00072B61">
        <w:rPr>
          <w:rFonts w:hint="cs"/>
          <w:rtl/>
        </w:rPr>
        <w:t>נה הקודמת,</w:t>
      </w:r>
      <w:r>
        <w:rPr>
          <w:rFonts w:hint="cs"/>
          <w:rtl/>
        </w:rPr>
        <w:t xml:space="preserve"> </w:t>
      </w:r>
      <w:r w:rsidR="00E3624A">
        <w:rPr>
          <w:rFonts w:hint="cs"/>
          <w:rtl/>
        </w:rPr>
        <w:t>ההיגיון מחייב כי</w:t>
      </w:r>
      <w:r>
        <w:rPr>
          <w:rFonts w:hint="cs"/>
          <w:rtl/>
        </w:rPr>
        <w:t xml:space="preserve"> לא</w:t>
      </w:r>
      <w:r w:rsidR="00E3624A">
        <w:rPr>
          <w:rFonts w:hint="cs"/>
          <w:rtl/>
        </w:rPr>
        <w:t xml:space="preserve"> יהיה</w:t>
      </w:r>
      <w:r>
        <w:rPr>
          <w:rFonts w:hint="cs"/>
          <w:rtl/>
        </w:rPr>
        <w:t xml:space="preserve"> ניתן </w:t>
      </w:r>
      <w:r w:rsidR="00375094">
        <w:rPr>
          <w:rFonts w:hint="cs"/>
          <w:rtl/>
        </w:rPr>
        <w:t xml:space="preserve">להחיל </w:t>
      </w:r>
      <w:r>
        <w:rPr>
          <w:rFonts w:hint="cs"/>
          <w:rtl/>
        </w:rPr>
        <w:t>את החוק על שנת כספים שהסתיימה או שנת כספים הנמצאת כבר בעיצומה</w:t>
      </w:r>
      <w:r w:rsidR="00E3624A">
        <w:rPr>
          <w:rFonts w:hint="cs"/>
          <w:rtl/>
        </w:rPr>
        <w:t>, טרם נחקק החוק</w:t>
      </w:r>
      <w:r>
        <w:rPr>
          <w:rFonts w:hint="cs"/>
          <w:rtl/>
        </w:rPr>
        <w:t>.</w:t>
      </w:r>
    </w:p>
    <w:p w:rsidR="00487D0F" w:rsidRDefault="00375094" w:rsidP="00375094">
      <w:pPr>
        <w:rPr>
          <w:rtl/>
        </w:rPr>
      </w:pPr>
      <w:r>
        <w:rPr>
          <w:rFonts w:hint="cs"/>
          <w:rtl/>
        </w:rPr>
        <w:t xml:space="preserve">החלה </w:t>
      </w:r>
      <w:r w:rsidR="00487D0F">
        <w:rPr>
          <w:rFonts w:hint="cs"/>
          <w:rtl/>
        </w:rPr>
        <w:t>רטרואקטיבית</w:t>
      </w:r>
      <w:r>
        <w:rPr>
          <w:rFonts w:hint="cs"/>
          <w:rtl/>
        </w:rPr>
        <w:t xml:space="preserve"> של החוק, הכולל סנקציות ומעין סנקציות,</w:t>
      </w:r>
      <w:r w:rsidR="00487D0F">
        <w:rPr>
          <w:rFonts w:hint="cs"/>
          <w:rtl/>
        </w:rPr>
        <w:t xml:space="preserve"> איננה מעשה ראוי ומנוגדת לעקרונות משפטיים</w:t>
      </w:r>
      <w:r w:rsidR="00E3624A">
        <w:rPr>
          <w:rFonts w:hint="cs"/>
          <w:rtl/>
        </w:rPr>
        <w:t xml:space="preserve"> בסייסים</w:t>
      </w:r>
      <w:r w:rsidR="00072B61">
        <w:rPr>
          <w:rFonts w:hint="cs"/>
          <w:rtl/>
        </w:rPr>
        <w:t>,</w:t>
      </w:r>
      <w:r w:rsidR="00E3624A">
        <w:rPr>
          <w:rFonts w:hint="cs"/>
          <w:rtl/>
        </w:rPr>
        <w:t xml:space="preserve"> על פי הם</w:t>
      </w:r>
      <w:r w:rsidR="00072B61">
        <w:rPr>
          <w:rFonts w:hint="cs"/>
          <w:rtl/>
        </w:rPr>
        <w:t>,</w:t>
      </w:r>
      <w:r w:rsidR="005F7130">
        <w:rPr>
          <w:rFonts w:hint="cs"/>
          <w:rtl/>
        </w:rPr>
        <w:t xml:space="preserve"> לא ניתן להטיל מגבלות או חובות על אזרח בשל התנהגות </w:t>
      </w:r>
      <w:r>
        <w:rPr>
          <w:rFonts w:hint="cs"/>
          <w:rtl/>
        </w:rPr>
        <w:t xml:space="preserve">שהייתה </w:t>
      </w:r>
      <w:r w:rsidR="005F7130">
        <w:rPr>
          <w:rFonts w:hint="cs"/>
          <w:rtl/>
        </w:rPr>
        <w:t>לגיטימית</w:t>
      </w:r>
      <w:r>
        <w:rPr>
          <w:rFonts w:hint="cs"/>
          <w:rtl/>
        </w:rPr>
        <w:t xml:space="preserve"> או לא גררה כל חובה מיוחדת</w:t>
      </w:r>
      <w:r w:rsidR="00487D0F">
        <w:rPr>
          <w:rFonts w:hint="cs"/>
          <w:rtl/>
        </w:rPr>
        <w:t>,</w:t>
      </w:r>
      <w:r w:rsidR="005F7130">
        <w:rPr>
          <w:rFonts w:hint="cs"/>
          <w:rtl/>
        </w:rPr>
        <w:t xml:space="preserve"> </w:t>
      </w:r>
      <w:r>
        <w:rPr>
          <w:rFonts w:hint="cs"/>
          <w:rtl/>
        </w:rPr>
        <w:t xml:space="preserve">בעת שבוצעה. </w:t>
      </w:r>
      <w:r w:rsidR="005F7130">
        <w:rPr>
          <w:rFonts w:hint="cs"/>
          <w:rtl/>
        </w:rPr>
        <w:t xml:space="preserve">במקרה זה, </w:t>
      </w:r>
      <w:r>
        <w:rPr>
          <w:rFonts w:hint="cs"/>
          <w:rtl/>
        </w:rPr>
        <w:t xml:space="preserve">מדובר בחוסר הגינות משווע והפרה של עקרונות יסודיים של המשפט המנהלי </w:t>
      </w:r>
      <w:r w:rsidR="005F7130">
        <w:rPr>
          <w:rFonts w:hint="cs"/>
          <w:rtl/>
        </w:rPr>
        <w:t>להטיל על ארגונים חובות "שקיפות" חדשות</w:t>
      </w:r>
      <w:r>
        <w:rPr>
          <w:rFonts w:hint="cs"/>
          <w:rtl/>
        </w:rPr>
        <w:t xml:space="preserve"> (ומשפילות)</w:t>
      </w:r>
      <w:r w:rsidR="005F7130">
        <w:rPr>
          <w:rFonts w:hint="cs"/>
          <w:rtl/>
        </w:rPr>
        <w:t xml:space="preserve"> על </w:t>
      </w:r>
      <w:r>
        <w:rPr>
          <w:rFonts w:hint="cs"/>
          <w:rtl/>
        </w:rPr>
        <w:t xml:space="preserve">בסיס </w:t>
      </w:r>
      <w:r w:rsidR="005F7130">
        <w:rPr>
          <w:rFonts w:hint="cs"/>
          <w:rtl/>
        </w:rPr>
        <w:t xml:space="preserve">מדיניות גיוס כספים שהייתה </w:t>
      </w:r>
      <w:r>
        <w:rPr>
          <w:rFonts w:hint="cs"/>
          <w:rtl/>
        </w:rPr>
        <w:t>להם</w:t>
      </w:r>
      <w:r w:rsidR="005F7130">
        <w:rPr>
          <w:rFonts w:hint="cs"/>
          <w:rtl/>
        </w:rPr>
        <w:t xml:space="preserve"> בטרם בא החוק לאוויר</w:t>
      </w:r>
      <w:r>
        <w:rPr>
          <w:rFonts w:hint="cs"/>
          <w:rtl/>
        </w:rPr>
        <w:t xml:space="preserve"> וקבע חובות אלו</w:t>
      </w:r>
      <w:r w:rsidR="005F7130">
        <w:rPr>
          <w:rFonts w:hint="cs"/>
          <w:rtl/>
        </w:rPr>
        <w:t xml:space="preserve">. על המחוקק לאפשר לארגונים לקבל החלטות ולפעול בהתאם למצב </w:t>
      </w:r>
      <w:r>
        <w:rPr>
          <w:rFonts w:hint="cs"/>
          <w:rtl/>
        </w:rPr>
        <w:t>ה</w:t>
      </w:r>
      <w:r w:rsidR="005F7130">
        <w:rPr>
          <w:rFonts w:hint="cs"/>
          <w:rtl/>
        </w:rPr>
        <w:t xml:space="preserve">משפטי </w:t>
      </w:r>
      <w:r>
        <w:rPr>
          <w:rFonts w:hint="cs"/>
          <w:rtl/>
        </w:rPr>
        <w:t xml:space="preserve">החדש </w:t>
      </w:r>
      <w:r w:rsidR="005F7130">
        <w:rPr>
          <w:rFonts w:hint="cs"/>
          <w:rtl/>
        </w:rPr>
        <w:t>ולא לשנות את חוקי המשחק</w:t>
      </w:r>
      <w:r>
        <w:rPr>
          <w:rFonts w:hint="cs"/>
          <w:rtl/>
        </w:rPr>
        <w:t xml:space="preserve"> באופן רטרואקטיבי</w:t>
      </w:r>
      <w:r w:rsidR="005F7130">
        <w:rPr>
          <w:rFonts w:hint="cs"/>
          <w:rtl/>
        </w:rPr>
        <w:t>.</w:t>
      </w:r>
      <w:r>
        <w:rPr>
          <w:rFonts w:hint="cs"/>
          <w:rtl/>
        </w:rPr>
        <w:t xml:space="preserve"> אלה הם מושכלות יסוד של דיני המשפט המנהלי שלנו.</w:t>
      </w:r>
    </w:p>
    <w:p w:rsidR="005F7130" w:rsidRDefault="005F7130" w:rsidP="005F7130">
      <w:pPr>
        <w:rPr>
          <w:rtl/>
        </w:rPr>
      </w:pPr>
    </w:p>
    <w:p w:rsidR="00487D0F" w:rsidRDefault="00E3624A" w:rsidP="00072B61">
      <w:pPr>
        <w:rPr>
          <w:rtl/>
        </w:rPr>
      </w:pPr>
      <w:r>
        <w:rPr>
          <w:rFonts w:hint="cs"/>
          <w:rtl/>
        </w:rPr>
        <w:t>יתרה מזאת, על מנת לשקול מחדש את מדיניות גיוס הכספים ולייצר אלטרנטיבות מספקות, הארגונים והעמותות שיחפצו בכך</w:t>
      </w:r>
      <w:r w:rsidR="00072B61">
        <w:rPr>
          <w:rFonts w:hint="cs"/>
          <w:rtl/>
        </w:rPr>
        <w:t>,</w:t>
      </w:r>
      <w:r>
        <w:rPr>
          <w:rFonts w:hint="cs"/>
          <w:rtl/>
        </w:rPr>
        <w:t xml:space="preserve"> יזדקקו לזמן התארגנות והסתגלות משמעותי. מדיניות גיוס תרומות איננה עניין "ספונטני" והיא מצריכה זמן </w:t>
      </w:r>
      <w:r w:rsidR="00072B61">
        <w:rPr>
          <w:rFonts w:hint="cs"/>
          <w:rtl/>
        </w:rPr>
        <w:t>היערכות, תכנון,</w:t>
      </w:r>
      <w:r>
        <w:rPr>
          <w:rFonts w:hint="cs"/>
          <w:rtl/>
        </w:rPr>
        <w:t xml:space="preserve"> ויצירת מקורות מימון נוספים.</w:t>
      </w:r>
    </w:p>
    <w:p w:rsidR="00E3624A" w:rsidRDefault="00E3624A" w:rsidP="00487D0F">
      <w:pPr>
        <w:rPr>
          <w:rtl/>
        </w:rPr>
      </w:pPr>
      <w:r>
        <w:rPr>
          <w:rFonts w:hint="cs"/>
          <w:rtl/>
        </w:rPr>
        <w:t>על כן, מן הראוי לאפשר לארגוני החברה אזרחית תקופת הסתגלות של שנתיים, כדי להיערך לחוק החדש ולבחור את דרכי ההתנהלות לאורו.</w:t>
      </w:r>
    </w:p>
    <w:p w:rsidR="00375094" w:rsidRDefault="00375094" w:rsidP="00487D0F">
      <w:pPr>
        <w:rPr>
          <w:rtl/>
        </w:rPr>
      </w:pPr>
    </w:p>
    <w:p w:rsidR="00375094" w:rsidRDefault="00375094" w:rsidP="00375094">
      <w:pPr>
        <w:rPr>
          <w:rtl/>
        </w:rPr>
      </w:pPr>
      <w:r>
        <w:rPr>
          <w:rFonts w:hint="cs"/>
          <w:rtl/>
        </w:rPr>
        <w:t>כך לדוגמא, אפילו חוק שפגע בחופש הביטוי באופן חסר תקדים כמו חוק הנכבה, לא קבע שהסנקציות הקבועות בו והמאפשרות שלילת תקציבים ציבוריים מגופים המציינים את יום הנכבה, חלים על גופים שציינו את הנכבה קודם לחקיקת החוק. קביעה כזו הייתה ללא ספק הופכת את החוק ללא חוקתי.</w:t>
      </w:r>
    </w:p>
    <w:p w:rsidR="00E3624A" w:rsidRDefault="00E3624A" w:rsidP="00487D0F">
      <w:pPr>
        <w:rPr>
          <w:rFonts w:hint="cs"/>
          <w:rtl/>
        </w:rPr>
      </w:pPr>
    </w:p>
    <w:p w:rsidR="006B2E04" w:rsidRDefault="006B2E04" w:rsidP="006B2E04">
      <w:pPr>
        <w:rPr>
          <w:rFonts w:hint="cs"/>
          <w:rtl/>
        </w:rPr>
      </w:pPr>
      <w:r>
        <w:rPr>
          <w:rFonts w:hint="cs"/>
          <w:rtl/>
        </w:rPr>
        <w:t>כאמור, אין בטיעונים אלו להפחית ולו במשהו בהתנגדות העקרונית לעצם החוק, ולפגיעה החמורה שהוא עתיד להביא לעקרון חופש הביטוי במדינת ישראל. חוק זה איננו חוקתי, מנוגד לעקרונות הדמוקרטים הבסיסיים, ואין לו מקום בספר החוקים של מדינת ישראל</w:t>
      </w:r>
      <w:bookmarkStart w:id="0" w:name="_GoBack"/>
      <w:bookmarkEnd w:id="0"/>
      <w:r>
        <w:rPr>
          <w:rFonts w:hint="cs"/>
          <w:rtl/>
        </w:rPr>
        <w:t>.</w:t>
      </w:r>
    </w:p>
    <w:p w:rsidR="006B2E04" w:rsidRDefault="006B2E04" w:rsidP="006B2E04">
      <w:pPr>
        <w:rPr>
          <w:rFonts w:hint="cs"/>
          <w:rtl/>
        </w:rPr>
      </w:pPr>
    </w:p>
    <w:p w:rsidR="006B2E04" w:rsidRDefault="006B2E04" w:rsidP="006B2E04">
      <w:pPr>
        <w:rPr>
          <w:rFonts w:hint="cs"/>
          <w:rtl/>
        </w:rPr>
      </w:pPr>
      <w:r>
        <w:rPr>
          <w:rFonts w:hint="cs"/>
          <w:rtl/>
        </w:rPr>
        <w:t>בברכה,</w:t>
      </w:r>
    </w:p>
    <w:p w:rsidR="006B2E04" w:rsidRDefault="006B2E04" w:rsidP="006B2E04">
      <w:pPr>
        <w:rPr>
          <w:rFonts w:hint="cs"/>
          <w:rtl/>
        </w:rPr>
      </w:pPr>
      <w:r>
        <w:rPr>
          <w:rFonts w:hint="cs"/>
          <w:rtl/>
        </w:rPr>
        <w:t>יריב אופנהיימר</w:t>
      </w:r>
    </w:p>
    <w:p w:rsidR="006B2E04" w:rsidRDefault="006B2E04" w:rsidP="006B2E04">
      <w:pPr>
        <w:rPr>
          <w:rFonts w:hint="cs"/>
          <w:rtl/>
        </w:rPr>
      </w:pPr>
      <w:r>
        <w:rPr>
          <w:rFonts w:hint="cs"/>
          <w:rtl/>
        </w:rPr>
        <w:t>חבר הנהלת שלום עכשיו</w:t>
      </w:r>
    </w:p>
    <w:p w:rsidR="0054779E" w:rsidRDefault="0054779E" w:rsidP="0054779E">
      <w:pPr>
        <w:rPr>
          <w:rFonts w:hint="cs"/>
          <w:rtl/>
        </w:rPr>
      </w:pPr>
    </w:p>
    <w:p w:rsidR="006B2E04" w:rsidRDefault="006B2E04" w:rsidP="0054779E">
      <w:pPr>
        <w:rPr>
          <w:rFonts w:hint="cs"/>
          <w:rtl/>
        </w:rPr>
      </w:pPr>
      <w:r>
        <w:rPr>
          <w:rFonts w:hint="cs"/>
          <w:rtl/>
        </w:rPr>
        <w:t>העתקים:</w:t>
      </w:r>
      <w:r w:rsidR="0054779E">
        <w:rPr>
          <w:rFonts w:hint="cs"/>
          <w:rtl/>
        </w:rPr>
        <w:t xml:space="preserve"> </w:t>
      </w:r>
      <w:r>
        <w:rPr>
          <w:rFonts w:hint="cs"/>
          <w:rtl/>
        </w:rPr>
        <w:t xml:space="preserve">חברי ועדת </w:t>
      </w:r>
      <w:r w:rsidR="0054779E">
        <w:rPr>
          <w:rFonts w:hint="cs"/>
          <w:rtl/>
        </w:rPr>
        <w:t>ה</w:t>
      </w:r>
      <w:r>
        <w:rPr>
          <w:rFonts w:hint="cs"/>
          <w:rtl/>
        </w:rPr>
        <w:t>חוק</w:t>
      </w:r>
      <w:r w:rsidR="0054779E">
        <w:rPr>
          <w:rFonts w:hint="cs"/>
          <w:rtl/>
        </w:rPr>
        <w:t>ה חוק</w:t>
      </w:r>
      <w:r>
        <w:rPr>
          <w:rFonts w:hint="cs"/>
          <w:rtl/>
        </w:rPr>
        <w:t xml:space="preserve"> ומשפט</w:t>
      </w:r>
    </w:p>
    <w:p w:rsidR="006B2E04" w:rsidRDefault="0054779E" w:rsidP="0054779E">
      <w:pPr>
        <w:rPr>
          <w:rtl/>
        </w:rPr>
      </w:pPr>
      <w:r>
        <w:rPr>
          <w:rFonts w:hint="cs"/>
          <w:rtl/>
        </w:rPr>
        <w:tab/>
        <w:t xml:space="preserve"> </w:t>
      </w:r>
      <w:r w:rsidR="006B2E04">
        <w:rPr>
          <w:rFonts w:hint="cs"/>
          <w:rtl/>
        </w:rPr>
        <w:t xml:space="preserve">יועמ"ש הועדה- </w:t>
      </w:r>
      <w:r w:rsidR="00767FC8">
        <w:rPr>
          <w:rFonts w:hint="cs"/>
          <w:rtl/>
        </w:rPr>
        <w:t xml:space="preserve">עו"ד </w:t>
      </w:r>
      <w:r>
        <w:rPr>
          <w:rFonts w:hint="cs"/>
          <w:rtl/>
        </w:rPr>
        <w:t xml:space="preserve">סיגל </w:t>
      </w:r>
      <w:proofErr w:type="spellStart"/>
      <w:r>
        <w:rPr>
          <w:rFonts w:hint="cs"/>
          <w:rtl/>
        </w:rPr>
        <w:t>קוגוט</w:t>
      </w:r>
      <w:proofErr w:type="spellEnd"/>
    </w:p>
    <w:sectPr w:rsidR="006B2E04" w:rsidSect="00501C0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hael Sfard">
    <w15:presenceInfo w15:providerId="None" w15:userId="Michael Sfard"/>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FA446C"/>
    <w:rsid w:val="00072B61"/>
    <w:rsid w:val="000F4736"/>
    <w:rsid w:val="00131165"/>
    <w:rsid w:val="00224AD4"/>
    <w:rsid w:val="0028656D"/>
    <w:rsid w:val="002A6A22"/>
    <w:rsid w:val="00300790"/>
    <w:rsid w:val="00331CE6"/>
    <w:rsid w:val="00351C41"/>
    <w:rsid w:val="00375094"/>
    <w:rsid w:val="00392C22"/>
    <w:rsid w:val="00397272"/>
    <w:rsid w:val="003A69F0"/>
    <w:rsid w:val="00487D0F"/>
    <w:rsid w:val="004B55A3"/>
    <w:rsid w:val="00501C00"/>
    <w:rsid w:val="0054779E"/>
    <w:rsid w:val="005F7130"/>
    <w:rsid w:val="006B2E04"/>
    <w:rsid w:val="006C7F26"/>
    <w:rsid w:val="00767FC8"/>
    <w:rsid w:val="00870967"/>
    <w:rsid w:val="00875ED2"/>
    <w:rsid w:val="00993E2A"/>
    <w:rsid w:val="00A15637"/>
    <w:rsid w:val="00B46030"/>
    <w:rsid w:val="00B67B40"/>
    <w:rsid w:val="00D164A2"/>
    <w:rsid w:val="00E020F0"/>
    <w:rsid w:val="00E2245A"/>
    <w:rsid w:val="00E3624A"/>
    <w:rsid w:val="00E75AC4"/>
    <w:rsid w:val="00E81992"/>
    <w:rsid w:val="00FA446C"/>
    <w:rsid w:val="00FD514C"/>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56D"/>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020F0"/>
    <w:rPr>
      <w:b/>
      <w:bCs/>
    </w:rPr>
  </w:style>
  <w:style w:type="paragraph" w:styleId="a4">
    <w:name w:val="Balloon Text"/>
    <w:basedOn w:val="a"/>
    <w:link w:val="a5"/>
    <w:uiPriority w:val="99"/>
    <w:semiHidden/>
    <w:unhideWhenUsed/>
    <w:rsid w:val="00375094"/>
    <w:rPr>
      <w:rFonts w:ascii="Segoe UI" w:hAnsi="Segoe UI" w:cs="Segoe UI"/>
      <w:sz w:val="18"/>
      <w:szCs w:val="18"/>
    </w:rPr>
  </w:style>
  <w:style w:type="character" w:customStyle="1" w:styleId="a5">
    <w:name w:val="טקסט בלונים תו"/>
    <w:basedOn w:val="a0"/>
    <w:link w:val="a4"/>
    <w:uiPriority w:val="99"/>
    <w:semiHidden/>
    <w:rsid w:val="00375094"/>
    <w:rPr>
      <w:rFonts w:ascii="Segoe UI" w:eastAsia="Times New Roman" w:hAnsi="Segoe UI" w:cs="Segoe UI"/>
      <w:sz w:val="18"/>
      <w:szCs w:val="18"/>
      <w:lang w:eastAsia="he-IL"/>
    </w:rPr>
  </w:style>
</w:styles>
</file>

<file path=word/webSettings.xml><?xml version="1.0" encoding="utf-8"?>
<w:webSettings xmlns:r="http://schemas.openxmlformats.org/officeDocument/2006/relationships" xmlns:w="http://schemas.openxmlformats.org/wordprocessingml/2006/main">
  <w:divs>
    <w:div w:id="1154493884">
      <w:bodyDiv w:val="1"/>
      <w:marLeft w:val="0"/>
      <w:marRight w:val="0"/>
      <w:marTop w:val="0"/>
      <w:marBottom w:val="0"/>
      <w:divBdr>
        <w:top w:val="none" w:sz="0" w:space="0" w:color="auto"/>
        <w:left w:val="none" w:sz="0" w:space="0" w:color="auto"/>
        <w:bottom w:val="none" w:sz="0" w:space="0" w:color="auto"/>
        <w:right w:val="none" w:sz="0" w:space="0" w:color="auto"/>
      </w:divBdr>
    </w:div>
    <w:div w:id="1758937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10" Type="http://schemas.openxmlformats.org/officeDocument/2006/relationships/customXml" Target="../customXml/item4.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72C539-B6BB-4265-8070-523655B79291}"/>
</file>

<file path=customXml/itemProps2.xml><?xml version="1.0" encoding="utf-8"?>
<ds:datastoreItem xmlns:ds="http://schemas.openxmlformats.org/officeDocument/2006/customXml" ds:itemID="{2655EB44-0886-4BED-85E6-3EB414B5FFEB}"/>
</file>

<file path=customXml/itemProps3.xml><?xml version="1.0" encoding="utf-8"?>
<ds:datastoreItem xmlns:ds="http://schemas.openxmlformats.org/officeDocument/2006/customXml" ds:itemID="{1D664BB2-B5F2-45DC-9BC0-4B2F28402B1A}"/>
</file>

<file path=customXml/itemProps4.xml><?xml version="1.0" encoding="utf-8"?>
<ds:datastoreItem xmlns:ds="http://schemas.openxmlformats.org/officeDocument/2006/customXml" ds:itemID="{DF630EED-5F65-4F93-B7CD-3321843F540A}"/>
</file>

<file path=docProps/app.xml><?xml version="1.0" encoding="utf-8"?>
<Properties xmlns="http://schemas.openxmlformats.org/officeDocument/2006/extended-properties" xmlns:vt="http://schemas.openxmlformats.org/officeDocument/2006/docPropsVTypes">
  <Template>Normal</Template>
  <TotalTime>2</TotalTime>
  <Pages>1</Pages>
  <Words>344</Words>
  <Characters>1963</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yuli</dc:creator>
  <cp:lastModifiedBy>yuli</cp:lastModifiedBy>
  <cp:revision>2</cp:revision>
  <dcterms:created xsi:type="dcterms:W3CDTF">2016-06-06T11:56:00Z</dcterms:created>
  <dcterms:modified xsi:type="dcterms:W3CDTF">2016-06-06T11:56:00Z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2003322</vt:r8>
  </property>
</Properties>
</file>