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4FAD" w:rsidRPr="00ED4FAD" w:rsidRDefault="00ED4FAD" w:rsidP="00ED4FAD">
      <w:pPr>
        <w:pStyle w:val="HeadHatzaotHok"/>
        <w:keepNext w:val="0"/>
        <w:keepLines w:val="0"/>
        <w:rPr>
          <w:sz w:val="28"/>
          <w:szCs w:val="28"/>
          <w:rtl/>
        </w:rPr>
      </w:pPr>
      <w:bookmarkStart w:id="0" w:name="_GoBack"/>
      <w:bookmarkEnd w:id="0"/>
      <w:r w:rsidRPr="00ED4FAD">
        <w:rPr>
          <w:rFonts w:hint="cs"/>
          <w:sz w:val="28"/>
          <w:szCs w:val="28"/>
          <w:rtl/>
        </w:rPr>
        <w:t>תקנות ל</w:t>
      </w:r>
      <w:r w:rsidRPr="00ED4FAD">
        <w:rPr>
          <w:sz w:val="28"/>
          <w:szCs w:val="28"/>
          <w:rtl/>
        </w:rPr>
        <w:t>הסדר התדיינויות בסכסוכי משפחה</w:t>
      </w:r>
      <w:r w:rsidRPr="00ED4FAD">
        <w:rPr>
          <w:rFonts w:hint="cs"/>
          <w:sz w:val="28"/>
          <w:szCs w:val="28"/>
          <w:rtl/>
        </w:rPr>
        <w:t xml:space="preserve"> (הוראת שעה) התשע"ו- 2016</w:t>
      </w:r>
    </w:p>
    <w:p w:rsidR="002B1A2C" w:rsidRPr="00ED4FAD" w:rsidRDefault="00ED4FAD" w:rsidP="0021420F">
      <w:pPr>
        <w:bidi/>
        <w:jc w:val="center"/>
        <w:rPr>
          <w:rFonts w:ascii="David" w:hAnsi="David" w:cs="David"/>
          <w:b/>
          <w:bCs/>
          <w:sz w:val="28"/>
          <w:szCs w:val="28"/>
          <w:rtl/>
        </w:rPr>
      </w:pPr>
      <w:r w:rsidRPr="00ED4FAD">
        <w:rPr>
          <w:rFonts w:ascii="David" w:hAnsi="David" w:cs="David" w:hint="cs"/>
          <w:b/>
          <w:bCs/>
          <w:sz w:val="28"/>
          <w:szCs w:val="28"/>
          <w:rtl/>
        </w:rPr>
        <w:t>נוסח לדיון ח' סיון תשע"ו-13 יוני 2016</w:t>
      </w:r>
    </w:p>
    <w:p w:rsidR="0021420F" w:rsidRDefault="0021420F" w:rsidP="0021420F">
      <w:pPr>
        <w:bidi/>
        <w:jc w:val="center"/>
        <w:rPr>
          <w:rFonts w:ascii="David" w:hAnsi="David" w:cs="David"/>
          <w:b/>
          <w:bCs/>
          <w:sz w:val="28"/>
          <w:szCs w:val="28"/>
          <w:u w:val="single"/>
          <w:rtl/>
        </w:rPr>
      </w:pPr>
      <w:r>
        <w:rPr>
          <w:rFonts w:ascii="David" w:hAnsi="David" w:cs="David" w:hint="cs"/>
          <w:b/>
          <w:bCs/>
          <w:sz w:val="28"/>
          <w:szCs w:val="28"/>
          <w:u w:val="single"/>
          <w:rtl/>
        </w:rPr>
        <w:t>הערות</w:t>
      </w:r>
    </w:p>
    <w:p w:rsidR="0021420F" w:rsidRDefault="0021420F" w:rsidP="0021420F">
      <w:pPr>
        <w:bidi/>
        <w:jc w:val="center"/>
        <w:rPr>
          <w:rFonts w:ascii="David" w:hAnsi="David" w:cs="David"/>
          <w:b/>
          <w:bCs/>
          <w:sz w:val="28"/>
          <w:szCs w:val="28"/>
          <w:u w:val="single"/>
          <w:rtl/>
        </w:rPr>
      </w:pPr>
      <w:r>
        <w:rPr>
          <w:rFonts w:ascii="David" w:hAnsi="David" w:cs="David" w:hint="cs"/>
          <w:b/>
          <w:bCs/>
          <w:sz w:val="28"/>
          <w:szCs w:val="28"/>
          <w:u w:val="single"/>
          <w:rtl/>
        </w:rPr>
        <w:t>פיליפ מרכוס, שופט בדימוס</w:t>
      </w:r>
    </w:p>
    <w:p w:rsidR="006F294A" w:rsidRDefault="006F294A" w:rsidP="006F294A">
      <w:pPr>
        <w:bidi/>
        <w:jc w:val="center"/>
        <w:rPr>
          <w:rFonts w:ascii="David" w:hAnsi="David" w:cs="David"/>
          <w:b/>
          <w:bCs/>
          <w:sz w:val="28"/>
          <w:szCs w:val="28"/>
          <w:u w:val="single"/>
          <w:rtl/>
        </w:rPr>
      </w:pPr>
    </w:p>
    <w:p w:rsidR="006F294A" w:rsidRPr="006F294A" w:rsidRDefault="006F294A" w:rsidP="006F294A">
      <w:pPr>
        <w:bidi/>
        <w:jc w:val="both"/>
        <w:rPr>
          <w:rFonts w:ascii="David" w:hAnsi="David" w:cs="David"/>
          <w:b/>
          <w:bCs/>
          <w:sz w:val="28"/>
          <w:szCs w:val="28"/>
          <w:rtl/>
        </w:rPr>
      </w:pPr>
      <w:r>
        <w:rPr>
          <w:rFonts w:ascii="David" w:hAnsi="David" w:cs="David" w:hint="cs"/>
          <w:b/>
          <w:bCs/>
          <w:sz w:val="28"/>
          <w:szCs w:val="28"/>
          <w:rtl/>
        </w:rPr>
        <w:t>נבצר ממני, בשל סיבות רפואיות, מלהתייצב בדיון ועדת חוקה חוק ומשפט היום. לכן אני מעביר הערות אלו, בבקשה שיושמו בפני חברי הועדה והמשתתפים בדיון.</w:t>
      </w:r>
    </w:p>
    <w:p w:rsidR="0021420F" w:rsidRDefault="0021420F" w:rsidP="0021420F">
      <w:pPr>
        <w:bidi/>
        <w:jc w:val="center"/>
        <w:rPr>
          <w:rFonts w:ascii="David" w:hAnsi="David" w:cs="David"/>
          <w:b/>
          <w:bCs/>
          <w:sz w:val="28"/>
          <w:szCs w:val="28"/>
          <w:u w:val="single"/>
          <w:rtl/>
        </w:rPr>
      </w:pPr>
    </w:p>
    <w:p w:rsidR="006663EE" w:rsidRDefault="006663EE" w:rsidP="0021420F">
      <w:pPr>
        <w:bidi/>
        <w:jc w:val="both"/>
        <w:rPr>
          <w:rFonts w:ascii="David" w:hAnsi="David" w:cs="David"/>
          <w:b/>
          <w:bCs/>
          <w:sz w:val="28"/>
          <w:szCs w:val="28"/>
          <w:rtl/>
        </w:rPr>
      </w:pPr>
      <w:r w:rsidRPr="006663EE">
        <w:rPr>
          <w:rFonts w:ascii="David" w:hAnsi="David" w:cs="David" w:hint="cs"/>
          <w:b/>
          <w:bCs/>
          <w:sz w:val="28"/>
          <w:szCs w:val="28"/>
          <w:rtl/>
        </w:rPr>
        <w:t>תקנה 4(א)</w:t>
      </w:r>
      <w:r>
        <w:rPr>
          <w:rFonts w:ascii="David" w:hAnsi="David" w:cs="David" w:hint="cs"/>
          <w:b/>
          <w:bCs/>
          <w:sz w:val="28"/>
          <w:szCs w:val="28"/>
          <w:rtl/>
        </w:rPr>
        <w:t>:</w:t>
      </w:r>
      <w:r w:rsidRPr="006663EE">
        <w:rPr>
          <w:rFonts w:ascii="David" w:hAnsi="David" w:cs="David" w:hint="cs"/>
          <w:b/>
          <w:bCs/>
          <w:sz w:val="28"/>
          <w:szCs w:val="28"/>
          <w:rtl/>
        </w:rPr>
        <w:t xml:space="preserve"> סנקציות בשל אי התייצבות</w:t>
      </w:r>
    </w:p>
    <w:p w:rsidR="006663EE" w:rsidRPr="006663EE" w:rsidRDefault="006663EE" w:rsidP="006663EE">
      <w:pPr>
        <w:bidi/>
        <w:jc w:val="both"/>
        <w:rPr>
          <w:rFonts w:ascii="David" w:hAnsi="David" w:cs="David"/>
          <w:sz w:val="28"/>
          <w:szCs w:val="28"/>
          <w:rtl/>
        </w:rPr>
      </w:pPr>
      <w:r>
        <w:rPr>
          <w:rFonts w:ascii="David" w:hAnsi="David" w:cs="David" w:hint="cs"/>
          <w:sz w:val="28"/>
          <w:szCs w:val="28"/>
          <w:rtl/>
        </w:rPr>
        <w:t xml:space="preserve"> יש להבהיר כי אי התייצבות של צד כלשהו תגרור הטלת הוצאות לטובת אוצר המדינה, בסכום משמעותי. אחרת יתכן שתוגש בקשה, רק כדי לצאת ידי חובה, כשאין כל כוונה של המבקש להתייצב, ועל ידי כך לרוקן את החוק מכל תוכן. רצוי שבהזמנה לישיבות מהו"ת יצויין הדבר.</w:t>
      </w:r>
    </w:p>
    <w:p w:rsidR="006663EE" w:rsidRDefault="006663EE" w:rsidP="006663EE">
      <w:pPr>
        <w:bidi/>
        <w:jc w:val="both"/>
        <w:rPr>
          <w:rFonts w:ascii="David" w:hAnsi="David" w:cs="David"/>
          <w:b/>
          <w:bCs/>
          <w:sz w:val="28"/>
          <w:szCs w:val="28"/>
          <w:rtl/>
        </w:rPr>
      </w:pPr>
    </w:p>
    <w:p w:rsidR="006663EE" w:rsidRDefault="006663EE" w:rsidP="006663EE">
      <w:pPr>
        <w:bidi/>
        <w:jc w:val="both"/>
        <w:rPr>
          <w:rFonts w:ascii="David" w:hAnsi="David" w:cs="David"/>
          <w:b/>
          <w:bCs/>
          <w:sz w:val="28"/>
          <w:szCs w:val="28"/>
          <w:rtl/>
        </w:rPr>
      </w:pPr>
    </w:p>
    <w:p w:rsidR="0021420F" w:rsidRPr="0021420F" w:rsidRDefault="0021420F" w:rsidP="006663EE">
      <w:pPr>
        <w:bidi/>
        <w:jc w:val="both"/>
        <w:rPr>
          <w:rFonts w:ascii="David" w:hAnsi="David" w:cs="David"/>
          <w:b/>
          <w:bCs/>
          <w:sz w:val="28"/>
          <w:szCs w:val="28"/>
          <w:rtl/>
        </w:rPr>
      </w:pPr>
      <w:r w:rsidRPr="0021420F">
        <w:rPr>
          <w:rFonts w:ascii="David" w:hAnsi="David" w:cs="David" w:hint="cs"/>
          <w:b/>
          <w:bCs/>
          <w:sz w:val="28"/>
          <w:szCs w:val="28"/>
          <w:rtl/>
        </w:rPr>
        <w:t>תקנה 5(ב): מעורבות של עורכי דין</w:t>
      </w:r>
    </w:p>
    <w:p w:rsidR="0021420F" w:rsidRDefault="0021420F" w:rsidP="006663EE">
      <w:pPr>
        <w:bidi/>
        <w:jc w:val="both"/>
        <w:rPr>
          <w:rFonts w:ascii="David" w:hAnsi="David" w:cs="David"/>
          <w:sz w:val="28"/>
          <w:szCs w:val="28"/>
          <w:rtl/>
        </w:rPr>
      </w:pPr>
      <w:r w:rsidRPr="0021420F">
        <w:rPr>
          <w:rFonts w:ascii="David" w:hAnsi="David" w:cs="David" w:hint="cs"/>
          <w:sz w:val="28"/>
          <w:szCs w:val="28"/>
          <w:rtl/>
        </w:rPr>
        <w:t xml:space="preserve">רצוי לאפשר גמישות מסויימת בהוראה שהצדדים יתייצבו </w:t>
      </w:r>
      <w:r>
        <w:rPr>
          <w:rFonts w:ascii="David" w:hAnsi="David" w:cs="David" w:hint="cs"/>
          <w:sz w:val="28"/>
          <w:szCs w:val="28"/>
          <w:rtl/>
        </w:rPr>
        <w:t>"</w:t>
      </w:r>
      <w:r w:rsidRPr="0021420F">
        <w:rPr>
          <w:rFonts w:ascii="David" w:hAnsi="David" w:cs="David" w:hint="cs"/>
          <w:sz w:val="28"/>
          <w:szCs w:val="28"/>
          <w:rtl/>
        </w:rPr>
        <w:t xml:space="preserve">לבדם", </w:t>
      </w:r>
      <w:r>
        <w:rPr>
          <w:rFonts w:ascii="David" w:hAnsi="David" w:cs="David" w:hint="cs"/>
          <w:sz w:val="28"/>
          <w:szCs w:val="28"/>
          <w:rtl/>
        </w:rPr>
        <w:t>כי יתכמו מקרים בהם יחסי הצדדים מתוחים, למשל אם התאפיינו באלימות או התעללות, עד כדי כך שניהול הדיון לא יהיה יעיל ללא תמיכה של הצדדים או מי מהם על ידי אדם אחר.</w:t>
      </w:r>
      <w:r w:rsidR="006663EE">
        <w:rPr>
          <w:rFonts w:ascii="David" w:hAnsi="David" w:cs="David" w:hint="cs"/>
          <w:sz w:val="28"/>
          <w:szCs w:val="28"/>
          <w:rtl/>
        </w:rPr>
        <w:t xml:space="preserve"> לכן ראוי שאנשי יחידת הסיוע יהיו מוסמכים,(אולי בנהלים) לאפשר במקרה המתאים ששני הצדדים יתייצבו עם בליווי אדם נוסף, אשר לא חייב להיות עורך-דין; ליווי צד אחד בלבד יכול שיתקיים בהסכמת הצד האחר.</w:t>
      </w:r>
    </w:p>
    <w:p w:rsidR="006663EE" w:rsidRDefault="006663EE" w:rsidP="006663EE">
      <w:pPr>
        <w:bidi/>
        <w:jc w:val="both"/>
        <w:rPr>
          <w:rFonts w:ascii="David" w:hAnsi="David" w:cs="David"/>
          <w:sz w:val="28"/>
          <w:szCs w:val="28"/>
          <w:rtl/>
        </w:rPr>
      </w:pPr>
    </w:p>
    <w:p w:rsidR="006663EE" w:rsidRDefault="006663EE" w:rsidP="006663EE">
      <w:pPr>
        <w:bidi/>
        <w:jc w:val="both"/>
        <w:rPr>
          <w:rFonts w:ascii="David" w:hAnsi="David" w:cs="David"/>
          <w:b/>
          <w:bCs/>
          <w:sz w:val="28"/>
          <w:szCs w:val="28"/>
          <w:rtl/>
        </w:rPr>
      </w:pPr>
      <w:r>
        <w:rPr>
          <w:rFonts w:ascii="David" w:hAnsi="David" w:cs="David" w:hint="cs"/>
          <w:b/>
          <w:bCs/>
          <w:sz w:val="28"/>
          <w:szCs w:val="28"/>
          <w:rtl/>
        </w:rPr>
        <w:t>תקנה 5(ד): צירוף אדם אחר לפגישה</w:t>
      </w:r>
    </w:p>
    <w:p w:rsidR="006663EE" w:rsidRDefault="006663EE" w:rsidP="006663EE">
      <w:pPr>
        <w:bidi/>
        <w:jc w:val="both"/>
        <w:rPr>
          <w:rFonts w:ascii="David" w:hAnsi="David" w:cs="David"/>
          <w:sz w:val="28"/>
          <w:szCs w:val="28"/>
          <w:rtl/>
        </w:rPr>
      </w:pPr>
      <w:r>
        <w:rPr>
          <w:rFonts w:ascii="David" w:hAnsi="David" w:cs="David" w:hint="cs"/>
          <w:sz w:val="28"/>
          <w:szCs w:val="28"/>
          <w:rtl/>
        </w:rPr>
        <w:t xml:space="preserve">אין מקום לאפשר לצד אחד להטיל וטו על נוכחות אדם מטעם הצד האחר. </w:t>
      </w:r>
    </w:p>
    <w:p w:rsidR="006663EE" w:rsidRDefault="006663EE" w:rsidP="006663EE">
      <w:pPr>
        <w:bidi/>
        <w:jc w:val="both"/>
        <w:rPr>
          <w:rFonts w:ascii="David" w:hAnsi="David" w:cs="David"/>
          <w:sz w:val="28"/>
          <w:szCs w:val="28"/>
          <w:rtl/>
        </w:rPr>
      </w:pPr>
    </w:p>
    <w:p w:rsidR="006663EE" w:rsidRDefault="006663EE" w:rsidP="006663EE">
      <w:pPr>
        <w:bidi/>
        <w:jc w:val="both"/>
        <w:rPr>
          <w:rFonts w:ascii="David" w:hAnsi="David" w:cs="David"/>
          <w:b/>
          <w:bCs/>
          <w:sz w:val="28"/>
          <w:szCs w:val="28"/>
          <w:rtl/>
        </w:rPr>
      </w:pPr>
      <w:r>
        <w:rPr>
          <w:rFonts w:ascii="David" w:hAnsi="David" w:cs="David" w:hint="cs"/>
          <w:b/>
          <w:bCs/>
          <w:sz w:val="28"/>
          <w:szCs w:val="28"/>
          <w:rtl/>
        </w:rPr>
        <w:t>תקנה 5(ז): מעורבות של קטין</w:t>
      </w:r>
    </w:p>
    <w:p w:rsidR="006663EE" w:rsidRDefault="006663EE" w:rsidP="006663EE">
      <w:pPr>
        <w:bidi/>
        <w:jc w:val="both"/>
        <w:rPr>
          <w:rFonts w:ascii="David" w:hAnsi="David" w:cs="David"/>
          <w:sz w:val="28"/>
          <w:szCs w:val="28"/>
          <w:rtl/>
        </w:rPr>
      </w:pPr>
      <w:r>
        <w:rPr>
          <w:rFonts w:ascii="David" w:hAnsi="David" w:cs="David" w:hint="cs"/>
          <w:sz w:val="28"/>
          <w:szCs w:val="28"/>
          <w:rtl/>
        </w:rPr>
        <w:t>האפוטרופסות על ילד היא משותפת לשני ההורים, ולכן נוכחותו של ילד ביחידת הסיוע ללא הסכמת אחד ההורים יכולה להיעשות רק לפי צו שיפוטי.</w:t>
      </w:r>
    </w:p>
    <w:p w:rsidR="006663EE" w:rsidRDefault="006663EE" w:rsidP="006663EE">
      <w:pPr>
        <w:bidi/>
        <w:jc w:val="both"/>
        <w:rPr>
          <w:rFonts w:ascii="David" w:hAnsi="David" w:cs="David"/>
          <w:sz w:val="28"/>
          <w:szCs w:val="28"/>
          <w:rtl/>
        </w:rPr>
      </w:pPr>
      <w:r>
        <w:rPr>
          <w:rFonts w:ascii="David" w:hAnsi="David" w:cs="David" w:hint="cs"/>
          <w:sz w:val="28"/>
          <w:szCs w:val="28"/>
          <w:rtl/>
        </w:rPr>
        <w:t>בכל מקרה יש להחיל במפורש הוראות פרק כ' 2 לתקנות סד"א בדבר שמיעת הילד על שיחה במסגרת מהו"ת.</w:t>
      </w:r>
    </w:p>
    <w:p w:rsidR="00AA5674" w:rsidRDefault="00AA5674" w:rsidP="00AA5674">
      <w:pPr>
        <w:bidi/>
        <w:jc w:val="both"/>
        <w:rPr>
          <w:rFonts w:ascii="David" w:hAnsi="David" w:cs="David"/>
          <w:sz w:val="28"/>
          <w:szCs w:val="28"/>
          <w:rtl/>
        </w:rPr>
      </w:pPr>
    </w:p>
    <w:p w:rsidR="00AA5674" w:rsidRDefault="00AA5674" w:rsidP="00AA5674">
      <w:pPr>
        <w:bidi/>
        <w:jc w:val="both"/>
        <w:rPr>
          <w:rFonts w:ascii="David" w:hAnsi="David" w:cs="David"/>
          <w:b/>
          <w:bCs/>
          <w:sz w:val="28"/>
          <w:szCs w:val="28"/>
          <w:rtl/>
        </w:rPr>
      </w:pPr>
      <w:r>
        <w:rPr>
          <w:rFonts w:ascii="David" w:hAnsi="David" w:cs="David" w:hint="cs"/>
          <w:b/>
          <w:bCs/>
          <w:sz w:val="28"/>
          <w:szCs w:val="28"/>
          <w:rtl/>
        </w:rPr>
        <w:t>תקנה 8(ד): בקשה להפסיק את ההליך</w:t>
      </w:r>
    </w:p>
    <w:p w:rsidR="00AA5674" w:rsidRDefault="00AA5674" w:rsidP="00AA5674">
      <w:pPr>
        <w:bidi/>
        <w:jc w:val="both"/>
        <w:rPr>
          <w:rFonts w:ascii="David" w:hAnsi="David" w:cs="David"/>
          <w:sz w:val="28"/>
          <w:szCs w:val="28"/>
          <w:rtl/>
        </w:rPr>
      </w:pPr>
      <w:r>
        <w:rPr>
          <w:rFonts w:ascii="David" w:hAnsi="David" w:cs="David" w:hint="cs"/>
          <w:sz w:val="28"/>
          <w:szCs w:val="28"/>
          <w:rtl/>
        </w:rPr>
        <w:t xml:space="preserve"> יש לקבוע כי המועד להגשת תובענה יהיה מיום המצאת הבקשה לפסיק את ההליך לידי הצד השני.</w:t>
      </w:r>
    </w:p>
    <w:p w:rsidR="00371CAF" w:rsidRDefault="00371CAF" w:rsidP="00371CAF">
      <w:pPr>
        <w:bidi/>
        <w:jc w:val="both"/>
        <w:rPr>
          <w:rFonts w:ascii="David" w:hAnsi="David" w:cs="David"/>
          <w:sz w:val="28"/>
          <w:szCs w:val="28"/>
          <w:rtl/>
        </w:rPr>
      </w:pPr>
    </w:p>
    <w:p w:rsidR="00371CAF" w:rsidRDefault="00371CAF" w:rsidP="00371CAF">
      <w:pPr>
        <w:bidi/>
        <w:jc w:val="both"/>
        <w:rPr>
          <w:rFonts w:ascii="David" w:hAnsi="David" w:cs="David"/>
          <w:b/>
          <w:bCs/>
          <w:sz w:val="28"/>
          <w:szCs w:val="28"/>
          <w:rtl/>
        </w:rPr>
      </w:pPr>
      <w:r>
        <w:rPr>
          <w:rFonts w:ascii="David" w:hAnsi="David" w:cs="David" w:hint="cs"/>
          <w:b/>
          <w:bCs/>
          <w:sz w:val="28"/>
          <w:szCs w:val="28"/>
          <w:rtl/>
        </w:rPr>
        <w:t>תקנות 10-14: בקשות לסעד ולסעד דחוף  אי הפסקת הליכי מהו"ת</w:t>
      </w:r>
    </w:p>
    <w:p w:rsidR="00371CAF" w:rsidRDefault="00371CAF" w:rsidP="00371CAF">
      <w:pPr>
        <w:bidi/>
        <w:jc w:val="both"/>
        <w:rPr>
          <w:rFonts w:ascii="David" w:hAnsi="David" w:cs="David"/>
          <w:sz w:val="28"/>
          <w:szCs w:val="28"/>
          <w:rtl/>
        </w:rPr>
      </w:pPr>
      <w:r>
        <w:rPr>
          <w:rFonts w:ascii="David" w:hAnsi="David" w:cs="David" w:hint="cs"/>
          <w:sz w:val="28"/>
          <w:szCs w:val="28"/>
          <w:rtl/>
        </w:rPr>
        <w:t>כדי למנוע נסיוניות לעקוף את החוק, יש לקבוע מפורשות כי הגשת בקשה לסעד זמני את לסעד דחוף איננה פוגעת בחובת הצדדים לקייים את הליכי המהו"ת, וכי רק החלטה מפורשת של הערכאה השיפוטית תפטור מהגשת בקשה על פי תקנה ,2 או המשך טיפול בבקשה שכבר הוגשה בזמן הגשת בקשה לסעד זמני או דחוף.</w:t>
      </w:r>
    </w:p>
    <w:p w:rsidR="00B71A16" w:rsidRDefault="00B71A16" w:rsidP="00B71A16">
      <w:pPr>
        <w:bidi/>
        <w:jc w:val="both"/>
        <w:rPr>
          <w:rFonts w:ascii="David" w:hAnsi="David" w:cs="David"/>
          <w:sz w:val="28"/>
          <w:szCs w:val="28"/>
          <w:rtl/>
        </w:rPr>
      </w:pPr>
    </w:p>
    <w:p w:rsidR="00B71A16" w:rsidRDefault="00B71A16" w:rsidP="00B71A16">
      <w:pPr>
        <w:bidi/>
        <w:jc w:val="both"/>
        <w:rPr>
          <w:rFonts w:ascii="David" w:hAnsi="David" w:cs="David"/>
          <w:b/>
          <w:bCs/>
          <w:sz w:val="28"/>
          <w:szCs w:val="28"/>
          <w:rtl/>
        </w:rPr>
      </w:pPr>
      <w:r>
        <w:rPr>
          <w:rFonts w:ascii="David" w:hAnsi="David" w:cs="David" w:hint="cs"/>
          <w:b/>
          <w:bCs/>
          <w:sz w:val="28"/>
          <w:szCs w:val="28"/>
          <w:rtl/>
        </w:rPr>
        <w:t xml:space="preserve">תקנה 15(א)(4): במקום "החזקת ילדים והסדרי קשר" </w:t>
      </w:r>
      <w:r w:rsidRPr="00B71A16">
        <w:rPr>
          <w:rFonts w:ascii="David" w:hAnsi="David" w:cs="David" w:hint="cs"/>
          <w:b/>
          <w:bCs/>
          <w:sz w:val="28"/>
          <w:szCs w:val="28"/>
          <w:rtl/>
        </w:rPr>
        <w:t xml:space="preserve">צ"ל </w:t>
      </w:r>
      <w:r>
        <w:rPr>
          <w:rFonts w:ascii="David" w:hAnsi="David" w:cs="David" w:hint="cs"/>
          <w:b/>
          <w:bCs/>
          <w:sz w:val="28"/>
          <w:szCs w:val="28"/>
          <w:rtl/>
        </w:rPr>
        <w:t>"</w:t>
      </w:r>
      <w:r w:rsidRPr="00B71A16">
        <w:rPr>
          <w:rFonts w:ascii="David" w:hAnsi="David" w:cs="David" w:hint="cs"/>
          <w:b/>
          <w:bCs/>
          <w:sz w:val="28"/>
          <w:szCs w:val="28"/>
          <w:rtl/>
        </w:rPr>
        <w:t>הסדרי שהות הילדים אצל כל אחד מההורים</w:t>
      </w:r>
      <w:r>
        <w:rPr>
          <w:rFonts w:ascii="David" w:hAnsi="David" w:cs="David" w:hint="cs"/>
          <w:b/>
          <w:bCs/>
          <w:sz w:val="28"/>
          <w:szCs w:val="28"/>
          <w:rtl/>
        </w:rPr>
        <w:t>"</w:t>
      </w:r>
      <w:r w:rsidRPr="00B71A16">
        <w:rPr>
          <w:rFonts w:ascii="David" w:hAnsi="David" w:cs="David" w:hint="cs"/>
          <w:b/>
          <w:bCs/>
          <w:sz w:val="28"/>
          <w:szCs w:val="28"/>
          <w:rtl/>
        </w:rPr>
        <w:t xml:space="preserve">. </w:t>
      </w:r>
    </w:p>
    <w:p w:rsidR="00B71A16" w:rsidRDefault="00B71A16" w:rsidP="00B71A16">
      <w:pPr>
        <w:bidi/>
        <w:jc w:val="both"/>
        <w:rPr>
          <w:rFonts w:ascii="David" w:hAnsi="David" w:cs="David"/>
          <w:sz w:val="28"/>
          <w:szCs w:val="28"/>
          <w:rtl/>
        </w:rPr>
      </w:pPr>
      <w:r>
        <w:rPr>
          <w:rFonts w:ascii="David" w:hAnsi="David" w:cs="David" w:hint="cs"/>
          <w:sz w:val="28"/>
          <w:szCs w:val="28"/>
          <w:rtl/>
        </w:rPr>
        <w:t xml:space="preserve">ההסדר הזמני איננה לעניים החזקת ילדים </w:t>
      </w:r>
      <w:r>
        <w:rPr>
          <w:rFonts w:ascii="David" w:hAnsi="David" w:cs="David"/>
          <w:sz w:val="28"/>
          <w:szCs w:val="28"/>
          <w:rtl/>
        </w:rPr>
        <w:t>–</w:t>
      </w:r>
      <w:r>
        <w:rPr>
          <w:rFonts w:ascii="David" w:hAnsi="David" w:cs="David" w:hint="cs"/>
          <w:sz w:val="28"/>
          <w:szCs w:val="28"/>
          <w:rtl/>
        </w:rPr>
        <w:t xml:space="preserve"> מונח זה יש לבטל בכל מקרה, כמו "משמורת" </w:t>
      </w:r>
      <w:r>
        <w:rPr>
          <w:rFonts w:ascii="David" w:hAnsi="David" w:cs="David"/>
          <w:sz w:val="28"/>
          <w:szCs w:val="28"/>
          <w:rtl/>
        </w:rPr>
        <w:t>–</w:t>
      </w:r>
      <w:r>
        <w:rPr>
          <w:rFonts w:ascii="David" w:hAnsi="David" w:cs="David" w:hint="cs"/>
          <w:sz w:val="28"/>
          <w:szCs w:val="28"/>
          <w:rtl/>
        </w:rPr>
        <w:t xml:space="preserve"> אלא לקביעת הסדרים זמניים עד יישוב הסכסוך.</w:t>
      </w:r>
    </w:p>
    <w:p w:rsidR="006666E3" w:rsidRDefault="006666E3" w:rsidP="006666E3">
      <w:pPr>
        <w:bidi/>
        <w:jc w:val="both"/>
        <w:rPr>
          <w:rFonts w:ascii="David" w:hAnsi="David" w:cs="David"/>
          <w:sz w:val="28"/>
          <w:szCs w:val="28"/>
          <w:rtl/>
        </w:rPr>
      </w:pPr>
    </w:p>
    <w:p w:rsidR="006666E3" w:rsidRDefault="006666E3" w:rsidP="006666E3">
      <w:pPr>
        <w:bidi/>
        <w:jc w:val="both"/>
        <w:rPr>
          <w:rFonts w:ascii="David" w:hAnsi="David" w:cs="David"/>
          <w:b/>
          <w:bCs/>
          <w:sz w:val="28"/>
          <w:szCs w:val="28"/>
          <w:rtl/>
        </w:rPr>
      </w:pPr>
      <w:r>
        <w:rPr>
          <w:rFonts w:ascii="David" w:hAnsi="David" w:cs="David" w:hint="cs"/>
          <w:b/>
          <w:bCs/>
          <w:sz w:val="28"/>
          <w:szCs w:val="28"/>
          <w:rtl/>
        </w:rPr>
        <w:t>תקנה 15(א)(7): בקשת אשה ששוהה במקלט.</w:t>
      </w:r>
    </w:p>
    <w:p w:rsidR="006666E3" w:rsidRDefault="006666E3" w:rsidP="006666E3">
      <w:pPr>
        <w:bidi/>
        <w:jc w:val="both"/>
        <w:rPr>
          <w:rFonts w:ascii="David" w:hAnsi="David" w:cs="David"/>
          <w:sz w:val="28"/>
          <w:szCs w:val="28"/>
          <w:rtl/>
        </w:rPr>
      </w:pPr>
      <w:r>
        <w:rPr>
          <w:rFonts w:ascii="David" w:hAnsi="David" w:cs="David" w:hint="cs"/>
          <w:sz w:val="28"/>
          <w:szCs w:val="28"/>
          <w:rtl/>
        </w:rPr>
        <w:t>אין ליתן שיקול דעת, שהוא שיפוטי, ליחידת הסיוע. אין להחריג מקרה זה מהמקרים האחרים הנידונים בתקנה, ועל פי תקנת משנה (ד).</w:t>
      </w:r>
    </w:p>
    <w:p w:rsidR="006666E3" w:rsidRDefault="006666E3" w:rsidP="006666E3">
      <w:pPr>
        <w:bidi/>
        <w:jc w:val="both"/>
        <w:rPr>
          <w:rFonts w:ascii="David" w:hAnsi="David" w:cs="David"/>
          <w:sz w:val="28"/>
          <w:szCs w:val="28"/>
          <w:rtl/>
        </w:rPr>
      </w:pPr>
    </w:p>
    <w:p w:rsidR="006666E3" w:rsidRDefault="006666E3" w:rsidP="006666E3">
      <w:pPr>
        <w:bidi/>
        <w:jc w:val="both"/>
        <w:rPr>
          <w:rFonts w:ascii="David" w:hAnsi="David" w:cs="David"/>
          <w:b/>
          <w:bCs/>
          <w:sz w:val="28"/>
          <w:szCs w:val="28"/>
          <w:rtl/>
        </w:rPr>
      </w:pPr>
      <w:r>
        <w:rPr>
          <w:rFonts w:ascii="David" w:hAnsi="David" w:cs="David" w:hint="cs"/>
          <w:b/>
          <w:bCs/>
          <w:sz w:val="28"/>
          <w:szCs w:val="28"/>
          <w:rtl/>
        </w:rPr>
        <w:t>תקנה 15(ה): הדרישה לעמדת יחידת הסיוע.</w:t>
      </w:r>
    </w:p>
    <w:p w:rsidR="006666E3" w:rsidRDefault="006666E3" w:rsidP="00E74E60">
      <w:pPr>
        <w:bidi/>
        <w:jc w:val="both"/>
        <w:rPr>
          <w:rFonts w:ascii="David" w:hAnsi="David" w:cs="David"/>
          <w:sz w:val="28"/>
          <w:szCs w:val="28"/>
          <w:rtl/>
        </w:rPr>
      </w:pPr>
      <w:r>
        <w:rPr>
          <w:rFonts w:ascii="David" w:hAnsi="David" w:cs="David" w:hint="cs"/>
          <w:sz w:val="28"/>
          <w:szCs w:val="28"/>
          <w:rtl/>
        </w:rPr>
        <w:t xml:space="preserve"> יש לאפשר לערכאה השיפוטית לדון בבקשות שבסעיפי משנה (א) ו-(ג) במעמד צד אחד, על פי הכללים המקובלים, למקרה שהדחיפות מחייבת זאת, תוך </w:t>
      </w:r>
      <w:r w:rsidR="00E74E60">
        <w:rPr>
          <w:rFonts w:ascii="David" w:hAnsi="David" w:cs="David" w:hint="cs"/>
          <w:sz w:val="28"/>
          <w:szCs w:val="28"/>
          <w:rtl/>
        </w:rPr>
        <w:t>פניה חיחידת הסיוע לקבל המלצה, קביעת המצאה אישית לצד השני, ו</w:t>
      </w:r>
      <w:r>
        <w:rPr>
          <w:rFonts w:ascii="David" w:hAnsi="David" w:cs="David" w:hint="cs"/>
          <w:sz w:val="28"/>
          <w:szCs w:val="28"/>
          <w:rtl/>
        </w:rPr>
        <w:t xml:space="preserve">קביעת דיון בבקשה במעמד הצדדים </w:t>
      </w:r>
      <w:r w:rsidR="00E74E60">
        <w:rPr>
          <w:rFonts w:ascii="David" w:hAnsi="David" w:cs="David" w:hint="cs"/>
          <w:sz w:val="28"/>
          <w:szCs w:val="28"/>
          <w:rtl/>
        </w:rPr>
        <w:t>תוך 7 ימים מהגשת הבקשה.</w:t>
      </w:r>
    </w:p>
    <w:p w:rsidR="00E74E60" w:rsidRDefault="00E74E60" w:rsidP="00E74E60">
      <w:pPr>
        <w:bidi/>
        <w:jc w:val="both"/>
        <w:rPr>
          <w:rFonts w:ascii="David" w:hAnsi="David" w:cs="David"/>
          <w:sz w:val="28"/>
          <w:szCs w:val="28"/>
          <w:rtl/>
        </w:rPr>
      </w:pPr>
    </w:p>
    <w:p w:rsidR="00E74E60" w:rsidRDefault="00E74E60" w:rsidP="00E74E60">
      <w:pPr>
        <w:bidi/>
        <w:jc w:val="both"/>
        <w:rPr>
          <w:rFonts w:ascii="David" w:hAnsi="David" w:cs="David"/>
          <w:b/>
          <w:bCs/>
          <w:sz w:val="28"/>
          <w:szCs w:val="28"/>
          <w:rtl/>
        </w:rPr>
      </w:pPr>
      <w:r>
        <w:rPr>
          <w:rFonts w:ascii="David" w:hAnsi="David" w:cs="David" w:hint="cs"/>
          <w:b/>
          <w:bCs/>
          <w:sz w:val="28"/>
          <w:szCs w:val="28"/>
          <w:rtl/>
        </w:rPr>
        <w:t>תקנה 17(ב): בקשות בעניין אלימות והטרדה מאיימת</w:t>
      </w:r>
    </w:p>
    <w:p w:rsidR="00E74E60" w:rsidRDefault="00E74E60" w:rsidP="00E74E60">
      <w:pPr>
        <w:bidi/>
        <w:jc w:val="both"/>
        <w:rPr>
          <w:rFonts w:ascii="David" w:hAnsi="David" w:cs="David"/>
          <w:sz w:val="28"/>
          <w:szCs w:val="28"/>
          <w:rtl/>
        </w:rPr>
      </w:pPr>
      <w:r>
        <w:rPr>
          <w:rFonts w:ascii="David" w:hAnsi="David" w:cs="David" w:hint="cs"/>
          <w:sz w:val="28"/>
          <w:szCs w:val="28"/>
          <w:rtl/>
        </w:rPr>
        <w:t>יש להוסיף ולקבוע במפורש שהגשת בקשה על פי חוק למניעת אלימות במשפחה, או חוק מניעת הטרדה מאיימת אין בה, בפני עצמה, כדי להפסיק הליכים על פי החוק הנוכחי, אשר כבר החלו.</w:t>
      </w:r>
    </w:p>
    <w:p w:rsidR="00AA5674" w:rsidRDefault="00AA5674" w:rsidP="00AA5674">
      <w:pPr>
        <w:bidi/>
        <w:jc w:val="both"/>
        <w:rPr>
          <w:rFonts w:ascii="David" w:hAnsi="David" w:cs="David"/>
          <w:sz w:val="28"/>
          <w:szCs w:val="28"/>
          <w:rtl/>
        </w:rPr>
      </w:pPr>
    </w:p>
    <w:p w:rsidR="00371CAF" w:rsidRDefault="00371CAF" w:rsidP="00AA5674">
      <w:pPr>
        <w:bidi/>
        <w:jc w:val="both"/>
        <w:rPr>
          <w:rFonts w:ascii="David" w:hAnsi="David" w:cs="David"/>
          <w:b/>
          <w:bCs/>
          <w:sz w:val="28"/>
          <w:szCs w:val="28"/>
          <w:rtl/>
        </w:rPr>
      </w:pPr>
      <w:r>
        <w:rPr>
          <w:rFonts w:ascii="David" w:hAnsi="David" w:cs="David" w:hint="cs"/>
          <w:b/>
          <w:bCs/>
          <w:sz w:val="28"/>
          <w:szCs w:val="28"/>
          <w:rtl/>
        </w:rPr>
        <w:t>כללית: הוצאות לאוצר המדינה</w:t>
      </w:r>
    </w:p>
    <w:p w:rsidR="00371CAF" w:rsidRPr="00371CAF" w:rsidRDefault="00371CAF" w:rsidP="00371CAF">
      <w:pPr>
        <w:bidi/>
        <w:jc w:val="both"/>
        <w:rPr>
          <w:rFonts w:ascii="David" w:hAnsi="David" w:cs="David"/>
          <w:sz w:val="28"/>
          <w:szCs w:val="28"/>
          <w:rtl/>
        </w:rPr>
      </w:pPr>
      <w:r>
        <w:rPr>
          <w:rFonts w:ascii="David" w:hAnsi="David" w:cs="David" w:hint="cs"/>
          <w:sz w:val="28"/>
          <w:szCs w:val="28"/>
          <w:rtl/>
        </w:rPr>
        <w:lastRenderedPageBreak/>
        <w:t>יש להוסיף הוראה לפי בכל מקום שערכאת שיפוטית מוסמכת להטיל הוצאות, המשמעות היא גם הוצאות לאוצר המדינה. דבר זה ישקף את העלות של זמן מזכירות וזמן שיפוטי שמבוזבזים על בקשות סרק או בקשות שלא הוגשו כדין.</w:t>
      </w:r>
    </w:p>
    <w:p w:rsidR="00371CAF" w:rsidRDefault="00371CAF" w:rsidP="00371CAF">
      <w:pPr>
        <w:bidi/>
        <w:jc w:val="both"/>
        <w:rPr>
          <w:rFonts w:ascii="David" w:hAnsi="David" w:cs="David"/>
          <w:sz w:val="28"/>
          <w:szCs w:val="28"/>
          <w:rtl/>
        </w:rPr>
      </w:pPr>
    </w:p>
    <w:p w:rsidR="00AA5674" w:rsidRDefault="00AA5674" w:rsidP="00371CAF">
      <w:pPr>
        <w:bidi/>
        <w:jc w:val="both"/>
        <w:rPr>
          <w:rFonts w:ascii="David" w:hAnsi="David" w:cs="David"/>
          <w:b/>
          <w:bCs/>
          <w:sz w:val="28"/>
          <w:szCs w:val="28"/>
          <w:rtl/>
        </w:rPr>
      </w:pPr>
      <w:r>
        <w:rPr>
          <w:rFonts w:ascii="David" w:hAnsi="David" w:cs="David" w:hint="cs"/>
          <w:b/>
          <w:bCs/>
          <w:sz w:val="28"/>
          <w:szCs w:val="28"/>
          <w:rtl/>
        </w:rPr>
        <w:t>כללית: הסמכת רשם</w:t>
      </w:r>
    </w:p>
    <w:p w:rsidR="00371CAF" w:rsidRDefault="00371CAF" w:rsidP="00371CAF">
      <w:pPr>
        <w:bidi/>
        <w:jc w:val="both"/>
        <w:rPr>
          <w:rFonts w:ascii="David" w:hAnsi="David" w:cs="David"/>
          <w:b/>
          <w:bCs/>
          <w:sz w:val="28"/>
          <w:szCs w:val="28"/>
          <w:rtl/>
        </w:rPr>
      </w:pPr>
    </w:p>
    <w:p w:rsidR="00371CAF" w:rsidRDefault="00371CAF" w:rsidP="00371CAF">
      <w:pPr>
        <w:bidi/>
        <w:jc w:val="both"/>
        <w:rPr>
          <w:rFonts w:ascii="David" w:hAnsi="David" w:cs="David"/>
          <w:b/>
          <w:bCs/>
          <w:sz w:val="28"/>
          <w:szCs w:val="28"/>
          <w:rtl/>
        </w:rPr>
      </w:pPr>
    </w:p>
    <w:p w:rsidR="00AA5674" w:rsidRPr="00AA5674" w:rsidRDefault="00AA5674" w:rsidP="00AA5674">
      <w:pPr>
        <w:bidi/>
        <w:jc w:val="both"/>
        <w:rPr>
          <w:rFonts w:ascii="David" w:hAnsi="David" w:cs="David"/>
          <w:sz w:val="28"/>
          <w:szCs w:val="28"/>
          <w:rtl/>
        </w:rPr>
      </w:pPr>
      <w:r>
        <w:rPr>
          <w:rFonts w:ascii="David" w:hAnsi="David" w:cs="David" w:hint="cs"/>
          <w:sz w:val="28"/>
          <w:szCs w:val="28"/>
          <w:rtl/>
        </w:rPr>
        <w:t>על מנת לייעל את ההליכים, יש לקבוע במפורש שכל סכסוך בדבר הוראותיה או הכרעות</w:t>
      </w:r>
    </w:p>
    <w:p w:rsidR="006663EE" w:rsidRDefault="00AA5674" w:rsidP="006663EE">
      <w:pPr>
        <w:bidi/>
        <w:jc w:val="both"/>
        <w:rPr>
          <w:rFonts w:ascii="David" w:hAnsi="David" w:cs="David"/>
          <w:sz w:val="28"/>
          <w:szCs w:val="28"/>
          <w:rtl/>
        </w:rPr>
      </w:pPr>
      <w:r>
        <w:rPr>
          <w:rFonts w:ascii="David" w:hAnsi="David" w:cs="David" w:hint="cs"/>
          <w:sz w:val="28"/>
          <w:szCs w:val="28"/>
          <w:rtl/>
        </w:rPr>
        <w:t>יה של יחידת הסיוע במסגרת ההליכים על פי החוק יובאו בפני רשם בית המשפט או גורם שיפוטי של ערכאה אחרת, לפי העניין, ע"י הגשת בקשה תוך שלושה ימי עבודה ממועד מתן ההוראה או ההכרעה; יש לקבוע כי רשם ידון בבקשה תוך שלושה ימי עבודה ממועד הגשתה אלא אם כן יחליט תוך פרק זמן זה שיש לקיים ב=דיון, כי אז הדיון יתקיים תוך ששה ימי עבודה לאחר הגשת הבקשה, וההחטה תינתן תוך שלושה ימי עבודה נוספים. יש לקבוע כי פרקי הזמן שנקבעו לסיום תהליך המהו"ת יוארכו במספר הימים כאמור לעיל.</w:t>
      </w:r>
    </w:p>
    <w:p w:rsidR="00ED4FAD" w:rsidRDefault="00ED4FAD" w:rsidP="00ED4FAD">
      <w:pPr>
        <w:bidi/>
        <w:jc w:val="both"/>
        <w:rPr>
          <w:rFonts w:ascii="David" w:hAnsi="David" w:cs="David"/>
          <w:sz w:val="28"/>
          <w:szCs w:val="28"/>
          <w:rtl/>
        </w:rPr>
      </w:pPr>
    </w:p>
    <w:p w:rsidR="00ED4FAD" w:rsidRPr="00ED4FAD" w:rsidRDefault="00ED4FAD" w:rsidP="00ED4FAD">
      <w:pPr>
        <w:bidi/>
        <w:jc w:val="both"/>
        <w:rPr>
          <w:rFonts w:ascii="David" w:hAnsi="David" w:cs="David"/>
          <w:b/>
          <w:bCs/>
          <w:sz w:val="28"/>
          <w:szCs w:val="28"/>
          <w:rtl/>
        </w:rPr>
      </w:pPr>
      <w:r w:rsidRPr="00ED4FAD">
        <w:rPr>
          <w:rFonts w:ascii="David" w:hAnsi="David" w:cs="David" w:hint="cs"/>
          <w:b/>
          <w:bCs/>
          <w:sz w:val="28"/>
          <w:szCs w:val="28"/>
          <w:rtl/>
        </w:rPr>
        <w:t>פיליפ מרכוס, שופט בית המשפט לענייני משפחה בירושלים (בדימוס)</w:t>
      </w:r>
    </w:p>
    <w:p w:rsidR="00ED4FAD" w:rsidRPr="00ED4FAD" w:rsidRDefault="00BB4D08" w:rsidP="00ED4FAD">
      <w:pPr>
        <w:bidi/>
        <w:jc w:val="both"/>
        <w:rPr>
          <w:rFonts w:ascii="David" w:hAnsi="David" w:cs="David"/>
          <w:b/>
          <w:bCs/>
          <w:sz w:val="28"/>
          <w:szCs w:val="28"/>
        </w:rPr>
      </w:pPr>
      <w:hyperlink r:id="rId4" w:history="1">
        <w:r w:rsidR="00ED4FAD" w:rsidRPr="00ED4FAD">
          <w:rPr>
            <w:rStyle w:val="Hyperlink"/>
            <w:rFonts w:ascii="David" w:hAnsi="David" w:cs="David"/>
            <w:b/>
            <w:bCs/>
            <w:sz w:val="28"/>
            <w:szCs w:val="28"/>
          </w:rPr>
          <w:t>philipmarcusjurist@gmail.co</w:t>
        </w:r>
      </w:hyperlink>
      <w:r w:rsidR="00ED4FAD" w:rsidRPr="00ED4FAD">
        <w:rPr>
          <w:rFonts w:ascii="David" w:hAnsi="David" w:cs="David"/>
          <w:b/>
          <w:bCs/>
          <w:sz w:val="28"/>
          <w:szCs w:val="28"/>
        </w:rPr>
        <w:t>,</w:t>
      </w:r>
    </w:p>
    <w:p w:rsidR="00ED4FAD" w:rsidRPr="00ED4FAD" w:rsidRDefault="00ED4FAD" w:rsidP="00ED4FAD">
      <w:pPr>
        <w:bidi/>
        <w:jc w:val="both"/>
        <w:rPr>
          <w:rFonts w:ascii="David" w:hAnsi="David" w:cs="David"/>
          <w:b/>
          <w:bCs/>
          <w:sz w:val="28"/>
          <w:szCs w:val="28"/>
        </w:rPr>
      </w:pPr>
      <w:r w:rsidRPr="00ED4FAD">
        <w:rPr>
          <w:rFonts w:ascii="David" w:hAnsi="David" w:cs="David"/>
          <w:b/>
          <w:bCs/>
          <w:sz w:val="28"/>
          <w:szCs w:val="28"/>
        </w:rPr>
        <w:t>054-4455703</w:t>
      </w:r>
    </w:p>
    <w:p w:rsidR="0021420F" w:rsidRPr="0021420F" w:rsidRDefault="0021420F" w:rsidP="0021420F">
      <w:pPr>
        <w:bidi/>
        <w:rPr>
          <w:rFonts w:ascii="David" w:hAnsi="David" w:cs="David"/>
          <w:b/>
          <w:bCs/>
          <w:sz w:val="28"/>
          <w:szCs w:val="28"/>
          <w:u w:val="single"/>
        </w:rPr>
      </w:pPr>
    </w:p>
    <w:sectPr w:rsidR="0021420F" w:rsidRPr="0021420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B10"/>
    <w:rsid w:val="0021420F"/>
    <w:rsid w:val="002B1A2C"/>
    <w:rsid w:val="00371CAF"/>
    <w:rsid w:val="005C0B10"/>
    <w:rsid w:val="006663EE"/>
    <w:rsid w:val="006666E3"/>
    <w:rsid w:val="006F294A"/>
    <w:rsid w:val="00AA5674"/>
    <w:rsid w:val="00B71A16"/>
    <w:rsid w:val="00BB4D08"/>
    <w:rsid w:val="00E74E60"/>
    <w:rsid w:val="00ED4FA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A5A7B3-5704-4CD5-89B9-8030940C2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ED4FAD"/>
    <w:pPr>
      <w:keepNext/>
      <w:keepLines/>
      <w:widowControl w:val="0"/>
      <w:autoSpaceDE w:val="0"/>
      <w:autoSpaceDN w:val="0"/>
      <w:bidi/>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character" w:styleId="Hyperlink">
    <w:name w:val="Hyperlink"/>
    <w:basedOn w:val="a0"/>
    <w:uiPriority w:val="99"/>
    <w:unhideWhenUsed/>
    <w:rsid w:val="00ED4F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philipmarcusjurist@gmail.co" TargetMode="Externa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DCDFF3-5A24-439E-B924-56F655251F7D}"/>
</file>

<file path=customXml/itemProps2.xml><?xml version="1.0" encoding="utf-8"?>
<ds:datastoreItem xmlns:ds="http://schemas.openxmlformats.org/officeDocument/2006/customXml" ds:itemID="{03A2DB6E-DDD6-406F-91DD-3D6FD8E62FF0}"/>
</file>

<file path=customXml/itemProps3.xml><?xml version="1.0" encoding="utf-8"?>
<ds:datastoreItem xmlns:ds="http://schemas.openxmlformats.org/officeDocument/2006/customXml" ds:itemID="{8A02AA6D-0B6E-4E18-A270-ED35DAB5D83F}"/>
</file>

<file path=docProps/app.xml><?xml version="1.0" encoding="utf-8"?>
<Properties xmlns="http://schemas.openxmlformats.org/officeDocument/2006/extended-properties" xmlns:vt="http://schemas.openxmlformats.org/officeDocument/2006/docPropsVTypes">
  <Template>Normal</Template>
  <TotalTime>0</TotalTime>
  <Pages>3</Pages>
  <Words>595</Words>
  <Characters>2976</Characters>
  <Application>Microsoft Office Word</Application>
  <DocSecurity>4</DocSecurity>
  <Lines>24</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Marcus</dc:creator>
  <cp:keywords/>
  <dc:description/>
  <cp:lastModifiedBy>חופית עלפי</cp:lastModifiedBy>
  <cp:revision>2</cp:revision>
  <cp:lastPrinted>2016-06-13T07:55:00Z</cp:lastPrinted>
  <dcterms:created xsi:type="dcterms:W3CDTF">2016-06-13T07:56:00Z</dcterms:created>
  <dcterms:modified xsi:type="dcterms:W3CDTF">2016-06-13T07:56:00Z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2002445</vt:r8>
  </property>
</Properties>
</file>