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566819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ברושי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מצטרפים: חברי הכנסת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רחל עזריה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bookmarkEnd w:id="6"/>
      <w:proofErr w:type="spellEnd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50EE4845" w:rsidR="00E13C27" w:rsidRPr="00E06736" w:rsidRDefault="00904591" w:rsidP="00594142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פ/2152/20</w:t>
      </w:r>
      <w:bookmarkEnd w:id="7"/>
    </w:p>
    <w:p w14:paraId="7F6961AD" w14:textId="3F2768F6" w:rsidR="00E13C27" w:rsidRPr="00F67051" w:rsidRDefault="00A443CF" w:rsidP="00527F19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הדיור המוגן (תיקון – הבטחת כספי הפיקדון),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–2015</w:t>
      </w:r>
      <w:bookmarkEnd w:id="8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B56E5E" w:rsidRPr="00B56E5E" w14:paraId="3F9E8421" w14:textId="77777777" w:rsidTr="0092734A">
        <w:trPr>
          <w:cantSplit/>
        </w:trPr>
        <w:tc>
          <w:tcPr>
            <w:tcW w:w="1869" w:type="dxa"/>
          </w:tcPr>
          <w:p w14:paraId="7AD34691" w14:textId="77777777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  <w:r w:rsidRPr="0092734A">
              <w:rPr>
                <w:rFonts w:hint="cs"/>
                <w:rtl/>
              </w:rPr>
              <w:t>תיקון סעיף 27</w:t>
            </w:r>
          </w:p>
        </w:tc>
        <w:tc>
          <w:tcPr>
            <w:tcW w:w="624" w:type="dxa"/>
          </w:tcPr>
          <w:p w14:paraId="16472FED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  <w:r w:rsidRPr="0092734A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44064554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tl/>
              </w:rPr>
              <w:t xml:space="preserve">בחוק הדיור המוגן, </w:t>
            </w:r>
            <w:proofErr w:type="spellStart"/>
            <w:r w:rsidRPr="0092734A">
              <w:rPr>
                <w:rtl/>
              </w:rPr>
              <w:t>התשע"ב</w:t>
            </w:r>
            <w:proofErr w:type="spellEnd"/>
            <w:r w:rsidRPr="0092734A">
              <w:rPr>
                <w:rtl/>
              </w:rPr>
              <w:t>–2012</w:t>
            </w:r>
            <w:r w:rsidRPr="0092734A">
              <w:rPr>
                <w:rtl/>
              </w:rPr>
              <w:footnoteReference w:id="2"/>
            </w:r>
            <w:r w:rsidRPr="0092734A">
              <w:rPr>
                <w:rtl/>
              </w:rPr>
              <w:t xml:space="preserve"> (להלן – החוק העיקרי</w:t>
            </w:r>
            <w:r w:rsidRPr="0092734A">
              <w:rPr>
                <w:rFonts w:hint="cs"/>
                <w:rtl/>
              </w:rPr>
              <w:t>), בסעיף 27 –</w:t>
            </w:r>
          </w:p>
        </w:tc>
      </w:tr>
      <w:tr w:rsidR="00B56E5E" w:rsidRPr="00B56E5E" w14:paraId="2CE6A7A5" w14:textId="77777777" w:rsidTr="0092734A">
        <w:trPr>
          <w:cantSplit/>
        </w:trPr>
        <w:tc>
          <w:tcPr>
            <w:tcW w:w="1869" w:type="dxa"/>
          </w:tcPr>
          <w:p w14:paraId="3F3FACF2" w14:textId="77777777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8DA9A48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55D71E1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(1)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 xml:space="preserve">בסעיף קטן (א) –  </w:t>
            </w:r>
          </w:p>
        </w:tc>
      </w:tr>
      <w:tr w:rsidR="00B56E5E" w:rsidRPr="00B56E5E" w14:paraId="603F13B3" w14:textId="77777777" w:rsidTr="0092734A">
        <w:trPr>
          <w:cantSplit/>
        </w:trPr>
        <w:tc>
          <w:tcPr>
            <w:tcW w:w="1869" w:type="dxa"/>
          </w:tcPr>
          <w:p w14:paraId="27BA35CA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DAE5FD9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159FDD07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30EF1D2D" w14:textId="77777777" w:rsidR="00B56E5E" w:rsidRPr="0092734A" w:rsidRDefault="00B56E5E" w:rsidP="0092734A">
            <w:pPr>
              <w:pStyle w:val="TableBlock"/>
            </w:pPr>
            <w:r w:rsidRPr="0092734A">
              <w:rPr>
                <w:rFonts w:hint="cs"/>
                <w:rtl/>
              </w:rPr>
              <w:t>(א)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אחרי "מדייר" יבוא "תשלום";</w:t>
            </w:r>
          </w:p>
        </w:tc>
      </w:tr>
      <w:tr w:rsidR="00B56E5E" w:rsidRPr="00B56E5E" w14:paraId="192C4D2D" w14:textId="77777777" w:rsidTr="0092734A">
        <w:trPr>
          <w:cantSplit/>
        </w:trPr>
        <w:tc>
          <w:tcPr>
            <w:tcW w:w="1869" w:type="dxa"/>
          </w:tcPr>
          <w:p w14:paraId="6EE39763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C33973E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523DFD1D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2F242857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(ב)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המילים "סכום העולה על שבעה אחוזים מהפיקדון או 70,000 שקלים חדשים, לפי הנמוך" – יימחקו;</w:t>
            </w:r>
          </w:p>
        </w:tc>
      </w:tr>
      <w:tr w:rsidR="00B56E5E" w:rsidRPr="00B56E5E" w14:paraId="027D8F59" w14:textId="77777777" w:rsidTr="0092734A">
        <w:trPr>
          <w:cantSplit/>
        </w:trPr>
        <w:tc>
          <w:tcPr>
            <w:tcW w:w="1869" w:type="dxa"/>
          </w:tcPr>
          <w:p w14:paraId="53997A55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41F6F78E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3A83D2E9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6E3F03B1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(ג)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במקום "כספי" יבוא "מלוא כספי";</w:t>
            </w:r>
          </w:p>
        </w:tc>
      </w:tr>
      <w:tr w:rsidR="00B56E5E" w:rsidRPr="00B56E5E" w14:paraId="1232C74A" w14:textId="77777777" w:rsidTr="0092734A">
        <w:trPr>
          <w:cantSplit/>
        </w:trPr>
        <w:tc>
          <w:tcPr>
            <w:tcW w:w="1869" w:type="dxa"/>
          </w:tcPr>
          <w:p w14:paraId="25F0E821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6060692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5036CB95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612CE3FA" w14:textId="77777777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(ד)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פסקאות (3) ו-(4) – יימחקו;</w:t>
            </w:r>
          </w:p>
        </w:tc>
      </w:tr>
      <w:tr w:rsidR="00B56E5E" w:rsidRPr="00B56E5E" w14:paraId="6A9A19D3" w14:textId="77777777" w:rsidTr="0092734A">
        <w:trPr>
          <w:cantSplit/>
        </w:trPr>
        <w:tc>
          <w:tcPr>
            <w:tcW w:w="1869" w:type="dxa"/>
          </w:tcPr>
          <w:p w14:paraId="411410B7" w14:textId="77777777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39D2041D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8F498E3" w14:textId="177D3906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(2)</w:t>
            </w:r>
            <w:r w:rsidRPr="0092734A">
              <w:rPr>
                <w:rtl/>
              </w:rPr>
              <w:tab/>
            </w:r>
            <w:r w:rsidR="00A35A29" w:rsidRPr="0092734A">
              <w:rPr>
                <w:rFonts w:hint="cs"/>
                <w:rtl/>
              </w:rPr>
              <w:t>סעיפים</w:t>
            </w:r>
            <w:r w:rsidR="00527F19" w:rsidRPr="0092734A">
              <w:rPr>
                <w:rFonts w:hint="cs"/>
                <w:rtl/>
              </w:rPr>
              <w:t xml:space="preserve"> קטנים</w:t>
            </w:r>
            <w:r w:rsidRPr="0092734A">
              <w:rPr>
                <w:rFonts w:hint="cs"/>
                <w:rtl/>
              </w:rPr>
              <w:t xml:space="preserve"> (ב) </w:t>
            </w:r>
            <w:r w:rsidR="00527F19" w:rsidRPr="0092734A">
              <w:rPr>
                <w:rFonts w:hint="cs"/>
                <w:rtl/>
              </w:rPr>
              <w:t>ו-(ד)</w:t>
            </w:r>
            <w:r w:rsidR="00A35A29" w:rsidRPr="0092734A">
              <w:rPr>
                <w:rFonts w:hint="cs"/>
                <w:rtl/>
              </w:rPr>
              <w:t xml:space="preserve"> </w:t>
            </w:r>
            <w:r w:rsidRPr="0092734A">
              <w:rPr>
                <w:rtl/>
              </w:rPr>
              <w:t>–</w:t>
            </w:r>
            <w:r w:rsidRPr="0092734A">
              <w:rPr>
                <w:rFonts w:hint="cs"/>
                <w:rtl/>
              </w:rPr>
              <w:t xml:space="preserve"> </w:t>
            </w:r>
            <w:r w:rsidR="00370C63" w:rsidRPr="0092734A">
              <w:rPr>
                <w:rFonts w:hint="cs"/>
                <w:rtl/>
              </w:rPr>
              <w:t>בטלים</w:t>
            </w:r>
            <w:r w:rsidRPr="0092734A">
              <w:rPr>
                <w:rFonts w:hint="cs"/>
                <w:rtl/>
              </w:rPr>
              <w:t>.</w:t>
            </w:r>
          </w:p>
        </w:tc>
      </w:tr>
      <w:tr w:rsidR="00B56E5E" w:rsidRPr="00B56E5E" w14:paraId="2E8F2C20" w14:textId="77777777" w:rsidTr="0092734A">
        <w:trPr>
          <w:cantSplit/>
        </w:trPr>
        <w:tc>
          <w:tcPr>
            <w:tcW w:w="1869" w:type="dxa"/>
          </w:tcPr>
          <w:p w14:paraId="782E2BF7" w14:textId="6323FEFB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  <w:r w:rsidRPr="0092734A">
              <w:rPr>
                <w:rtl/>
              </w:rPr>
              <w:t>תחילה</w:t>
            </w:r>
            <w:r w:rsidRPr="0092734A">
              <w:rPr>
                <w:rFonts w:hint="cs"/>
                <w:rtl/>
              </w:rPr>
              <w:t>,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cs"/>
                <w:rtl/>
              </w:rPr>
              <w:t xml:space="preserve">תחולה הוראות מעבר </w:t>
            </w:r>
            <w:r w:rsidRPr="0092734A">
              <w:rPr>
                <w:rtl/>
              </w:rPr>
              <w:t>ו</w:t>
            </w:r>
            <w:r w:rsidRPr="0092734A">
              <w:rPr>
                <w:rFonts w:hint="cs"/>
                <w:rtl/>
              </w:rPr>
              <w:t>הוראות שעה</w:t>
            </w:r>
          </w:p>
        </w:tc>
        <w:tc>
          <w:tcPr>
            <w:tcW w:w="624" w:type="dxa"/>
          </w:tcPr>
          <w:p w14:paraId="1E599CDE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  <w:r w:rsidRPr="0092734A">
              <w:rPr>
                <w:rFonts w:hint="cs"/>
                <w:rtl/>
              </w:rPr>
              <w:t>2</w:t>
            </w:r>
            <w:r w:rsidRPr="0092734A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14:paraId="6EE3A71E" w14:textId="57789038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(א)</w:t>
            </w:r>
            <w:r w:rsidRPr="0092734A">
              <w:rPr>
                <w:rtl/>
              </w:rPr>
              <w:tab/>
              <w:t xml:space="preserve">תחילתו של חוק זה </w:t>
            </w:r>
            <w:r w:rsidRPr="0092734A">
              <w:rPr>
                <w:rFonts w:hint="cs"/>
                <w:rtl/>
              </w:rPr>
              <w:t>ב</w:t>
            </w:r>
            <w:r w:rsidRPr="0092734A">
              <w:rPr>
                <w:rtl/>
              </w:rPr>
              <w:t>יום פרסומו (להלן – יום התחילה)</w:t>
            </w:r>
            <w:r w:rsidR="00E70248" w:rsidRPr="0092734A">
              <w:rPr>
                <w:rFonts w:hint="cs"/>
                <w:rtl/>
              </w:rPr>
              <w:t>.</w:t>
            </w:r>
          </w:p>
        </w:tc>
      </w:tr>
      <w:tr w:rsidR="00B56E5E" w:rsidRPr="00B56E5E" w14:paraId="36F57B4B" w14:textId="77777777" w:rsidTr="0092734A">
        <w:trPr>
          <w:cantSplit/>
        </w:trPr>
        <w:tc>
          <w:tcPr>
            <w:tcW w:w="1869" w:type="dxa"/>
          </w:tcPr>
          <w:p w14:paraId="459C95C6" w14:textId="77777777" w:rsidR="00B56E5E" w:rsidRPr="0092734A" w:rsidRDefault="00B56E5E" w:rsidP="0092734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232AB814" w14:textId="77777777" w:rsidR="00B56E5E" w:rsidRPr="0092734A" w:rsidRDefault="00B56E5E" w:rsidP="0092734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38E4A75D" w14:textId="60C002DB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(ב)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 xml:space="preserve">הוראות חוק זה יחולו גם על כספים ששולמו על חשבון פיקדון לפני יום התחילה, ואולם </w:t>
            </w:r>
            <w:r w:rsidRPr="0092734A">
              <w:rPr>
                <w:rFonts w:hint="cs"/>
                <w:rtl/>
              </w:rPr>
              <w:softHyphen/>
            </w:r>
            <w:r w:rsidR="00370C63" w:rsidRPr="0092734A">
              <w:rPr>
                <w:rFonts w:hint="eastAsia"/>
                <w:rtl/>
              </w:rPr>
              <w:t>–</w:t>
            </w:r>
            <w:r w:rsidRPr="0092734A">
              <w:rPr>
                <w:rFonts w:hint="cs"/>
                <w:rtl/>
              </w:rPr>
              <w:t xml:space="preserve"> </w:t>
            </w:r>
          </w:p>
        </w:tc>
      </w:tr>
      <w:tr w:rsidR="00B56E5E" w:rsidRPr="00B56E5E" w14:paraId="13FE282E" w14:textId="77777777" w:rsidTr="0092734A">
        <w:trPr>
          <w:cantSplit/>
        </w:trPr>
        <w:tc>
          <w:tcPr>
            <w:tcW w:w="1869" w:type="dxa"/>
          </w:tcPr>
          <w:p w14:paraId="0287C44A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D820EC5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717D64C5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728FDC2A" w14:textId="5A2797FF" w:rsidR="00B56E5E" w:rsidRPr="0092734A" w:rsidRDefault="00B56E5E" w:rsidP="0092734A">
            <w:pPr>
              <w:pStyle w:val="TableBlock"/>
            </w:pPr>
            <w:r w:rsidRPr="0092734A">
              <w:rPr>
                <w:rFonts w:hint="cs"/>
                <w:rtl/>
              </w:rPr>
              <w:t>(1)</w:t>
            </w:r>
            <w:r w:rsidRPr="0092734A">
              <w:rPr>
                <w:rtl/>
              </w:rPr>
              <w:tab/>
            </w:r>
            <w:r w:rsidRPr="0092734A">
              <w:rPr>
                <w:rFonts w:hint="eastAsia"/>
                <w:rtl/>
              </w:rPr>
              <w:t>בעל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רישיון</w:t>
            </w:r>
            <w:r w:rsidRPr="0092734A">
              <w:rPr>
                <w:rtl/>
              </w:rPr>
              <w:t xml:space="preserve"> הפעלה לא ישית את העלויות </w:t>
            </w:r>
            <w:r w:rsidRPr="0092734A">
              <w:rPr>
                <w:rFonts w:hint="eastAsia"/>
                <w:rtl/>
              </w:rPr>
              <w:t>הכרוכות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בהבטחת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השבת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כספי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הפיקדון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לפי</w:t>
            </w:r>
            <w:r w:rsidR="0092734A">
              <w:rPr>
                <w:rtl/>
              </w:rPr>
              <w:t xml:space="preserve"> </w:t>
            </w:r>
            <w:r w:rsidRPr="0092734A">
              <w:rPr>
                <w:rtl/>
              </w:rPr>
              <w:t xml:space="preserve">הוראות סעיף 27 לחוק העיקרי כנוסחו בחוק זה, על </w:t>
            </w:r>
            <w:r w:rsidRPr="0092734A">
              <w:rPr>
                <w:rFonts w:hint="eastAsia"/>
                <w:rtl/>
              </w:rPr>
              <w:t>הדיירים</w:t>
            </w:r>
            <w:r w:rsidRPr="0092734A">
              <w:rPr>
                <w:rtl/>
              </w:rPr>
              <w:t xml:space="preserve"> ששילמו כספי פיקדון </w:t>
            </w:r>
            <w:r w:rsidRPr="0092734A">
              <w:rPr>
                <w:rFonts w:hint="eastAsia"/>
                <w:rtl/>
              </w:rPr>
              <w:t>לפני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יום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התחילה</w:t>
            </w:r>
            <w:r w:rsidRPr="0092734A">
              <w:rPr>
                <w:rtl/>
              </w:rPr>
              <w:t xml:space="preserve">, </w:t>
            </w:r>
            <w:r w:rsidRPr="0092734A">
              <w:rPr>
                <w:rFonts w:hint="eastAsia"/>
                <w:rtl/>
              </w:rPr>
              <w:t>לרבות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באמצעות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דמי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האחזקה</w:t>
            </w:r>
            <w:r w:rsidRPr="0092734A">
              <w:rPr>
                <w:rtl/>
              </w:rPr>
              <w:t>;</w:t>
            </w:r>
          </w:p>
        </w:tc>
      </w:tr>
      <w:tr w:rsidR="00B56E5E" w:rsidRPr="00B56E5E" w14:paraId="0DC77BB5" w14:textId="77777777" w:rsidTr="0092734A">
        <w:trPr>
          <w:cantSplit/>
        </w:trPr>
        <w:tc>
          <w:tcPr>
            <w:tcW w:w="1869" w:type="dxa"/>
          </w:tcPr>
          <w:p w14:paraId="18581600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650B4B4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6131016E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3010C0F6" w14:textId="7DBF36C6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Fonts w:hint="cs"/>
                <w:rtl/>
              </w:rPr>
              <w:t>(2)</w:t>
            </w:r>
            <w:r w:rsidR="00E70248"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אין בהוראות חוק זה כדי להקנות לדייר זכות לקבלת החזר עבור העלות הכרוכה בהבטחת הכספים ששולמה לפני יום התחילה, בעד התקופה שלפני יום התחילה</w:t>
            </w:r>
            <w:r w:rsidR="00E70248" w:rsidRPr="0092734A">
              <w:rPr>
                <w:rFonts w:hint="cs"/>
                <w:rtl/>
              </w:rPr>
              <w:t>;</w:t>
            </w:r>
          </w:p>
        </w:tc>
      </w:tr>
      <w:tr w:rsidR="00B56E5E" w:rsidRPr="00B56E5E" w14:paraId="0D8DEB89" w14:textId="77777777" w:rsidTr="0092734A">
        <w:trPr>
          <w:cantSplit/>
        </w:trPr>
        <w:tc>
          <w:tcPr>
            <w:tcW w:w="1869" w:type="dxa"/>
          </w:tcPr>
          <w:p w14:paraId="38E1762B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3C7F17ED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72C5C3CC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27F56E1C" w14:textId="2707CF9F" w:rsidR="00B56E5E" w:rsidRPr="0092734A" w:rsidRDefault="00B56E5E" w:rsidP="0092734A">
            <w:pPr>
              <w:pStyle w:val="TableBlock"/>
            </w:pPr>
            <w:r w:rsidRPr="0092734A">
              <w:rPr>
                <w:rFonts w:hint="cs"/>
                <w:rtl/>
              </w:rPr>
              <w:t>(3)</w:t>
            </w:r>
            <w:r w:rsidRPr="0092734A">
              <w:rPr>
                <w:rtl/>
              </w:rPr>
              <w:tab/>
            </w:r>
            <w:r w:rsidRPr="0092734A">
              <w:rPr>
                <w:rFonts w:hint="cs"/>
                <w:rtl/>
              </w:rPr>
              <w:t>על אף הוראות סעיף 27 לחוק העיקרי</w:t>
            </w:r>
            <w:r w:rsidR="0092734A">
              <w:rPr>
                <w:rFonts w:hint="cs"/>
                <w:rtl/>
              </w:rPr>
              <w:t>,</w:t>
            </w:r>
            <w:r w:rsidRPr="0092734A">
              <w:rPr>
                <w:rFonts w:hint="cs"/>
                <w:rtl/>
              </w:rPr>
              <w:t xml:space="preserve"> כנוסחו בחוק זה, לגבי סכומים ששולמו על חשבון פיקדון וניתנה לגביהם לפני יום התחילה בטוחה לפי סעיף </w:t>
            </w:r>
            <w:r w:rsidRPr="0092734A">
              <w:rPr>
                <w:rtl/>
              </w:rPr>
              <w:t>27(א)(3)</w:t>
            </w:r>
            <w:r w:rsidRPr="0092734A">
              <w:rPr>
                <w:rFonts w:hint="cs"/>
                <w:rtl/>
              </w:rPr>
              <w:t xml:space="preserve"> לחוק העיקרי</w:t>
            </w:r>
            <w:r w:rsidR="00370C63" w:rsidRPr="0092734A">
              <w:rPr>
                <w:rFonts w:hint="cs"/>
                <w:rtl/>
              </w:rPr>
              <w:t>,</w:t>
            </w:r>
            <w:r w:rsidRPr="0092734A">
              <w:rPr>
                <w:rFonts w:hint="cs"/>
                <w:rtl/>
              </w:rPr>
              <w:t xml:space="preserve"> כנוסחו ערב יום התחילה, תחול הבטוחה האמורה עד לתום 12 חודשים מיום התחילה במקום הבטוחה לפי סעיף 27 כאמור, ובלבד שהבטוחה כאמור תחול ל</w:t>
            </w:r>
            <w:r w:rsidRPr="0092734A">
              <w:rPr>
                <w:rFonts w:hint="eastAsia"/>
                <w:rtl/>
              </w:rPr>
              <w:t>גבי</w:t>
            </w:r>
            <w:r w:rsidRPr="0092734A">
              <w:rPr>
                <w:rtl/>
              </w:rPr>
              <w:t xml:space="preserve"> 40% </w:t>
            </w:r>
            <w:r w:rsidRPr="0092734A">
              <w:rPr>
                <w:rFonts w:hint="eastAsia"/>
                <w:rtl/>
              </w:rPr>
              <w:t>לפחות</w:t>
            </w:r>
            <w:r w:rsidR="00E70248" w:rsidRPr="0092734A">
              <w:rPr>
                <w:rFonts w:hint="cs"/>
                <w:rtl/>
              </w:rPr>
              <w:t xml:space="preserve"> מהסכום ששולם</w:t>
            </w:r>
            <w:r w:rsidRPr="0092734A">
              <w:rPr>
                <w:rFonts w:hint="cs"/>
                <w:rtl/>
              </w:rPr>
              <w:t xml:space="preserve"> על חשבון הפיקדון ושבעל רישיו</w:t>
            </w:r>
            <w:r w:rsidR="00E70248" w:rsidRPr="0092734A">
              <w:rPr>
                <w:rFonts w:hint="cs"/>
                <w:rtl/>
              </w:rPr>
              <w:t>ן ההפעלה יישא במלוא עלות הבטוחה.</w:t>
            </w:r>
          </w:p>
        </w:tc>
      </w:tr>
      <w:tr w:rsidR="00B56E5E" w:rsidRPr="00B56E5E" w14:paraId="1976C573" w14:textId="77777777" w:rsidTr="0092734A">
        <w:trPr>
          <w:cantSplit/>
        </w:trPr>
        <w:tc>
          <w:tcPr>
            <w:tcW w:w="1869" w:type="dxa"/>
          </w:tcPr>
          <w:p w14:paraId="1891A590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26894108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7143" w:type="dxa"/>
            <w:gridSpan w:val="2"/>
          </w:tcPr>
          <w:p w14:paraId="7A90A0D3" w14:textId="77777777" w:rsidR="00B56E5E" w:rsidRPr="0092734A" w:rsidRDefault="00B56E5E" w:rsidP="0092734A">
            <w:pPr>
              <w:pStyle w:val="TableBlock"/>
            </w:pPr>
            <w:r w:rsidRPr="0092734A">
              <w:rPr>
                <w:rtl/>
              </w:rPr>
              <w:t>(</w:t>
            </w:r>
            <w:r w:rsidRPr="0092734A">
              <w:rPr>
                <w:rFonts w:hint="eastAsia"/>
                <w:rtl/>
              </w:rPr>
              <w:t>ג</w:t>
            </w:r>
            <w:r w:rsidRPr="0092734A">
              <w:rPr>
                <w:rtl/>
              </w:rPr>
              <w:t>)</w:t>
            </w:r>
            <w:r w:rsidRPr="0092734A">
              <w:rPr>
                <w:rtl/>
              </w:rPr>
              <w:tab/>
            </w:r>
            <w:r w:rsidRPr="0092734A">
              <w:rPr>
                <w:rFonts w:hint="eastAsia"/>
                <w:rtl/>
              </w:rPr>
              <w:t>בתקופות</w:t>
            </w:r>
            <w:r w:rsidRPr="0092734A">
              <w:rPr>
                <w:rtl/>
              </w:rPr>
              <w:t xml:space="preserve"> המפורטות בפסקאות (1) </w:t>
            </w:r>
            <w:r w:rsidRPr="0092734A">
              <w:rPr>
                <w:rFonts w:hint="eastAsia"/>
                <w:rtl/>
              </w:rPr>
              <w:t>ו</w:t>
            </w:r>
            <w:r w:rsidRPr="0092734A">
              <w:rPr>
                <w:rtl/>
              </w:rPr>
              <w:t xml:space="preserve">-(2) </w:t>
            </w:r>
            <w:r w:rsidRPr="0092734A">
              <w:rPr>
                <w:rFonts w:hint="eastAsia"/>
                <w:rtl/>
              </w:rPr>
              <w:t>להלן</w:t>
            </w:r>
            <w:r w:rsidRPr="0092734A">
              <w:rPr>
                <w:rtl/>
              </w:rPr>
              <w:t xml:space="preserve">, יקראו את </w:t>
            </w:r>
            <w:r w:rsidRPr="0092734A">
              <w:rPr>
                <w:rFonts w:hint="eastAsia"/>
                <w:rtl/>
              </w:rPr>
              <w:t>סעיף</w:t>
            </w:r>
            <w:r w:rsidRPr="0092734A">
              <w:rPr>
                <w:rtl/>
              </w:rPr>
              <w:t xml:space="preserve"> 27(א) </w:t>
            </w:r>
            <w:r w:rsidRPr="0092734A">
              <w:rPr>
                <w:rFonts w:hint="eastAsia"/>
                <w:rtl/>
              </w:rPr>
              <w:t>רישה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לחוק</w:t>
            </w:r>
            <w:r w:rsidRPr="0092734A">
              <w:rPr>
                <w:rtl/>
              </w:rPr>
              <w:t xml:space="preserve"> </w:t>
            </w:r>
            <w:r w:rsidRPr="0092734A">
              <w:rPr>
                <w:rFonts w:hint="eastAsia"/>
                <w:rtl/>
              </w:rPr>
              <w:t>העיקרי</w:t>
            </w:r>
            <w:r w:rsidRPr="0092734A">
              <w:rPr>
                <w:rtl/>
              </w:rPr>
              <w:t xml:space="preserve">, כנוסחו בחוק זה, </w:t>
            </w:r>
            <w:r w:rsidRPr="0092734A">
              <w:rPr>
                <w:rFonts w:hint="eastAsia"/>
                <w:rtl/>
              </w:rPr>
              <w:t>כך</w:t>
            </w:r>
            <w:r w:rsidRPr="0092734A">
              <w:rPr>
                <w:rtl/>
              </w:rPr>
              <w:t>:</w:t>
            </w:r>
          </w:p>
        </w:tc>
      </w:tr>
      <w:tr w:rsidR="00B56E5E" w:rsidRPr="00B56E5E" w14:paraId="3EA224AB" w14:textId="77777777" w:rsidTr="0092734A">
        <w:trPr>
          <w:cantSplit/>
        </w:trPr>
        <w:tc>
          <w:tcPr>
            <w:tcW w:w="1869" w:type="dxa"/>
          </w:tcPr>
          <w:p w14:paraId="7C819DEC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13945C13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3D9D09C3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4C8C54E8" w14:textId="79D024DD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tl/>
              </w:rPr>
              <w:t>(1)</w:t>
            </w:r>
            <w:r w:rsidRPr="0092734A">
              <w:rPr>
                <w:rtl/>
              </w:rPr>
              <w:tab/>
            </w:r>
            <w:r w:rsidRPr="0092734A">
              <w:rPr>
                <w:rFonts w:hint="eastAsia"/>
                <w:rtl/>
              </w:rPr>
              <w:t>בתקופה</w:t>
            </w:r>
            <w:r w:rsidRPr="0092734A">
              <w:rPr>
                <w:rtl/>
              </w:rPr>
              <w:t xml:space="preserve"> שמיום התחילה ועד תום 12 חודשים מיום התחילה </w:t>
            </w:r>
            <w:r w:rsidRPr="0092734A">
              <w:rPr>
                <w:rFonts w:hint="eastAsia"/>
                <w:rtl/>
              </w:rPr>
              <w:t>–</w:t>
            </w:r>
            <w:r w:rsidRPr="0092734A">
              <w:rPr>
                <w:rtl/>
              </w:rPr>
              <w:t xml:space="preserve"> במקום "מלוא כספי" </w:t>
            </w:r>
            <w:r w:rsidRPr="0092734A">
              <w:rPr>
                <w:rFonts w:hint="eastAsia"/>
                <w:rtl/>
              </w:rPr>
              <w:t>יקראו</w:t>
            </w:r>
            <w:r w:rsidRPr="0092734A">
              <w:rPr>
                <w:rtl/>
              </w:rPr>
              <w:t xml:space="preserve"> </w:t>
            </w:r>
            <w:r w:rsidR="0092734A">
              <w:rPr>
                <w:rFonts w:hint="cs"/>
                <w:rtl/>
              </w:rPr>
              <w:t>"</w:t>
            </w:r>
            <w:r w:rsidRPr="0092734A">
              <w:rPr>
                <w:rtl/>
              </w:rPr>
              <w:t xml:space="preserve">33% </w:t>
            </w:r>
            <w:r w:rsidRPr="0092734A">
              <w:rPr>
                <w:rFonts w:hint="eastAsia"/>
                <w:rtl/>
              </w:rPr>
              <w:t>מכספי</w:t>
            </w:r>
            <w:r w:rsidRPr="0092734A">
              <w:rPr>
                <w:rtl/>
              </w:rPr>
              <w:t>";</w:t>
            </w:r>
          </w:p>
        </w:tc>
      </w:tr>
      <w:tr w:rsidR="00B56E5E" w:rsidRPr="00B56E5E" w14:paraId="06747C4A" w14:textId="77777777" w:rsidTr="0092734A">
        <w:trPr>
          <w:cantSplit/>
        </w:trPr>
        <w:tc>
          <w:tcPr>
            <w:tcW w:w="1869" w:type="dxa"/>
          </w:tcPr>
          <w:p w14:paraId="6D658C89" w14:textId="77777777" w:rsidR="00B56E5E" w:rsidRPr="0092734A" w:rsidRDefault="00B56E5E" w:rsidP="0092734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6BCD4A7E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3DAFC52D" w14:textId="77777777" w:rsidR="00B56E5E" w:rsidRPr="0092734A" w:rsidRDefault="00B56E5E" w:rsidP="0092734A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14:paraId="1B2C1D80" w14:textId="48D9F24B" w:rsidR="00B56E5E" w:rsidRPr="0092734A" w:rsidRDefault="00B56E5E" w:rsidP="0092734A">
            <w:pPr>
              <w:pStyle w:val="TableBlock"/>
              <w:rPr>
                <w:rtl/>
              </w:rPr>
            </w:pPr>
            <w:r w:rsidRPr="0092734A">
              <w:rPr>
                <w:rtl/>
              </w:rPr>
              <w:t>(2)</w:t>
            </w:r>
            <w:r w:rsidRPr="0092734A">
              <w:rPr>
                <w:rtl/>
              </w:rPr>
              <w:tab/>
            </w:r>
            <w:r w:rsidRPr="0092734A">
              <w:rPr>
                <w:rFonts w:hint="eastAsia"/>
                <w:rtl/>
              </w:rPr>
              <w:t>בתקופה</w:t>
            </w:r>
            <w:r w:rsidRPr="0092734A">
              <w:rPr>
                <w:rtl/>
              </w:rPr>
              <w:t xml:space="preserve"> שמתום 12 חודשים מיום התחילה ועד תום 24 חודשים מיום התחילה – במקום "מלוא כספי" </w:t>
            </w:r>
            <w:r w:rsidRPr="0092734A">
              <w:rPr>
                <w:rFonts w:hint="eastAsia"/>
                <w:rtl/>
              </w:rPr>
              <w:t>יקראו</w:t>
            </w:r>
            <w:r w:rsidRPr="0092734A">
              <w:rPr>
                <w:rtl/>
              </w:rPr>
              <w:t xml:space="preserve">  </w:t>
            </w:r>
            <w:r w:rsidR="0092734A">
              <w:rPr>
                <w:rFonts w:hint="cs"/>
                <w:rtl/>
              </w:rPr>
              <w:t>"</w:t>
            </w:r>
            <w:r w:rsidRPr="0092734A">
              <w:rPr>
                <w:rtl/>
              </w:rPr>
              <w:t xml:space="preserve">66% </w:t>
            </w:r>
            <w:r w:rsidRPr="0092734A">
              <w:rPr>
                <w:rFonts w:hint="eastAsia"/>
                <w:rtl/>
              </w:rPr>
              <w:t>מכספי</w:t>
            </w:r>
            <w:r w:rsidR="001640AE" w:rsidRPr="0092734A">
              <w:rPr>
                <w:rtl/>
              </w:rPr>
              <w:t>"</w:t>
            </w:r>
            <w:r w:rsidR="001640AE" w:rsidRPr="0092734A">
              <w:rPr>
                <w:rFonts w:hint="cs"/>
                <w:rtl/>
              </w:rPr>
              <w:t>.</w:t>
            </w:r>
          </w:p>
        </w:tc>
      </w:tr>
    </w:tbl>
    <w:p w14:paraId="7F6961AE" w14:textId="77777777" w:rsidR="00E13C27" w:rsidRPr="00B56E5E" w:rsidRDefault="00E13C27" w:rsidP="0021633A">
      <w:pPr>
        <w:pStyle w:val="HeadDivreiHesber"/>
        <w:spacing w:before="0" w:after="0"/>
        <w:rPr>
          <w:rtl/>
        </w:rPr>
      </w:pPr>
    </w:p>
    <w:p w14:paraId="6D01C1F6" w14:textId="77777777" w:rsidR="00B56E5E" w:rsidRDefault="00B56E5E" w:rsidP="0021633A">
      <w:pPr>
        <w:pStyle w:val="HeadDivreiHesber"/>
        <w:spacing w:before="0" w:after="0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0D46300E" w14:textId="643D6BFC" w:rsidR="002632BC" w:rsidRDefault="002632BC" w:rsidP="00370C63">
      <w:pPr>
        <w:pStyle w:val="Hesber"/>
        <w:rPr>
          <w:rtl/>
        </w:rPr>
      </w:pPr>
      <w:r>
        <w:rPr>
          <w:rtl/>
        </w:rPr>
        <w:t xml:space="preserve">בישראל מתגוררים </w:t>
      </w:r>
      <w:r w:rsidR="00A8210E">
        <w:rPr>
          <w:rFonts w:hint="cs"/>
          <w:rtl/>
        </w:rPr>
        <w:t>יותר מ-</w:t>
      </w:r>
      <w:r>
        <w:rPr>
          <w:rtl/>
        </w:rPr>
        <w:t>12,000 דיירים ב</w:t>
      </w:r>
      <w:r w:rsidR="00A8210E">
        <w:rPr>
          <w:rFonts w:hint="cs"/>
          <w:rtl/>
        </w:rPr>
        <w:t>יותר מ-</w:t>
      </w:r>
      <w:r>
        <w:rPr>
          <w:rtl/>
        </w:rPr>
        <w:t>130 בתים של דיור מוגן. רוב הדיירים הם עצמאיים מעל גיל 70, שבחרו לבלות את שנות גיל הזהב שלהם בסביבה פעילה, חברתית ומוגנת.</w:t>
      </w:r>
    </w:p>
    <w:p w14:paraId="58AE35D1" w14:textId="11D3AE18" w:rsidR="002632BC" w:rsidRDefault="002632BC" w:rsidP="0092734A">
      <w:pPr>
        <w:pStyle w:val="Hesber"/>
        <w:rPr>
          <w:rtl/>
        </w:rPr>
      </w:pPr>
      <w:r>
        <w:rPr>
          <w:rtl/>
        </w:rPr>
        <w:t>רוב בתי הדיור המוגן</w:t>
      </w:r>
      <w:r w:rsidR="00B45173">
        <w:rPr>
          <w:rFonts w:hint="cs"/>
          <w:rtl/>
        </w:rPr>
        <w:t xml:space="preserve"> נמצאים</w:t>
      </w:r>
      <w:r>
        <w:rPr>
          <w:rtl/>
        </w:rPr>
        <w:t xml:space="preserve"> בבעלות חברות פרטיות, אולם ישנם גם בתים המופעלים כמ</w:t>
      </w:r>
      <w:r w:rsidR="00B45173">
        <w:rPr>
          <w:rFonts w:hint="cs"/>
          <w:rtl/>
        </w:rPr>
        <w:t>וסדות ללא כוונות רווח (מ</w:t>
      </w:r>
      <w:r>
        <w:rPr>
          <w:rtl/>
        </w:rPr>
        <w:t>לכ"ר</w:t>
      </w:r>
      <w:r w:rsidR="00B45173">
        <w:rPr>
          <w:rFonts w:hint="cs"/>
          <w:rtl/>
        </w:rPr>
        <w:t>ים)</w:t>
      </w:r>
      <w:r>
        <w:rPr>
          <w:rtl/>
        </w:rPr>
        <w:t xml:space="preserve"> על ידי רשתות בבעלות קופות </w:t>
      </w:r>
      <w:r w:rsidR="00B45173">
        <w:rPr>
          <w:rFonts w:hint="cs"/>
          <w:rtl/>
        </w:rPr>
        <w:t>ה</w:t>
      </w:r>
      <w:r>
        <w:rPr>
          <w:rtl/>
        </w:rPr>
        <w:t xml:space="preserve">חולים. הכניסה לדיור מוגן, כרוכה לרוב בהפקדת פיקדון כספי בסכומים של מיליוני שקלים מכל דייר או זוג דיירים. סכום הפיקדון </w:t>
      </w:r>
      <w:r w:rsidR="00370C63">
        <w:rPr>
          <w:rFonts w:hint="cs"/>
          <w:rtl/>
        </w:rPr>
        <w:t>שנחקק ב</w:t>
      </w:r>
      <w:r>
        <w:rPr>
          <w:rtl/>
        </w:rPr>
        <w:t xml:space="preserve">מוחזק בידי בעל הבית, ללא תשלום ריבית, והוא נתון לשליטתו הבלעדית, </w:t>
      </w:r>
      <w:r w:rsidR="00370C63">
        <w:rPr>
          <w:rFonts w:hint="cs"/>
          <w:rtl/>
        </w:rPr>
        <w:t>ש</w:t>
      </w:r>
      <w:r w:rsidR="00B45173">
        <w:rPr>
          <w:rFonts w:hint="cs"/>
          <w:rtl/>
        </w:rPr>
        <w:t xml:space="preserve">סכום </w:t>
      </w:r>
      <w:r w:rsidR="00A8210E">
        <w:rPr>
          <w:rFonts w:hint="cs"/>
          <w:rtl/>
        </w:rPr>
        <w:t>ה</w:t>
      </w:r>
      <w:r>
        <w:rPr>
          <w:rtl/>
        </w:rPr>
        <w:t>פיקדון</w:t>
      </w:r>
      <w:r w:rsidR="0092734A">
        <w:rPr>
          <w:rFonts w:hint="cs"/>
          <w:rtl/>
        </w:rPr>
        <w:t xml:space="preserve"> נשחק ב</w:t>
      </w:r>
      <w:r w:rsidR="00A8210E">
        <w:rPr>
          <w:rtl/>
        </w:rPr>
        <w:t>כ</w:t>
      </w:r>
      <w:r w:rsidR="00A8210E">
        <w:rPr>
          <w:rFonts w:hint="cs"/>
          <w:rtl/>
        </w:rPr>
        <w:t>-</w:t>
      </w:r>
      <w:r w:rsidR="00A8210E">
        <w:rPr>
          <w:rtl/>
        </w:rPr>
        <w:t>2-3 אחוזים בצירוף מע"מ</w:t>
      </w:r>
      <w:r w:rsidR="00A8210E" w:rsidRPr="00A8210E">
        <w:rPr>
          <w:rtl/>
        </w:rPr>
        <w:t xml:space="preserve"> </w:t>
      </w:r>
      <w:r w:rsidR="00A8210E">
        <w:rPr>
          <w:rtl/>
        </w:rPr>
        <w:t>מידי שנה</w:t>
      </w:r>
      <w:r w:rsidR="00A8210E">
        <w:rPr>
          <w:rFonts w:hint="cs"/>
          <w:rtl/>
        </w:rPr>
        <w:t>,</w:t>
      </w:r>
      <w:r w:rsidR="00A8210E">
        <w:rPr>
          <w:rtl/>
        </w:rPr>
        <w:t xml:space="preserve">  </w:t>
      </w:r>
      <w:r w:rsidR="00A8210E">
        <w:rPr>
          <w:rFonts w:hint="cs"/>
          <w:rtl/>
        </w:rPr>
        <w:t>סכום</w:t>
      </w:r>
      <w:r>
        <w:rPr>
          <w:rtl/>
        </w:rPr>
        <w:t xml:space="preserve"> </w:t>
      </w:r>
      <w:r w:rsidR="00370C63">
        <w:rPr>
          <w:rFonts w:hint="cs"/>
          <w:rtl/>
        </w:rPr>
        <w:t>שבעל הבית</w:t>
      </w:r>
      <w:r w:rsidR="00B45173">
        <w:rPr>
          <w:rFonts w:hint="cs"/>
          <w:rtl/>
        </w:rPr>
        <w:t xml:space="preserve"> מעביר </w:t>
      </w:r>
      <w:r>
        <w:rPr>
          <w:rtl/>
        </w:rPr>
        <w:t>לכיסו (במשך 12 עד 15 שנים).  בנוסף לכך, לרוב הדייר משלם גם דמי אחזקה חודשיים בסכום של אלפי שקלים חדשים.</w:t>
      </w:r>
    </w:p>
    <w:p w14:paraId="2E537DA0" w14:textId="0A59D2F3" w:rsidR="002632BC" w:rsidRDefault="002632BC" w:rsidP="00A8210E">
      <w:pPr>
        <w:pStyle w:val="Hesber"/>
        <w:rPr>
          <w:rtl/>
        </w:rPr>
      </w:pPr>
      <w:r>
        <w:rPr>
          <w:rtl/>
        </w:rPr>
        <w:t>על פי הערכות</w:t>
      </w:r>
      <w:r w:rsidR="00B45173">
        <w:rPr>
          <w:rFonts w:hint="cs"/>
          <w:rtl/>
        </w:rPr>
        <w:t>,</w:t>
      </w:r>
      <w:r>
        <w:rPr>
          <w:rtl/>
        </w:rPr>
        <w:t xml:space="preserve"> הופקדו על ידי דיירי הדיור המוגן בישראל פיקדונות בסכום של כ-12 מיליארד שקלים חדשים בידי הבעלים של בתי הדיור המוגן, סכום הגדול מהון עצמי של בנק</w:t>
      </w:r>
      <w:r w:rsidR="00A8210E">
        <w:rPr>
          <w:rFonts w:hint="cs"/>
          <w:rtl/>
        </w:rPr>
        <w:t xml:space="preserve"> (לשם השוואה, ההון העצמי של </w:t>
      </w:r>
      <w:r>
        <w:rPr>
          <w:rtl/>
        </w:rPr>
        <w:t xml:space="preserve">בנק דיסקונט </w:t>
      </w:r>
      <w:r w:rsidR="00A8210E">
        <w:rPr>
          <w:rFonts w:hint="cs"/>
          <w:rtl/>
        </w:rPr>
        <w:t xml:space="preserve">הוא </w:t>
      </w:r>
      <w:r>
        <w:rPr>
          <w:rtl/>
        </w:rPr>
        <w:t xml:space="preserve">10.9 מיליארד שקלים חדשים). אך בעוד הבנקים נתונים תחת פיקוח, על פיקדונות הדיירים בדיור המוגן לא הושת כל פיקוח. מוצע, אפוא, </w:t>
      </w:r>
      <w:r w:rsidR="00A8210E">
        <w:rPr>
          <w:rFonts w:hint="cs"/>
          <w:rtl/>
        </w:rPr>
        <w:t>להרחיב את ההגנה על הפיקדונות</w:t>
      </w:r>
      <w:r>
        <w:rPr>
          <w:rtl/>
        </w:rPr>
        <w:t>, בפרט נוכח העובדה כי המדובר בענף כלכלי הנוגע לרווחתם של אלפי אזרחים ותיקים במדינה, חלקם ניצולי שואה</w:t>
      </w:r>
      <w:r w:rsidR="00A8210E">
        <w:rPr>
          <w:rFonts w:hint="cs"/>
          <w:rtl/>
        </w:rPr>
        <w:t>,</w:t>
      </w:r>
      <w:r>
        <w:rPr>
          <w:rtl/>
        </w:rPr>
        <w:t xml:space="preserve"> שבחרו להתגורר במסגרת של בית דיור מוגן.</w:t>
      </w:r>
    </w:p>
    <w:p w14:paraId="54072FC7" w14:textId="1C935285" w:rsidR="002632BC" w:rsidRDefault="002632BC" w:rsidP="00C93B05">
      <w:pPr>
        <w:pStyle w:val="Hesber"/>
        <w:rPr>
          <w:rtl/>
        </w:rPr>
      </w:pPr>
      <w:r>
        <w:rPr>
          <w:rtl/>
        </w:rPr>
        <w:t xml:space="preserve">ביוני 2012 נתקבל בכנסת חוק הדיור המוגן, שנכנס לתוקף ברובו בדצמבר 2012. חוק זה </w:t>
      </w:r>
      <w:r w:rsidR="00C93B05">
        <w:rPr>
          <w:rFonts w:hint="cs"/>
          <w:rtl/>
        </w:rPr>
        <w:t>ה</w:t>
      </w:r>
      <w:r>
        <w:rPr>
          <w:rtl/>
        </w:rPr>
        <w:t xml:space="preserve">סדיר לראשונה את הענף ונועד להבטיח את זכויותיהם וכספם של דיירי הדיור המוגן. </w:t>
      </w:r>
    </w:p>
    <w:p w14:paraId="32C0B82A" w14:textId="7B4CAC63" w:rsidR="002632BC" w:rsidRDefault="002632BC" w:rsidP="002632BC">
      <w:pPr>
        <w:pStyle w:val="Hesber"/>
        <w:rPr>
          <w:rtl/>
        </w:rPr>
      </w:pPr>
      <w:r>
        <w:rPr>
          <w:rtl/>
        </w:rPr>
        <w:t>סעיף 27 דן בבטוחות להבטחת כספי הפיקדון במקרה של חדלות פירעון. הדאגה לביטחונם של כספי הפיקדון שהופקדו בידי הבעלים של בתי הדיור המוגן הי</w:t>
      </w:r>
      <w:r w:rsidR="00B45173">
        <w:rPr>
          <w:rFonts w:hint="cs"/>
          <w:rtl/>
        </w:rPr>
        <w:t>י</w:t>
      </w:r>
      <w:r>
        <w:rPr>
          <w:rtl/>
        </w:rPr>
        <w:t>תה בראש דאגתם של יוזמי החוק, מייסדי עמותת דיירי הדיור המוגן בישראל. עם זאת, סעיף 27 כפי שאושר, פוגע בדיירי הדיור המוגן בצורה קשה וממשית בשל אי-ישימות הוראותיו וכתוצאה מכך</w:t>
      </w:r>
      <w:r w:rsidR="00B45173">
        <w:rPr>
          <w:rFonts w:hint="cs"/>
          <w:rtl/>
        </w:rPr>
        <w:t>,</w:t>
      </w:r>
      <w:r>
        <w:rPr>
          <w:rtl/>
        </w:rPr>
        <w:t xml:space="preserve"> פיקדונות הדיי</w:t>
      </w:r>
      <w:r w:rsidR="00B956E4">
        <w:rPr>
          <w:rtl/>
        </w:rPr>
        <w:t>רים בסכום המוערך בסך של יותר מ</w:t>
      </w:r>
      <w:r w:rsidR="00B956E4">
        <w:rPr>
          <w:rFonts w:hint="cs"/>
          <w:rtl/>
        </w:rPr>
        <w:t>-12</w:t>
      </w:r>
      <w:r>
        <w:rPr>
          <w:rtl/>
        </w:rPr>
        <w:t xml:space="preserve"> מיליארד שקלים חדשים ממשיכים להיות חשופים ובלתי מוגנים במקרה של חדלות פירעון של בית הדיור המוגן או במקרה שבעל הרישיון להפעלת בית</w:t>
      </w:r>
      <w:r w:rsidR="00B45173">
        <w:rPr>
          <w:rFonts w:hint="cs"/>
          <w:rtl/>
        </w:rPr>
        <w:t xml:space="preserve"> מוגן</w:t>
      </w:r>
      <w:r>
        <w:rPr>
          <w:rtl/>
        </w:rPr>
        <w:t xml:space="preserve"> אינו מחזיר את הפיקדון בהתאם להוראות החוק וההסכם. </w:t>
      </w:r>
    </w:p>
    <w:p w14:paraId="2665F90D" w14:textId="1AFD50C7" w:rsidR="002632BC" w:rsidRDefault="002632BC" w:rsidP="002710D9">
      <w:pPr>
        <w:pStyle w:val="Hesber"/>
        <w:rPr>
          <w:rtl/>
        </w:rPr>
      </w:pPr>
      <w:r>
        <w:rPr>
          <w:rtl/>
        </w:rPr>
        <w:t xml:space="preserve">בכנסת הקודמת הוצע תיקון לסעיף 27 אשר במסגרתו </w:t>
      </w:r>
      <w:r w:rsidR="002710D9">
        <w:rPr>
          <w:rFonts w:hint="cs"/>
          <w:rtl/>
        </w:rPr>
        <w:t>הוצע להקים</w:t>
      </w:r>
      <w:r>
        <w:rPr>
          <w:rtl/>
        </w:rPr>
        <w:t xml:space="preserve"> קרנות להבטחת פ</w:t>
      </w:r>
      <w:r w:rsidR="00B45173">
        <w:rPr>
          <w:rFonts w:hint="cs"/>
          <w:rtl/>
        </w:rPr>
        <w:t>י</w:t>
      </w:r>
      <w:r>
        <w:rPr>
          <w:rtl/>
        </w:rPr>
        <w:t xml:space="preserve">קדונות הדיירים.  לאחר שהצעה זו עוררה קשיים משפטיים, הוצע הנוסח הנוכחי כפתרון חלופי מוסכם להצעה המקורית. </w:t>
      </w:r>
    </w:p>
    <w:p w14:paraId="7F6961CB" w14:textId="43A636F8" w:rsidR="00E13C27" w:rsidRDefault="002632BC" w:rsidP="002632BC">
      <w:pPr>
        <w:pStyle w:val="Hesber"/>
        <w:rPr>
          <w:rtl/>
        </w:rPr>
      </w:pPr>
      <w:r>
        <w:rPr>
          <w:rtl/>
        </w:rPr>
        <w:t>מטרת הצעת החוק היא להבטיח הגנה ראויה על כספי הפיקדון אותם מפקידים הדיירים בכניסתם לבתי הדיור המוגן, וזאת על ידי חיוב מפעילי הבתים להציע בטוחות פיננסיות.</w:t>
      </w:r>
      <w:r w:rsidRPr="00EF7FE9">
        <w:rPr>
          <w:rtl/>
        </w:rPr>
        <w:t xml:space="preserve"> </w:t>
      </w:r>
    </w:p>
    <w:p w14:paraId="5C4D3610" w14:textId="77777777" w:rsidR="0092734A" w:rsidRDefault="0092734A" w:rsidP="002632BC">
      <w:pPr>
        <w:pStyle w:val="Hesber"/>
        <w:rPr>
          <w:rtl/>
        </w:rPr>
      </w:pPr>
    </w:p>
    <w:p w14:paraId="0C8518B2" w14:textId="77777777" w:rsidR="00370C63" w:rsidRDefault="00370C63" w:rsidP="00893F71">
      <w:pPr>
        <w:pStyle w:val="Hesber"/>
      </w:pPr>
      <w:r>
        <w:rPr>
          <w:rFonts w:hint="cs"/>
          <w:rtl/>
        </w:rPr>
        <w:t>---------------------------------</w:t>
      </w:r>
    </w:p>
    <w:p w14:paraId="6911239A" w14:textId="77777777" w:rsidR="00370C63" w:rsidRDefault="00370C63" w:rsidP="00893F71">
      <w:pPr>
        <w:pStyle w:val="Hesber"/>
        <w:rPr>
          <w:rtl/>
        </w:rPr>
      </w:pPr>
      <w:r>
        <w:rPr>
          <w:rFonts w:hint="cs"/>
          <w:rtl/>
        </w:rPr>
        <w:t>הוגשה ליו"ר הכנסת והסגנים</w:t>
      </w:r>
    </w:p>
    <w:p w14:paraId="518FBAF6" w14:textId="77777777" w:rsidR="00370C63" w:rsidRDefault="00370C63" w:rsidP="00893F71">
      <w:pPr>
        <w:pStyle w:val="Hesber"/>
        <w:rPr>
          <w:rtl/>
        </w:rPr>
      </w:pPr>
      <w:r>
        <w:rPr>
          <w:rFonts w:hint="cs"/>
          <w:rtl/>
        </w:rPr>
        <w:t>והונחה על שולחן הכנסת ביום</w:t>
      </w:r>
    </w:p>
    <w:p w14:paraId="12045E6A" w14:textId="41B54665" w:rsidR="00370C63" w:rsidRDefault="00370C63" w:rsidP="00992FFB">
      <w:pPr>
        <w:pStyle w:val="Hesber"/>
        <w:rPr>
          <w:rtl/>
        </w:rPr>
      </w:pPr>
      <w:r>
        <w:rPr>
          <w:rFonts w:hint="cs"/>
          <w:rtl/>
        </w:rPr>
        <w:t xml:space="preserve">י"ג בחשוון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 – </w:t>
      </w:r>
      <w:r w:rsidR="00992FFB">
        <w:rPr>
          <w:rFonts w:hint="cs"/>
          <w:rtl/>
        </w:rPr>
        <w:t>26</w:t>
      </w:r>
      <w:r>
        <w:rPr>
          <w:rFonts w:hint="cs"/>
          <w:rtl/>
        </w:rPr>
        <w:t>.10.15</w:t>
      </w:r>
    </w:p>
    <w:p w14:paraId="4A151F4D" w14:textId="77777777" w:rsidR="00370C63" w:rsidRDefault="00370C63" w:rsidP="002632BC">
      <w:pPr>
        <w:pStyle w:val="Hesber"/>
        <w:rPr>
          <w:rtl/>
        </w:rPr>
      </w:pPr>
    </w:p>
    <w:sectPr w:rsidR="00370C63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0219A7" w14:textId="77777777" w:rsidR="00FB0D82" w:rsidRDefault="00FB0D82">
      <w:r>
        <w:separator/>
      </w:r>
    </w:p>
  </w:endnote>
  <w:endnote w:type="continuationSeparator" w:id="0">
    <w:p w14:paraId="560BC20E" w14:textId="77777777" w:rsidR="00FB0D82" w:rsidRDefault="00FB0D82">
      <w:r>
        <w:continuationSeparator/>
      </w:r>
    </w:p>
  </w:endnote>
  <w:endnote w:type="continuationNotice" w:id="1">
    <w:p w14:paraId="2649CBE1" w14:textId="77777777" w:rsidR="00FB0D82" w:rsidRDefault="00FB0D8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F0465">
      <w:rPr>
        <w:rStyle w:val="ab"/>
        <w:noProof/>
        <w:rtl/>
      </w:rPr>
      <w:t>3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475ED" w14:textId="77777777" w:rsidR="00FB0D82" w:rsidRDefault="00FB0D82">
      <w:r>
        <w:separator/>
      </w:r>
    </w:p>
  </w:footnote>
  <w:footnote w:type="continuationSeparator" w:id="0">
    <w:p w14:paraId="317250EA" w14:textId="77777777" w:rsidR="00FB0D82" w:rsidRDefault="00FB0D82">
      <w:r>
        <w:continuationSeparator/>
      </w:r>
    </w:p>
  </w:footnote>
  <w:footnote w:type="continuationNotice" w:id="1">
    <w:p w14:paraId="7D760748" w14:textId="77777777" w:rsidR="00FB0D82" w:rsidRDefault="00FB0D82"/>
  </w:footnote>
  <w:footnote w:id="2">
    <w:p w14:paraId="0E46A9E9" w14:textId="77777777" w:rsidR="00B56E5E" w:rsidRDefault="00B56E5E" w:rsidP="00B56E5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Pr="00C21E91">
        <w:rPr>
          <w:rtl/>
        </w:rPr>
        <w:t xml:space="preserve">ס"ח </w:t>
      </w:r>
      <w:proofErr w:type="spellStart"/>
      <w:r>
        <w:rPr>
          <w:rtl/>
        </w:rPr>
        <w:t>ה</w:t>
      </w:r>
      <w:r w:rsidRPr="00C21E91">
        <w:rPr>
          <w:rtl/>
        </w:rPr>
        <w:t>תשע"ב</w:t>
      </w:r>
      <w:proofErr w:type="spellEnd"/>
      <w:r>
        <w:rPr>
          <w:rtl/>
        </w:rPr>
        <w:t xml:space="preserve">, עמ' </w:t>
      </w:r>
      <w:r w:rsidRPr="00C21E91">
        <w:rPr>
          <w:rtl/>
        </w:rPr>
        <w:t>426</w:t>
      </w:r>
      <w:r>
        <w:rPr>
          <w:rtl/>
        </w:rPr>
        <w:t>.</w:t>
      </w:r>
      <w:r w:rsidRPr="00C21E91">
        <w:rPr>
          <w:rtl/>
        </w:rPr>
        <w:t xml:space="preserve"> </w:t>
      </w:r>
    </w:p>
    <w:p w14:paraId="47F10152" w14:textId="77777777" w:rsidR="00B56E5E" w:rsidRDefault="00B56E5E" w:rsidP="00B56E5E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A5BC8"/>
    <w:rsid w:val="000D7F5D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40AE"/>
    <w:rsid w:val="001A0623"/>
    <w:rsid w:val="001C23B0"/>
    <w:rsid w:val="001C4D7F"/>
    <w:rsid w:val="001D7AAF"/>
    <w:rsid w:val="00203A7F"/>
    <w:rsid w:val="0021633A"/>
    <w:rsid w:val="002200A1"/>
    <w:rsid w:val="002362BF"/>
    <w:rsid w:val="002403FC"/>
    <w:rsid w:val="002418E0"/>
    <w:rsid w:val="00241B97"/>
    <w:rsid w:val="002425D1"/>
    <w:rsid w:val="00246756"/>
    <w:rsid w:val="00246F3B"/>
    <w:rsid w:val="00251E58"/>
    <w:rsid w:val="00254605"/>
    <w:rsid w:val="00255BFD"/>
    <w:rsid w:val="002632BC"/>
    <w:rsid w:val="00265852"/>
    <w:rsid w:val="00266D86"/>
    <w:rsid w:val="002710D9"/>
    <w:rsid w:val="002728B4"/>
    <w:rsid w:val="0027600C"/>
    <w:rsid w:val="00292712"/>
    <w:rsid w:val="002A487D"/>
    <w:rsid w:val="002C12DC"/>
    <w:rsid w:val="002C2E29"/>
    <w:rsid w:val="002C3041"/>
    <w:rsid w:val="002C6B62"/>
    <w:rsid w:val="002D1EE3"/>
    <w:rsid w:val="002E3400"/>
    <w:rsid w:val="002F1D80"/>
    <w:rsid w:val="003232A2"/>
    <w:rsid w:val="00325C14"/>
    <w:rsid w:val="0036422C"/>
    <w:rsid w:val="00370C63"/>
    <w:rsid w:val="003710F6"/>
    <w:rsid w:val="00386E88"/>
    <w:rsid w:val="00396585"/>
    <w:rsid w:val="003D3B6D"/>
    <w:rsid w:val="003D6E38"/>
    <w:rsid w:val="003D74A0"/>
    <w:rsid w:val="004033D8"/>
    <w:rsid w:val="004073F0"/>
    <w:rsid w:val="00412A7D"/>
    <w:rsid w:val="00416B4D"/>
    <w:rsid w:val="00417CFC"/>
    <w:rsid w:val="004320C0"/>
    <w:rsid w:val="004A06DC"/>
    <w:rsid w:val="004B24ED"/>
    <w:rsid w:val="004B6625"/>
    <w:rsid w:val="004D2D82"/>
    <w:rsid w:val="004D3876"/>
    <w:rsid w:val="004E4552"/>
    <w:rsid w:val="004E6CDF"/>
    <w:rsid w:val="004E7EA4"/>
    <w:rsid w:val="004F0583"/>
    <w:rsid w:val="004F17CE"/>
    <w:rsid w:val="00504354"/>
    <w:rsid w:val="0051054E"/>
    <w:rsid w:val="00512EEA"/>
    <w:rsid w:val="00527F19"/>
    <w:rsid w:val="005361A9"/>
    <w:rsid w:val="00553C9D"/>
    <w:rsid w:val="00562A66"/>
    <w:rsid w:val="00594142"/>
    <w:rsid w:val="005B064E"/>
    <w:rsid w:val="005B1405"/>
    <w:rsid w:val="005D51AE"/>
    <w:rsid w:val="0062674B"/>
    <w:rsid w:val="006363B2"/>
    <w:rsid w:val="00644940"/>
    <w:rsid w:val="006818A9"/>
    <w:rsid w:val="006A0453"/>
    <w:rsid w:val="006A2D81"/>
    <w:rsid w:val="006C1D0D"/>
    <w:rsid w:val="006F6C69"/>
    <w:rsid w:val="0070601E"/>
    <w:rsid w:val="00712C72"/>
    <w:rsid w:val="00734B7B"/>
    <w:rsid w:val="00735FE9"/>
    <w:rsid w:val="00763CAA"/>
    <w:rsid w:val="00765F66"/>
    <w:rsid w:val="0078664F"/>
    <w:rsid w:val="007C3FA6"/>
    <w:rsid w:val="007D585A"/>
    <w:rsid w:val="007D5A12"/>
    <w:rsid w:val="007E59F9"/>
    <w:rsid w:val="007E7BA3"/>
    <w:rsid w:val="007F5FE7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2734A"/>
    <w:rsid w:val="00930EFE"/>
    <w:rsid w:val="00943386"/>
    <w:rsid w:val="009456B6"/>
    <w:rsid w:val="00957589"/>
    <w:rsid w:val="00966D06"/>
    <w:rsid w:val="00982412"/>
    <w:rsid w:val="00983A8D"/>
    <w:rsid w:val="0098492F"/>
    <w:rsid w:val="00984B1B"/>
    <w:rsid w:val="00992FFB"/>
    <w:rsid w:val="009A0DB8"/>
    <w:rsid w:val="009A7257"/>
    <w:rsid w:val="009D6E0A"/>
    <w:rsid w:val="009E1E33"/>
    <w:rsid w:val="00A07621"/>
    <w:rsid w:val="00A14672"/>
    <w:rsid w:val="00A26BD6"/>
    <w:rsid w:val="00A35A29"/>
    <w:rsid w:val="00A443CF"/>
    <w:rsid w:val="00A6611D"/>
    <w:rsid w:val="00A8210E"/>
    <w:rsid w:val="00A82CB7"/>
    <w:rsid w:val="00A933BB"/>
    <w:rsid w:val="00A942C1"/>
    <w:rsid w:val="00AA2F03"/>
    <w:rsid w:val="00AC0D16"/>
    <w:rsid w:val="00AC36F7"/>
    <w:rsid w:val="00AC63A4"/>
    <w:rsid w:val="00AD239E"/>
    <w:rsid w:val="00AF0465"/>
    <w:rsid w:val="00B10265"/>
    <w:rsid w:val="00B16A99"/>
    <w:rsid w:val="00B21211"/>
    <w:rsid w:val="00B35784"/>
    <w:rsid w:val="00B45173"/>
    <w:rsid w:val="00B56E5E"/>
    <w:rsid w:val="00B733A7"/>
    <w:rsid w:val="00B75C91"/>
    <w:rsid w:val="00B956E4"/>
    <w:rsid w:val="00B975AD"/>
    <w:rsid w:val="00BC45FB"/>
    <w:rsid w:val="00BC61A9"/>
    <w:rsid w:val="00BF148D"/>
    <w:rsid w:val="00BF586E"/>
    <w:rsid w:val="00C23B1A"/>
    <w:rsid w:val="00C310EB"/>
    <w:rsid w:val="00C60C78"/>
    <w:rsid w:val="00C9176A"/>
    <w:rsid w:val="00C93B05"/>
    <w:rsid w:val="00CE4023"/>
    <w:rsid w:val="00CF1AA2"/>
    <w:rsid w:val="00D1718C"/>
    <w:rsid w:val="00D17774"/>
    <w:rsid w:val="00D63620"/>
    <w:rsid w:val="00D8410D"/>
    <w:rsid w:val="00D867D7"/>
    <w:rsid w:val="00DB7060"/>
    <w:rsid w:val="00DC23F5"/>
    <w:rsid w:val="00DE3153"/>
    <w:rsid w:val="00E06736"/>
    <w:rsid w:val="00E10B5D"/>
    <w:rsid w:val="00E13C27"/>
    <w:rsid w:val="00E33BBD"/>
    <w:rsid w:val="00E374F2"/>
    <w:rsid w:val="00E45103"/>
    <w:rsid w:val="00E525D2"/>
    <w:rsid w:val="00E55A60"/>
    <w:rsid w:val="00E62778"/>
    <w:rsid w:val="00E63D38"/>
    <w:rsid w:val="00E665B9"/>
    <w:rsid w:val="00E70248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  <w:rsid w:val="00FB0D82"/>
    <w:rsid w:val="00FB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34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2734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2734A"/>
    <w:rPr>
      <w:sz w:val="36"/>
      <w:szCs w:val="52"/>
    </w:rPr>
  </w:style>
  <w:style w:type="paragraph" w:customStyle="1" w:styleId="Cover3-Haknesset">
    <w:name w:val="Cover 3-Haknesset"/>
    <w:basedOn w:val="Cover1-Reshumot"/>
    <w:rsid w:val="0092734A"/>
    <w:rPr>
      <w:b/>
      <w:bCs/>
      <w:spacing w:val="60"/>
    </w:rPr>
  </w:style>
  <w:style w:type="paragraph" w:customStyle="1" w:styleId="Cover4-Date">
    <w:name w:val="Cover 4-Date"/>
    <w:basedOn w:val="a"/>
    <w:rsid w:val="0092734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2734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2734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2734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2734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2734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2734A"/>
  </w:style>
  <w:style w:type="paragraph" w:customStyle="1" w:styleId="TableBlock">
    <w:name w:val="Table Block"/>
    <w:basedOn w:val="TableText"/>
    <w:rsid w:val="0092734A"/>
    <w:pPr>
      <w:ind w:right="0"/>
      <w:jc w:val="both"/>
    </w:pPr>
  </w:style>
  <w:style w:type="paragraph" w:customStyle="1" w:styleId="TableHead">
    <w:name w:val="Table Head"/>
    <w:basedOn w:val="TableText"/>
    <w:rsid w:val="0092734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2734A"/>
  </w:style>
  <w:style w:type="paragraph" w:customStyle="1" w:styleId="Hesber">
    <w:name w:val="Hesber"/>
    <w:basedOn w:val="a"/>
    <w:rsid w:val="0092734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92734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92734A"/>
    <w:rPr>
      <w:vertAlign w:val="superscript"/>
    </w:rPr>
  </w:style>
  <w:style w:type="paragraph" w:customStyle="1" w:styleId="HesberHeading">
    <w:name w:val="Hesber Heading"/>
    <w:basedOn w:val="Hesber"/>
    <w:rsid w:val="0092734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2734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2734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2734A"/>
    <w:rPr>
      <w:vertAlign w:val="superscript"/>
    </w:rPr>
  </w:style>
  <w:style w:type="paragraph" w:customStyle="1" w:styleId="TableBlockOutdent">
    <w:name w:val="Table BlockOutdent"/>
    <w:basedOn w:val="TableBlock"/>
    <w:rsid w:val="0092734A"/>
    <w:pPr>
      <w:ind w:left="624" w:hanging="624"/>
    </w:pPr>
  </w:style>
  <w:style w:type="paragraph" w:styleId="a8">
    <w:name w:val="header"/>
    <w:basedOn w:val="a"/>
    <w:rsid w:val="0092734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2734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2734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2734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92734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2632B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semiHidden/>
    <w:rsid w:val="00B56E5E"/>
    <w:rPr>
      <w:sz w:val="16"/>
      <w:szCs w:val="16"/>
    </w:rPr>
  </w:style>
  <w:style w:type="paragraph" w:styleId="af">
    <w:name w:val="annotation text"/>
    <w:basedOn w:val="a"/>
    <w:link w:val="af0"/>
    <w:semiHidden/>
    <w:rsid w:val="00B56E5E"/>
    <w:pPr>
      <w:widowControl/>
      <w:autoSpaceDE/>
      <w:autoSpaceDN/>
      <w:adjustRightInd/>
      <w:spacing w:before="0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0"/>
      <w:szCs w:val="20"/>
      <w:lang w:eastAsia="he-IL"/>
    </w:rPr>
  </w:style>
  <w:style w:type="character" w:customStyle="1" w:styleId="af0">
    <w:name w:val="טקסט הערה תו"/>
    <w:basedOn w:val="a0"/>
    <w:link w:val="af"/>
    <w:semiHidden/>
    <w:rsid w:val="00B56E5E"/>
    <w:rPr>
      <w:rFonts w:eastAsia="Times New Roman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34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2734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2734A"/>
    <w:rPr>
      <w:sz w:val="36"/>
      <w:szCs w:val="52"/>
    </w:rPr>
  </w:style>
  <w:style w:type="paragraph" w:customStyle="1" w:styleId="Cover3-Haknesset">
    <w:name w:val="Cover 3-Haknesset"/>
    <w:basedOn w:val="Cover1-Reshumot"/>
    <w:rsid w:val="0092734A"/>
    <w:rPr>
      <w:b/>
      <w:bCs/>
      <w:spacing w:val="60"/>
    </w:rPr>
  </w:style>
  <w:style w:type="paragraph" w:customStyle="1" w:styleId="Cover4-Date">
    <w:name w:val="Cover 4-Date"/>
    <w:basedOn w:val="a"/>
    <w:rsid w:val="0092734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2734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2734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2734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2734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2734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2734A"/>
  </w:style>
  <w:style w:type="paragraph" w:customStyle="1" w:styleId="TableBlock">
    <w:name w:val="Table Block"/>
    <w:basedOn w:val="TableText"/>
    <w:rsid w:val="0092734A"/>
    <w:pPr>
      <w:ind w:right="0"/>
      <w:jc w:val="both"/>
    </w:pPr>
  </w:style>
  <w:style w:type="paragraph" w:customStyle="1" w:styleId="TableHead">
    <w:name w:val="Table Head"/>
    <w:basedOn w:val="TableText"/>
    <w:rsid w:val="0092734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2734A"/>
  </w:style>
  <w:style w:type="paragraph" w:customStyle="1" w:styleId="Hesber">
    <w:name w:val="Hesber"/>
    <w:basedOn w:val="a"/>
    <w:rsid w:val="0092734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92734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92734A"/>
    <w:rPr>
      <w:vertAlign w:val="superscript"/>
    </w:rPr>
  </w:style>
  <w:style w:type="paragraph" w:customStyle="1" w:styleId="HesberHeading">
    <w:name w:val="Hesber Heading"/>
    <w:basedOn w:val="Hesber"/>
    <w:rsid w:val="0092734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2734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2734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2734A"/>
    <w:rPr>
      <w:vertAlign w:val="superscript"/>
    </w:rPr>
  </w:style>
  <w:style w:type="paragraph" w:customStyle="1" w:styleId="TableBlockOutdent">
    <w:name w:val="Table BlockOutdent"/>
    <w:basedOn w:val="TableBlock"/>
    <w:rsid w:val="0092734A"/>
    <w:pPr>
      <w:ind w:left="624" w:hanging="624"/>
    </w:pPr>
  </w:style>
  <w:style w:type="paragraph" w:styleId="a8">
    <w:name w:val="header"/>
    <w:basedOn w:val="a"/>
    <w:rsid w:val="0092734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2734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2734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2734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92734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2632B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semiHidden/>
    <w:rsid w:val="00B56E5E"/>
    <w:rPr>
      <w:sz w:val="16"/>
      <w:szCs w:val="16"/>
    </w:rPr>
  </w:style>
  <w:style w:type="paragraph" w:styleId="af">
    <w:name w:val="annotation text"/>
    <w:basedOn w:val="a"/>
    <w:link w:val="af0"/>
    <w:semiHidden/>
    <w:rsid w:val="00B56E5E"/>
    <w:pPr>
      <w:widowControl/>
      <w:autoSpaceDE/>
      <w:autoSpaceDN/>
      <w:adjustRightInd/>
      <w:spacing w:before="0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0"/>
      <w:szCs w:val="20"/>
      <w:lang w:eastAsia="he-IL"/>
    </w:rPr>
  </w:style>
  <w:style w:type="character" w:customStyle="1" w:styleId="af0">
    <w:name w:val="טקסט הערה תו"/>
    <w:basedOn w:val="a0"/>
    <w:link w:val="af"/>
    <w:semiHidden/>
    <w:rsid w:val="00B56E5E"/>
    <w:rPr>
      <w:rFonts w:eastAsia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B123A2-DF29-4D4A-AC8E-10DA6B6A7412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4F813FBC-F7FD-45FC-911B-FD745ACBB4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3793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מעיין בן עמי</cp:lastModifiedBy>
  <cp:revision>2</cp:revision>
  <cp:lastPrinted>2015-10-22T11:58:00Z</cp:lastPrinted>
  <dcterms:created xsi:type="dcterms:W3CDTF">2016-06-15T13:05:00Z</dcterms:created>
  <dcterms:modified xsi:type="dcterms:W3CDTF">2016-06-15T13:05:00Z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2004120</vt:r8>
  </property>
</Properties>
</file>