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EE6" w:rsidRPr="00FC48FA" w:rsidRDefault="004210E0" w:rsidP="000F3915">
      <w:pPr>
        <w:spacing w:line="240" w:lineRule="auto"/>
        <w:jc w:val="right"/>
        <w:rPr>
          <w:rFonts w:cs="David"/>
          <w:szCs w:val="22"/>
          <w:rtl/>
        </w:rPr>
      </w:pPr>
      <w:r>
        <w:rPr>
          <w:rFonts w:cs="David" w:hint="cs"/>
          <w:szCs w:val="22"/>
          <w:rtl/>
        </w:rPr>
        <w:t>ט"ו</w:t>
      </w:r>
      <w:r w:rsidR="00274C71" w:rsidRPr="00FC48FA">
        <w:rPr>
          <w:rFonts w:cs="David" w:hint="cs"/>
          <w:szCs w:val="22"/>
          <w:rtl/>
        </w:rPr>
        <w:t xml:space="preserve"> בסיוון</w:t>
      </w:r>
      <w:r w:rsidR="00B72EE6" w:rsidRPr="00FC48FA">
        <w:rPr>
          <w:rFonts w:cs="David" w:hint="cs"/>
          <w:szCs w:val="22"/>
          <w:rtl/>
        </w:rPr>
        <w:t xml:space="preserve"> </w:t>
      </w:r>
      <w:proofErr w:type="spellStart"/>
      <w:r w:rsidR="00B72EE6" w:rsidRPr="00FC48FA">
        <w:rPr>
          <w:rFonts w:cs="David" w:hint="cs"/>
          <w:szCs w:val="22"/>
          <w:rtl/>
        </w:rPr>
        <w:t>התשע"ו</w:t>
      </w:r>
      <w:proofErr w:type="spellEnd"/>
    </w:p>
    <w:p w:rsidR="00B72EE6" w:rsidRPr="00FC48FA" w:rsidRDefault="008E7914" w:rsidP="00B72EE6">
      <w:pPr>
        <w:spacing w:line="240" w:lineRule="auto"/>
        <w:jc w:val="right"/>
        <w:rPr>
          <w:rFonts w:cs="David"/>
          <w:szCs w:val="22"/>
          <w:rtl/>
        </w:rPr>
      </w:pPr>
      <w:r>
        <w:rPr>
          <w:rFonts w:cs="David" w:hint="cs"/>
          <w:szCs w:val="22"/>
          <w:rtl/>
        </w:rPr>
        <w:t>21</w:t>
      </w:r>
      <w:r w:rsidR="000F3915" w:rsidRPr="00FC48FA">
        <w:rPr>
          <w:rFonts w:cs="David" w:hint="cs"/>
          <w:szCs w:val="22"/>
          <w:rtl/>
        </w:rPr>
        <w:t xml:space="preserve"> ביוני</w:t>
      </w:r>
      <w:r w:rsidR="00B72EE6" w:rsidRPr="00FC48FA">
        <w:rPr>
          <w:rFonts w:cs="David" w:hint="cs"/>
          <w:szCs w:val="22"/>
          <w:rtl/>
        </w:rPr>
        <w:t xml:space="preserve"> 2016</w:t>
      </w:r>
    </w:p>
    <w:p w:rsidR="00775BBB" w:rsidRPr="00FC48FA"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Pr="00AE3501"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proofErr w:type="spellStart"/>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proofErr w:type="spellEnd"/>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proofErr w:type="spellStart"/>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proofErr w:type="spellEnd"/>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3531AB" w:rsidRPr="00C72E89" w:rsidRDefault="00F461C3" w:rsidP="0077660E">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AD68F4">
        <w:rPr>
          <w:rFonts w:hint="cs"/>
          <w:b/>
          <w:bCs/>
          <w:color w:val="auto"/>
          <w:sz w:val="24"/>
          <w:szCs w:val="24"/>
          <w:rtl/>
        </w:rPr>
        <w:t xml:space="preserve">הערת ניסוח: </w:t>
      </w:r>
      <w:r w:rsidR="00DB7A6A" w:rsidRPr="00C72E89">
        <w:rPr>
          <w:rFonts w:hint="cs"/>
          <w:b/>
          <w:bCs/>
          <w:color w:val="auto"/>
          <w:sz w:val="24"/>
          <w:szCs w:val="24"/>
          <w:rtl/>
        </w:rPr>
        <w:t xml:space="preserve">"רשות המפעילה סמכות שפיטה" </w:t>
      </w:r>
      <w:r w:rsidR="00765D02">
        <w:rPr>
          <w:rFonts w:hint="cs"/>
          <w:color w:val="auto"/>
          <w:sz w:val="24"/>
          <w:szCs w:val="24"/>
          <w:rtl/>
        </w:rPr>
        <w:t xml:space="preserve">(הגדרת "ערכאה") </w:t>
      </w:r>
      <w:r w:rsidR="00DB7A6A" w:rsidRPr="00C72E89">
        <w:rPr>
          <w:color w:val="auto"/>
          <w:sz w:val="24"/>
          <w:szCs w:val="24"/>
          <w:rtl/>
        </w:rPr>
        <w:t>–</w:t>
      </w:r>
      <w:r w:rsidRPr="00C72E89">
        <w:rPr>
          <w:rFonts w:hint="cs"/>
          <w:color w:val="auto"/>
          <w:sz w:val="24"/>
          <w:szCs w:val="24"/>
          <w:rtl/>
        </w:rPr>
        <w:t xml:space="preserve"> </w:t>
      </w:r>
      <w:r w:rsidR="000D4BE4">
        <w:rPr>
          <w:rFonts w:hint="cs"/>
          <w:color w:val="auto"/>
          <w:sz w:val="24"/>
          <w:szCs w:val="24"/>
          <w:rtl/>
        </w:rPr>
        <w:t xml:space="preserve">האם רשויות </w:t>
      </w:r>
      <w:proofErr w:type="spellStart"/>
      <w:r w:rsidR="000D4BE4">
        <w:rPr>
          <w:rFonts w:hint="cs"/>
          <w:color w:val="auto"/>
          <w:sz w:val="24"/>
          <w:szCs w:val="24"/>
          <w:rtl/>
        </w:rPr>
        <w:t>מינהליות</w:t>
      </w:r>
      <w:proofErr w:type="spellEnd"/>
      <w:r w:rsidR="000D4BE4">
        <w:rPr>
          <w:rFonts w:hint="cs"/>
          <w:color w:val="auto"/>
          <w:sz w:val="24"/>
          <w:szCs w:val="24"/>
          <w:rtl/>
        </w:rPr>
        <w:t xml:space="preserve"> שיש להן </w:t>
      </w:r>
      <w:r w:rsidRPr="0090063D">
        <w:rPr>
          <w:rFonts w:hint="cs"/>
          <w:color w:val="auto"/>
          <w:sz w:val="24"/>
          <w:szCs w:val="24"/>
          <w:rtl/>
        </w:rPr>
        <w:t xml:space="preserve">סמכויות </w:t>
      </w:r>
      <w:r w:rsidRPr="002D6247">
        <w:rPr>
          <w:rFonts w:hint="cs"/>
          <w:color w:val="auto"/>
          <w:sz w:val="24"/>
          <w:szCs w:val="24"/>
          <w:u w:val="single"/>
          <w:rtl/>
        </w:rPr>
        <w:t>מעין שיפוטיות</w:t>
      </w:r>
      <w:r w:rsidR="000D4BE4">
        <w:rPr>
          <w:rFonts w:hint="cs"/>
          <w:color w:val="auto"/>
          <w:sz w:val="24"/>
          <w:szCs w:val="24"/>
          <w:rtl/>
        </w:rPr>
        <w:t xml:space="preserve"> כלולות אף הן בביטוי זה?</w:t>
      </w:r>
      <w:r w:rsidRPr="0090063D">
        <w:rPr>
          <w:rFonts w:hint="cs"/>
          <w:color w:val="auto"/>
          <w:sz w:val="24"/>
          <w:szCs w:val="24"/>
          <w:rtl/>
        </w:rPr>
        <w:t xml:space="preserve"> כך, למשל, האם </w:t>
      </w:r>
      <w:r w:rsidR="0090063D" w:rsidRPr="0090063D">
        <w:rPr>
          <w:rFonts w:hint="cs"/>
          <w:color w:val="auto"/>
          <w:sz w:val="24"/>
          <w:szCs w:val="24"/>
          <w:rtl/>
        </w:rPr>
        <w:t>רשם ב</w:t>
      </w:r>
      <w:r w:rsidRPr="0090063D">
        <w:rPr>
          <w:rFonts w:hint="cs"/>
          <w:color w:val="auto"/>
          <w:sz w:val="24"/>
          <w:szCs w:val="24"/>
          <w:rtl/>
        </w:rPr>
        <w:t xml:space="preserve">מרכז לגביית קנסות </w:t>
      </w:r>
      <w:r w:rsidR="0090063D" w:rsidRPr="0090063D">
        <w:rPr>
          <w:rFonts w:hint="cs"/>
          <w:color w:val="auto"/>
          <w:sz w:val="24"/>
          <w:szCs w:val="24"/>
          <w:rtl/>
        </w:rPr>
        <w:t xml:space="preserve">שיש לו סמכויות מעין שיפוטיות </w:t>
      </w:r>
      <w:r w:rsidR="003531AB" w:rsidRPr="0090063D">
        <w:rPr>
          <w:rFonts w:hint="cs"/>
          <w:color w:val="auto"/>
          <w:sz w:val="24"/>
          <w:szCs w:val="24"/>
          <w:rtl/>
        </w:rPr>
        <w:t xml:space="preserve">הוא </w:t>
      </w:r>
      <w:r w:rsidRPr="0090063D">
        <w:rPr>
          <w:rFonts w:hint="cs"/>
          <w:color w:val="auto"/>
          <w:sz w:val="24"/>
          <w:szCs w:val="24"/>
          <w:rtl/>
        </w:rPr>
        <w:t xml:space="preserve">"רשות המפעילה סמכות שיפוט"? </w:t>
      </w:r>
      <w:r w:rsidR="003531AB" w:rsidRPr="0090063D">
        <w:rPr>
          <w:rFonts w:hint="cs"/>
          <w:color w:val="auto"/>
          <w:sz w:val="24"/>
          <w:szCs w:val="24"/>
          <w:rtl/>
        </w:rPr>
        <w:t>האם רשם הפטנטים</w:t>
      </w:r>
      <w:r w:rsidR="000D4BE4">
        <w:rPr>
          <w:rFonts w:hint="cs"/>
          <w:color w:val="auto"/>
          <w:sz w:val="24"/>
          <w:szCs w:val="24"/>
          <w:rtl/>
        </w:rPr>
        <w:t xml:space="preserve">, </w:t>
      </w:r>
      <w:r w:rsidR="003531AB" w:rsidRPr="0090063D">
        <w:rPr>
          <w:rFonts w:hint="cs"/>
          <w:color w:val="auto"/>
          <w:sz w:val="24"/>
          <w:szCs w:val="24"/>
          <w:rtl/>
        </w:rPr>
        <w:t>פקיד רישום מקרקעין</w:t>
      </w:r>
      <w:r w:rsidR="003531AB" w:rsidRPr="0090063D">
        <w:rPr>
          <w:rFonts w:hint="cs"/>
          <w:b/>
          <w:bCs/>
          <w:color w:val="auto"/>
          <w:sz w:val="24"/>
          <w:szCs w:val="24"/>
          <w:rtl/>
        </w:rPr>
        <w:t xml:space="preserve"> </w:t>
      </w:r>
      <w:r w:rsidR="0002683B" w:rsidRPr="0090063D">
        <w:rPr>
          <w:rFonts w:hint="cs"/>
          <w:color w:val="auto"/>
          <w:sz w:val="24"/>
          <w:szCs w:val="24"/>
          <w:rtl/>
        </w:rPr>
        <w:t xml:space="preserve">או </w:t>
      </w:r>
      <w:r w:rsidR="003531AB" w:rsidRPr="0090063D">
        <w:rPr>
          <w:rFonts w:hint="cs"/>
          <w:color w:val="auto"/>
          <w:sz w:val="24"/>
          <w:szCs w:val="24"/>
          <w:rtl/>
        </w:rPr>
        <w:t xml:space="preserve">ועדת חקירה ממלכתית </w:t>
      </w:r>
      <w:r w:rsidR="0002683B" w:rsidRPr="0090063D">
        <w:rPr>
          <w:rFonts w:hint="cs"/>
          <w:color w:val="auto"/>
          <w:sz w:val="24"/>
          <w:szCs w:val="24"/>
          <w:rtl/>
        </w:rPr>
        <w:t xml:space="preserve">הם </w:t>
      </w:r>
      <w:r w:rsidR="003531AB" w:rsidRPr="0090063D">
        <w:rPr>
          <w:rFonts w:hint="cs"/>
          <w:color w:val="auto"/>
          <w:sz w:val="24"/>
          <w:szCs w:val="24"/>
          <w:rtl/>
        </w:rPr>
        <w:t>"רשות</w:t>
      </w:r>
      <w:r w:rsidR="003531AB" w:rsidRPr="00C72E89">
        <w:rPr>
          <w:rFonts w:hint="cs"/>
          <w:color w:val="auto"/>
          <w:sz w:val="24"/>
          <w:szCs w:val="24"/>
          <w:rtl/>
        </w:rPr>
        <w:t xml:space="preserve"> המפעילה סמכות שפיטה"? </w:t>
      </w:r>
      <w:r w:rsidR="0090063D">
        <w:rPr>
          <w:rFonts w:hint="cs"/>
          <w:color w:val="auto"/>
          <w:sz w:val="24"/>
          <w:szCs w:val="24"/>
          <w:rtl/>
        </w:rPr>
        <w:t xml:space="preserve">יתכן שכדי להימנע מספיקות יש להרחיב את ההגדרה המוצעת ולהתייחס לרשות שיש לה סמכות שיפוטית </w:t>
      </w:r>
      <w:r w:rsidR="0090063D" w:rsidRPr="0090063D">
        <w:rPr>
          <w:rFonts w:hint="cs"/>
          <w:color w:val="auto"/>
          <w:sz w:val="24"/>
          <w:szCs w:val="24"/>
          <w:u w:val="single"/>
          <w:rtl/>
        </w:rPr>
        <w:t>או מעין שיפוטית</w:t>
      </w:r>
      <w:r w:rsidR="0090063D">
        <w:rPr>
          <w:rFonts w:hint="cs"/>
          <w:color w:val="auto"/>
          <w:sz w:val="24"/>
          <w:szCs w:val="24"/>
          <w:rtl/>
        </w:rPr>
        <w:t>.</w:t>
      </w:r>
    </w:p>
    <w:p w:rsidR="008B02D2" w:rsidRDefault="00F461C3" w:rsidP="0077660E">
      <w:pPr>
        <w:pStyle w:val="Hesberright"/>
        <w:spacing w:after="120"/>
        <w:rPr>
          <w:color w:val="auto"/>
          <w:sz w:val="24"/>
          <w:szCs w:val="24"/>
          <w:rtl/>
        </w:rPr>
      </w:pPr>
      <w:r w:rsidRPr="00C72E89">
        <w:rPr>
          <w:rFonts w:hint="cs"/>
          <w:b/>
          <w:bCs/>
          <w:color w:val="auto"/>
          <w:sz w:val="24"/>
          <w:szCs w:val="24"/>
          <w:rtl/>
        </w:rPr>
        <w:t>(</w:t>
      </w:r>
      <w:r w:rsidR="00F02ABB">
        <w:rPr>
          <w:rFonts w:hint="cs"/>
          <w:b/>
          <w:bCs/>
          <w:color w:val="auto"/>
          <w:sz w:val="24"/>
          <w:szCs w:val="24"/>
          <w:rtl/>
        </w:rPr>
        <w:t>2</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Pr="00C72E89" w:rsidRDefault="008B02D2" w:rsidP="0077660E">
      <w:pPr>
        <w:pStyle w:val="Hesberright"/>
        <w:spacing w:after="120"/>
        <w:rPr>
          <w:color w:val="auto"/>
          <w:sz w:val="24"/>
          <w:szCs w:val="24"/>
          <w:rtl/>
        </w:rPr>
      </w:pPr>
      <w:r w:rsidRPr="008B02D2">
        <w:rPr>
          <w:rFonts w:hint="cs"/>
          <w:b/>
          <w:bCs/>
          <w:color w:val="auto"/>
          <w:sz w:val="24"/>
          <w:szCs w:val="24"/>
          <w:rtl/>
        </w:rPr>
        <w:t>(</w:t>
      </w:r>
      <w:r w:rsidR="00211815">
        <w:rPr>
          <w:rFonts w:hint="cs"/>
          <w:b/>
          <w:bCs/>
          <w:color w:val="auto"/>
          <w:sz w:val="24"/>
          <w:szCs w:val="24"/>
          <w:rtl/>
        </w:rPr>
        <w:t>3</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0C10C6" w:rsidRPr="00255C06" w:rsidRDefault="00BF2C8D" w:rsidP="0077660E">
      <w:pPr>
        <w:pStyle w:val="Hesberright"/>
        <w:spacing w:after="120"/>
        <w:rPr>
          <w:rFonts w:ascii="David" w:hAnsi="David"/>
          <w:sz w:val="24"/>
          <w:szCs w:val="24"/>
          <w:rtl/>
        </w:rPr>
      </w:pPr>
      <w:r w:rsidRPr="00255C06">
        <w:rPr>
          <w:rFonts w:ascii="David" w:hAnsi="David" w:hint="cs"/>
          <w:b/>
          <w:bCs/>
          <w:sz w:val="24"/>
          <w:szCs w:val="24"/>
          <w:rtl/>
        </w:rPr>
        <w:t>(</w:t>
      </w:r>
      <w:r w:rsidR="00211815">
        <w:rPr>
          <w:rFonts w:ascii="David" w:hAnsi="David" w:hint="cs"/>
          <w:b/>
          <w:bCs/>
          <w:sz w:val="24"/>
          <w:szCs w:val="24"/>
          <w:rtl/>
        </w:rPr>
        <w:t>4</w:t>
      </w:r>
      <w:r w:rsidRPr="00255C06">
        <w:rPr>
          <w:rFonts w:ascii="David" w:hAnsi="David" w:hint="cs"/>
          <w:b/>
          <w:bCs/>
          <w:sz w:val="24"/>
          <w:szCs w:val="24"/>
          <w:rtl/>
        </w:rPr>
        <w:t>) מייצגים שעבדו בעבר</w:t>
      </w:r>
      <w:r w:rsidRPr="00255C06">
        <w:rPr>
          <w:rFonts w:ascii="David" w:hAnsi="David" w:hint="cs"/>
          <w:sz w:val="24"/>
          <w:szCs w:val="24"/>
          <w:rtl/>
        </w:rPr>
        <w:t xml:space="preserve"> </w:t>
      </w:r>
      <w:r w:rsidRPr="00255C06">
        <w:rPr>
          <w:rFonts w:ascii="David" w:hAnsi="David"/>
          <w:sz w:val="24"/>
          <w:szCs w:val="24"/>
          <w:rtl/>
        </w:rPr>
        <w:t>–</w:t>
      </w:r>
      <w:r w:rsidRPr="00255C06">
        <w:rPr>
          <w:rFonts w:ascii="David" w:hAnsi="David" w:hint="cs"/>
          <w:sz w:val="24"/>
          <w:szCs w:val="24"/>
          <w:rtl/>
        </w:rPr>
        <w:t xml:space="preserve"> </w:t>
      </w:r>
      <w:r w:rsidR="008065A5" w:rsidRPr="00255C06">
        <w:rPr>
          <w:rFonts w:ascii="David" w:hAnsi="David" w:hint="cs"/>
          <w:sz w:val="24"/>
          <w:szCs w:val="24"/>
          <w:rtl/>
        </w:rPr>
        <w:t xml:space="preserve">הגדרת "הגופים המבוקרים" שבהצעת החוק הפרטית (סעיף 2) כוללת, בין היתר, גם </w:t>
      </w:r>
      <w:r w:rsidRPr="00255C06">
        <w:rPr>
          <w:rFonts w:ascii="David" w:hAnsi="David" w:hint="cs"/>
          <w:sz w:val="24"/>
          <w:szCs w:val="24"/>
          <w:rtl/>
        </w:rPr>
        <w:t>מי שעבד בגוף מבוקר עד שלוש שנים לפני תחילת הביקורת.</w:t>
      </w:r>
      <w:r w:rsidR="0088249E" w:rsidRPr="00255C06">
        <w:rPr>
          <w:rFonts w:ascii="David" w:hAnsi="David" w:hint="cs"/>
          <w:sz w:val="24"/>
          <w:szCs w:val="24"/>
          <w:rtl/>
        </w:rPr>
        <w:t xml:space="preserve"> </w:t>
      </w:r>
      <w:r w:rsidR="00A439D6">
        <w:rPr>
          <w:rFonts w:ascii="David" w:hAnsi="David" w:hint="cs"/>
          <w:sz w:val="24"/>
          <w:szCs w:val="24"/>
          <w:rtl/>
        </w:rPr>
        <w:t>אימוץ מלא של הצעה זו מעורר קושי.</w:t>
      </w:r>
      <w:r w:rsidR="00491C1C" w:rsidRPr="00255C06">
        <w:rPr>
          <w:rFonts w:ascii="David" w:hAnsi="David" w:hint="cs"/>
          <w:sz w:val="24"/>
          <w:szCs w:val="24"/>
          <w:rtl/>
        </w:rPr>
        <w:t xml:space="preserve"> ה</w:t>
      </w:r>
      <w:r w:rsidR="006034BD" w:rsidRPr="00255C06">
        <w:rPr>
          <w:rFonts w:ascii="David" w:hAnsi="David" w:hint="cs"/>
          <w:sz w:val="24"/>
          <w:szCs w:val="24"/>
          <w:rtl/>
        </w:rPr>
        <w:t>מטר</w:t>
      </w:r>
      <w:r w:rsidR="00491C1C" w:rsidRPr="00255C06">
        <w:rPr>
          <w:rFonts w:ascii="David" w:hAnsi="David" w:hint="cs"/>
          <w:sz w:val="24"/>
          <w:szCs w:val="24"/>
          <w:rtl/>
        </w:rPr>
        <w:t>ה</w:t>
      </w:r>
      <w:r w:rsidR="006034BD" w:rsidRPr="00255C06">
        <w:rPr>
          <w:rFonts w:ascii="David" w:hAnsi="David" w:hint="cs"/>
          <w:sz w:val="24"/>
          <w:szCs w:val="24"/>
          <w:rtl/>
        </w:rPr>
        <w:t xml:space="preserve"> </w:t>
      </w:r>
      <w:r w:rsidR="00491C1C" w:rsidRPr="00255C06">
        <w:rPr>
          <w:rFonts w:ascii="David" w:hAnsi="David" w:hint="cs"/>
          <w:sz w:val="24"/>
          <w:szCs w:val="24"/>
          <w:rtl/>
        </w:rPr>
        <w:t xml:space="preserve">של </w:t>
      </w:r>
      <w:r w:rsidR="006034BD" w:rsidRPr="00255C06">
        <w:rPr>
          <w:rFonts w:ascii="David" w:hAnsi="David" w:hint="cs"/>
          <w:sz w:val="24"/>
          <w:szCs w:val="24"/>
          <w:rtl/>
        </w:rPr>
        <w:t xml:space="preserve">בירור </w:t>
      </w:r>
      <w:r w:rsidR="00491C1C" w:rsidRPr="00255C06">
        <w:rPr>
          <w:rFonts w:ascii="David" w:hAnsi="David" w:hint="cs"/>
          <w:sz w:val="24"/>
          <w:szCs w:val="24"/>
          <w:rtl/>
        </w:rPr>
        <w:t xml:space="preserve">תלונות פרטניות </w:t>
      </w:r>
      <w:r w:rsidR="006034BD" w:rsidRPr="00255C06">
        <w:rPr>
          <w:rFonts w:ascii="David" w:hAnsi="David" w:hint="cs"/>
          <w:sz w:val="24"/>
          <w:szCs w:val="24"/>
          <w:rtl/>
        </w:rPr>
        <w:t xml:space="preserve">היא לתת מענה לאדם שנפגע כתוצאה ממעשה </w:t>
      </w:r>
      <w:r w:rsidR="006E1922" w:rsidRPr="00255C06">
        <w:rPr>
          <w:rFonts w:ascii="David" w:hAnsi="David" w:hint="cs"/>
          <w:sz w:val="24"/>
          <w:szCs w:val="24"/>
          <w:rtl/>
        </w:rPr>
        <w:lastRenderedPageBreak/>
        <w:t xml:space="preserve">קונקרטי </w:t>
      </w:r>
      <w:r w:rsidR="006034BD" w:rsidRPr="00255C06">
        <w:rPr>
          <w:rFonts w:ascii="David" w:hAnsi="David" w:hint="cs"/>
          <w:sz w:val="24"/>
          <w:szCs w:val="24"/>
          <w:rtl/>
        </w:rPr>
        <w:t>של מייצג</w:t>
      </w:r>
      <w:r w:rsidR="006E1922" w:rsidRPr="00255C06">
        <w:rPr>
          <w:rFonts w:ascii="David" w:hAnsi="David" w:hint="cs"/>
          <w:sz w:val="24"/>
          <w:szCs w:val="24"/>
          <w:rtl/>
        </w:rPr>
        <w:t xml:space="preserve">, כך שאם התלונה תימצא מוצדקת הליקוי </w:t>
      </w:r>
      <w:r w:rsidR="006034BD" w:rsidRPr="00255C06">
        <w:rPr>
          <w:rFonts w:ascii="David" w:hAnsi="David" w:hint="cs"/>
          <w:sz w:val="24"/>
          <w:szCs w:val="24"/>
          <w:rtl/>
        </w:rPr>
        <w:t>שנפל בפעילותו</w:t>
      </w:r>
      <w:r w:rsidR="006E1922" w:rsidRPr="00255C06">
        <w:rPr>
          <w:rFonts w:ascii="David" w:hAnsi="David" w:hint="cs"/>
          <w:sz w:val="24"/>
          <w:szCs w:val="24"/>
          <w:rtl/>
        </w:rPr>
        <w:t xml:space="preserve"> יתוקן</w:t>
      </w:r>
      <w:r w:rsidR="00491C1C" w:rsidRPr="00255C06">
        <w:rPr>
          <w:rFonts w:ascii="David" w:hAnsi="David" w:hint="cs"/>
          <w:sz w:val="24"/>
          <w:szCs w:val="24"/>
          <w:rtl/>
        </w:rPr>
        <w:t xml:space="preserve">. </w:t>
      </w:r>
      <w:r w:rsidR="00515CD2">
        <w:rPr>
          <w:rFonts w:ascii="David" w:hAnsi="David" w:hint="cs"/>
          <w:sz w:val="24"/>
          <w:szCs w:val="24"/>
          <w:rtl/>
        </w:rPr>
        <w:t>כאשר ה</w:t>
      </w:r>
      <w:r w:rsidR="00491C1C" w:rsidRPr="00255C06">
        <w:rPr>
          <w:rFonts w:ascii="David" w:hAnsi="David" w:hint="cs"/>
          <w:sz w:val="24"/>
          <w:szCs w:val="24"/>
          <w:rtl/>
        </w:rPr>
        <w:t xml:space="preserve">תלונה </w:t>
      </w:r>
      <w:r w:rsidR="00515CD2">
        <w:rPr>
          <w:rFonts w:ascii="David" w:hAnsi="David" w:hint="cs"/>
          <w:sz w:val="24"/>
          <w:szCs w:val="24"/>
          <w:rtl/>
        </w:rPr>
        <w:t xml:space="preserve">היא </w:t>
      </w:r>
      <w:r w:rsidR="00491C1C" w:rsidRPr="00255C06">
        <w:rPr>
          <w:rFonts w:ascii="David" w:hAnsi="David" w:hint="cs"/>
          <w:sz w:val="24"/>
          <w:szCs w:val="24"/>
          <w:rtl/>
        </w:rPr>
        <w:t xml:space="preserve">נגד אדם </w:t>
      </w:r>
      <w:r w:rsidR="0012302C">
        <w:rPr>
          <w:rFonts w:ascii="David" w:hAnsi="David" w:hint="cs"/>
          <w:sz w:val="24"/>
          <w:szCs w:val="24"/>
          <w:rtl/>
        </w:rPr>
        <w:t>שעבד בעבר במערך הייצוג</w:t>
      </w:r>
      <w:r w:rsidR="00491C1C" w:rsidRPr="00255C06">
        <w:rPr>
          <w:rFonts w:ascii="David" w:hAnsi="David" w:hint="cs"/>
          <w:sz w:val="24"/>
          <w:szCs w:val="24"/>
          <w:rtl/>
        </w:rPr>
        <w:t xml:space="preserve">, </w:t>
      </w:r>
      <w:r w:rsidR="00515CD2">
        <w:rPr>
          <w:rFonts w:ascii="David" w:hAnsi="David" w:hint="cs"/>
          <w:sz w:val="24"/>
          <w:szCs w:val="24"/>
          <w:rtl/>
        </w:rPr>
        <w:t>הרי ש</w:t>
      </w:r>
      <w:r w:rsidR="00491C1C" w:rsidRPr="00255C06">
        <w:rPr>
          <w:rFonts w:ascii="David" w:hAnsi="David" w:hint="cs"/>
          <w:sz w:val="24"/>
          <w:szCs w:val="24"/>
          <w:rtl/>
        </w:rPr>
        <w:t xml:space="preserve">גם אם התלונה תתברר כמוצדקת </w:t>
      </w:r>
      <w:r w:rsidR="00515CD2">
        <w:rPr>
          <w:rFonts w:ascii="David" w:hAnsi="David" w:hint="cs"/>
          <w:sz w:val="24"/>
          <w:szCs w:val="24"/>
          <w:rtl/>
        </w:rPr>
        <w:t xml:space="preserve">לא בטוח שאכן ליקויים כלשהם אכן יבואו על תיקונם. ואמנם, כדי להפריד בין המקרים בהם מוצדק לעשות בירור מעין זה למקרים שאין טעם בכך, סעיף 17(ב)(3) להצעת החוק הממשלתית מסמיך את הנציב להפסיק בירור תלונה אם נוכח שהתלונה מתייחסת לגורם שחדל להיות מייצג המדינה בערכאות. </w:t>
      </w:r>
    </w:p>
    <w:p w:rsidR="00515CD2" w:rsidRDefault="00515CD2" w:rsidP="0077660E">
      <w:pPr>
        <w:pStyle w:val="Hesberright"/>
        <w:spacing w:after="120"/>
        <w:rPr>
          <w:color w:val="0070C0"/>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proofErr w:type="spellStart"/>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proofErr w:type="spellEnd"/>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proofErr w:type="spellStart"/>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proofErr w:type="spellEnd"/>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w:t>
      </w:r>
      <w:r w:rsidR="001F0338" w:rsidRPr="00575CFA">
        <w:rPr>
          <w:rFonts w:ascii="Arial" w:eastAsia="Arial Unicode MS" w:hAnsi="Arial" w:cs="David" w:hint="cs"/>
          <w:snapToGrid w:val="0"/>
          <w:sz w:val="24"/>
          <w:rtl/>
          <w:lang w:eastAsia="ja-JP"/>
        </w:rPr>
        <w:lastRenderedPageBreak/>
        <w:t xml:space="preserve">מקנה לגורם המבקר פרספקטיבה רחבה </w:t>
      </w:r>
      <w:proofErr w:type="spellStart"/>
      <w:r w:rsidR="001F0338" w:rsidRPr="00575CFA">
        <w:rPr>
          <w:rFonts w:ascii="Arial" w:eastAsia="Arial Unicode MS" w:hAnsi="Arial" w:cs="David" w:hint="cs"/>
          <w:snapToGrid w:val="0"/>
          <w:sz w:val="24"/>
          <w:rtl/>
          <w:lang w:eastAsia="ja-JP"/>
        </w:rPr>
        <w:t>ומתכללת</w:t>
      </w:r>
      <w:proofErr w:type="spellEnd"/>
      <w:r w:rsidR="001F0338" w:rsidRPr="00575CFA">
        <w:rPr>
          <w:rFonts w:ascii="Arial" w:eastAsia="Arial Unicode MS" w:hAnsi="Arial" w:cs="David" w:hint="cs"/>
          <w:snapToGrid w:val="0"/>
          <w:sz w:val="24"/>
          <w:rtl/>
          <w:lang w:eastAsia="ja-JP"/>
        </w:rPr>
        <w:t xml:space="preserve">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F20365" w:rsidRPr="00AE571E" w:rsidRDefault="00570284" w:rsidP="00C92CC2">
      <w:pPr>
        <w:pStyle w:val="Hesber"/>
        <w:spacing w:after="120"/>
        <w:ind w:firstLine="0"/>
        <w:rPr>
          <w:color w:val="auto"/>
          <w:sz w:val="24"/>
          <w:szCs w:val="24"/>
          <w:rtl/>
        </w:rPr>
      </w:pPr>
      <w:r w:rsidRPr="00E205F4">
        <w:rPr>
          <w:rFonts w:hint="cs"/>
          <w:b/>
          <w:bCs/>
          <w:color w:val="auto"/>
          <w:sz w:val="24"/>
          <w:szCs w:val="24"/>
          <w:rtl/>
        </w:rPr>
        <w:t xml:space="preserve">(2) </w:t>
      </w:r>
      <w:r w:rsidR="00F20365" w:rsidRPr="00E205F4">
        <w:rPr>
          <w:rFonts w:hint="cs"/>
          <w:b/>
          <w:bCs/>
          <w:color w:val="auto"/>
          <w:sz w:val="24"/>
          <w:szCs w:val="24"/>
          <w:rtl/>
        </w:rPr>
        <w:t>כשירות הנציב</w:t>
      </w:r>
      <w:r w:rsidR="00F20365" w:rsidRPr="00E205F4">
        <w:rPr>
          <w:rFonts w:hint="cs"/>
          <w:color w:val="auto"/>
          <w:sz w:val="24"/>
          <w:szCs w:val="24"/>
          <w:rtl/>
        </w:rPr>
        <w:t xml:space="preserve"> </w:t>
      </w:r>
      <w:r w:rsidR="00F20365" w:rsidRPr="00E205F4">
        <w:rPr>
          <w:color w:val="auto"/>
          <w:sz w:val="24"/>
          <w:szCs w:val="24"/>
          <w:rtl/>
        </w:rPr>
        <w:t>–</w:t>
      </w:r>
      <w:r w:rsidR="00F20365" w:rsidRPr="00E205F4">
        <w:rPr>
          <w:rFonts w:hint="cs"/>
          <w:color w:val="auto"/>
          <w:sz w:val="24"/>
          <w:szCs w:val="24"/>
          <w:rtl/>
        </w:rPr>
        <w:t xml:space="preserve"> </w:t>
      </w:r>
      <w:r w:rsidR="008348FF" w:rsidRPr="00E205F4">
        <w:rPr>
          <w:rFonts w:hint="cs"/>
          <w:color w:val="auto"/>
          <w:sz w:val="24"/>
          <w:szCs w:val="24"/>
          <w:rtl/>
        </w:rPr>
        <w:t xml:space="preserve">הצעת החוק הממשלתית </w:t>
      </w:r>
      <w:r w:rsidR="007D56A3" w:rsidRPr="00E205F4">
        <w:rPr>
          <w:rFonts w:hint="cs"/>
          <w:color w:val="auto"/>
          <w:sz w:val="24"/>
          <w:szCs w:val="24"/>
          <w:rtl/>
        </w:rPr>
        <w:t xml:space="preserve">קובעת </w:t>
      </w:r>
      <w:r w:rsidR="008348FF" w:rsidRPr="00E205F4">
        <w:rPr>
          <w:rFonts w:hint="cs"/>
          <w:color w:val="auto"/>
          <w:sz w:val="24"/>
          <w:szCs w:val="24"/>
          <w:rtl/>
        </w:rPr>
        <w:t xml:space="preserve">שהנציב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בית המשפט המחוזי</w:t>
      </w:r>
      <w:r w:rsidR="008348FF" w:rsidRPr="00E205F4">
        <w:rPr>
          <w:rFonts w:hint="cs"/>
          <w:color w:val="auto"/>
          <w:sz w:val="24"/>
          <w:szCs w:val="24"/>
          <w:rtl/>
        </w:rPr>
        <w:t xml:space="preserve"> (</w:t>
      </w:r>
      <w:r w:rsidR="001C071D">
        <w:rPr>
          <w:rFonts w:hint="cs"/>
          <w:color w:val="auto"/>
          <w:sz w:val="24"/>
          <w:szCs w:val="24"/>
          <w:rtl/>
        </w:rPr>
        <w:t>=</w:t>
      </w:r>
      <w:r w:rsidR="008348FF" w:rsidRPr="00E205F4">
        <w:rPr>
          <w:rFonts w:hint="cs"/>
          <w:color w:val="auto"/>
          <w:sz w:val="24"/>
          <w:szCs w:val="24"/>
          <w:rtl/>
        </w:rPr>
        <w:t xml:space="preserve">מי שכיהן 4 שנים כשופט בית משפט השלום או מי שהוא בעל ותק של 7 שנים כמשפטן), לעומת הצעת החוק הפרטית </w:t>
      </w:r>
      <w:r w:rsidR="007D56A3" w:rsidRPr="00E205F4">
        <w:rPr>
          <w:rFonts w:hint="cs"/>
          <w:color w:val="auto"/>
          <w:sz w:val="24"/>
          <w:szCs w:val="24"/>
          <w:rtl/>
        </w:rPr>
        <w:t>שקובעת ש</w:t>
      </w:r>
      <w:r w:rsidR="008348FF" w:rsidRPr="00E205F4">
        <w:rPr>
          <w:rFonts w:hint="cs"/>
          <w:color w:val="auto"/>
          <w:sz w:val="24"/>
          <w:szCs w:val="24"/>
          <w:rtl/>
        </w:rPr>
        <w:t xml:space="preserve">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בבית המשפט העליון</w:t>
      </w:r>
      <w:r w:rsidR="008348FF" w:rsidRPr="00E205F4">
        <w:rPr>
          <w:rFonts w:hint="cs"/>
          <w:b/>
          <w:bCs/>
          <w:color w:val="auto"/>
          <w:sz w:val="24"/>
          <w:szCs w:val="24"/>
          <w:rtl/>
        </w:rPr>
        <w:t xml:space="preserve"> </w:t>
      </w:r>
      <w:r w:rsidR="008348FF" w:rsidRPr="00E205F4">
        <w:rPr>
          <w:rFonts w:hint="cs"/>
          <w:color w:val="auto"/>
          <w:sz w:val="24"/>
          <w:szCs w:val="24"/>
          <w:rtl/>
        </w:rPr>
        <w:t>(</w:t>
      </w:r>
      <w:r w:rsidR="001C071D">
        <w:rPr>
          <w:rFonts w:hint="cs"/>
          <w:color w:val="auto"/>
          <w:sz w:val="24"/>
          <w:szCs w:val="24"/>
          <w:rtl/>
        </w:rPr>
        <w:t>=</w:t>
      </w:r>
      <w:r w:rsidR="008348FF" w:rsidRPr="00E205F4">
        <w:rPr>
          <w:rFonts w:hint="cs"/>
          <w:color w:val="auto"/>
          <w:sz w:val="24"/>
          <w:szCs w:val="24"/>
          <w:rtl/>
        </w:rPr>
        <w:t>מי שכיהן 5 שנים כשופט בית המשפט המחוזי או מי שהוא בעל ותק של 10 שנים כמשפטן) (סעיף 8(ב</w:t>
      </w:r>
      <w:r w:rsidR="008348FF" w:rsidRPr="00AE571E">
        <w:rPr>
          <w:rFonts w:hint="cs"/>
          <w:color w:val="auto"/>
          <w:sz w:val="24"/>
          <w:szCs w:val="24"/>
          <w:rtl/>
        </w:rPr>
        <w:t>) להצעת החוק הפרטית).</w:t>
      </w:r>
      <w:r w:rsidR="007D56A3" w:rsidRPr="00AE571E">
        <w:rPr>
          <w:rFonts w:hint="cs"/>
          <w:color w:val="auto"/>
          <w:sz w:val="24"/>
          <w:szCs w:val="24"/>
          <w:rtl/>
        </w:rPr>
        <w:t xml:space="preserve"> נוכח חשיבותו של התפקיד</w:t>
      </w:r>
      <w:r w:rsidR="00802853" w:rsidRPr="00AE571E">
        <w:rPr>
          <w:rFonts w:hint="cs"/>
          <w:color w:val="auto"/>
          <w:sz w:val="24"/>
          <w:szCs w:val="24"/>
          <w:rtl/>
        </w:rPr>
        <w:t xml:space="preserve"> והצורך למנות אדם בעל מעמד ציבורי, </w:t>
      </w:r>
      <w:r w:rsidR="001F68A7" w:rsidRPr="00AE571E">
        <w:rPr>
          <w:rFonts w:hint="cs"/>
          <w:color w:val="auto"/>
          <w:sz w:val="24"/>
          <w:szCs w:val="24"/>
          <w:rtl/>
        </w:rPr>
        <w:t xml:space="preserve">מוצע לוועדה </w:t>
      </w:r>
      <w:r w:rsidR="00802853" w:rsidRPr="00AE571E">
        <w:rPr>
          <w:rFonts w:hint="cs"/>
          <w:color w:val="auto"/>
          <w:sz w:val="24"/>
          <w:szCs w:val="24"/>
          <w:rtl/>
        </w:rPr>
        <w:t xml:space="preserve">לשקול </w:t>
      </w:r>
      <w:r w:rsidR="00964B0D" w:rsidRPr="00AE571E">
        <w:rPr>
          <w:rFonts w:hint="cs"/>
          <w:color w:val="auto"/>
          <w:sz w:val="24"/>
          <w:szCs w:val="24"/>
          <w:rtl/>
        </w:rPr>
        <w:t>לאמץ את תנאי הכשירות המחמירים יותר שבהצעת החוק הפרטית על פני אלו שבהצעת החוק הממשלתית.</w:t>
      </w:r>
    </w:p>
    <w:p w:rsidR="002C1278" w:rsidRPr="00AE571E" w:rsidRDefault="00570284" w:rsidP="00C92CC2">
      <w:pPr>
        <w:pStyle w:val="Hesber"/>
        <w:spacing w:after="120"/>
        <w:ind w:firstLine="0"/>
        <w:rPr>
          <w:color w:val="auto"/>
          <w:sz w:val="24"/>
          <w:szCs w:val="24"/>
          <w:rtl/>
        </w:rPr>
      </w:pPr>
      <w:r w:rsidRPr="00AE571E">
        <w:rPr>
          <w:rFonts w:hint="cs"/>
          <w:b/>
          <w:bCs/>
          <w:color w:val="auto"/>
          <w:sz w:val="24"/>
          <w:szCs w:val="24"/>
          <w:rtl/>
        </w:rPr>
        <w:t>(3) 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לפי הצעת החוק הממשלתית הנציב יתמנה על ידי שר המשפטים, בהסכמת היועץ המשפטי לממשלה. לעומת זאת,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proofErr w:type="spellStart"/>
      <w:r w:rsidR="002C1278" w:rsidRPr="00AE571E">
        <w:rPr>
          <w:rFonts w:hint="cs"/>
          <w:color w:val="auto"/>
          <w:sz w:val="24"/>
          <w:szCs w:val="24"/>
          <w:rtl/>
        </w:rPr>
        <w:t>הרציונאל</w:t>
      </w:r>
      <w:proofErr w:type="spellEnd"/>
      <w:r w:rsidR="002C1278" w:rsidRPr="00AE571E">
        <w:rPr>
          <w:rFonts w:hint="cs"/>
          <w:color w:val="auto"/>
          <w:sz w:val="24"/>
          <w:szCs w:val="24"/>
          <w:rtl/>
        </w:rPr>
        <w:t xml:space="preserve">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proofErr w:type="spellStart"/>
      <w:r w:rsidR="00843271" w:rsidRPr="00AE571E">
        <w:rPr>
          <w:rFonts w:hint="cs"/>
          <w:color w:val="auto"/>
          <w:sz w:val="24"/>
          <w:szCs w:val="24"/>
          <w:rtl/>
        </w:rPr>
        <w:t>לרציונאל</w:t>
      </w:r>
      <w:proofErr w:type="spellEnd"/>
      <w:r w:rsidR="00843271" w:rsidRPr="00AE571E">
        <w:rPr>
          <w:rFonts w:hint="cs"/>
          <w:color w:val="auto"/>
          <w:sz w:val="24"/>
          <w:szCs w:val="24"/>
          <w:rtl/>
        </w:rPr>
        <w:t xml:space="preserve">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2C1278" w:rsidRPr="00AE571E">
        <w:rPr>
          <w:rFonts w:hint="cs"/>
          <w:color w:val="auto"/>
          <w:sz w:val="24"/>
          <w:szCs w:val="24"/>
          <w:rtl/>
        </w:rPr>
        <w:t xml:space="preserve">לאמץ את </w:t>
      </w:r>
      <w:r w:rsidR="00202F42" w:rsidRPr="00AE571E">
        <w:rPr>
          <w:rFonts w:hint="cs"/>
          <w:color w:val="auto"/>
          <w:sz w:val="24"/>
          <w:szCs w:val="24"/>
          <w:rtl/>
        </w:rPr>
        <w:t>הרעיון של ועדה ציבורית עצמאית שמעורבת בהליך המינוי (בין במתווה המוצע בהצעת החוק הפרטית ובין במתווה אחר).</w:t>
      </w:r>
      <w:r w:rsidR="002C1278" w:rsidRPr="00AE571E">
        <w:rPr>
          <w:rFonts w:hint="cs"/>
          <w:color w:val="auto"/>
          <w:sz w:val="24"/>
          <w:szCs w:val="24"/>
          <w:rtl/>
        </w:rPr>
        <w:t xml:space="preserve"> </w:t>
      </w:r>
    </w:p>
    <w:p w:rsidR="00E13431" w:rsidRPr="00E200D2" w:rsidRDefault="00570284" w:rsidP="00C92CC2">
      <w:pPr>
        <w:pStyle w:val="Hesber"/>
        <w:spacing w:after="120"/>
        <w:ind w:firstLine="0"/>
        <w:rPr>
          <w:color w:val="auto"/>
          <w:sz w:val="24"/>
          <w:szCs w:val="24"/>
          <w:rtl/>
        </w:rPr>
      </w:pPr>
      <w:r w:rsidRPr="00AE571E">
        <w:rPr>
          <w:rFonts w:hint="cs"/>
          <w:b/>
          <w:bCs/>
          <w:color w:val="auto"/>
          <w:sz w:val="24"/>
          <w:szCs w:val="24"/>
          <w:rtl/>
        </w:rPr>
        <w:t xml:space="preserve">(4) </w:t>
      </w:r>
      <w:r w:rsidR="00DC1314" w:rsidRPr="00AE571E">
        <w:rPr>
          <w:rFonts w:hint="cs"/>
          <w:b/>
          <w:bCs/>
          <w:color w:val="auto"/>
          <w:sz w:val="24"/>
          <w:szCs w:val="24"/>
          <w:rtl/>
        </w:rPr>
        <w:t>תקציב הנציבות</w:t>
      </w:r>
      <w:r w:rsidR="00DC1314" w:rsidRPr="00AE571E">
        <w:rPr>
          <w:rFonts w:hint="cs"/>
          <w:color w:val="auto"/>
          <w:sz w:val="24"/>
          <w:szCs w:val="24"/>
          <w:rtl/>
        </w:rPr>
        <w:t xml:space="preserve"> </w:t>
      </w:r>
      <w:r w:rsidR="00DC1314" w:rsidRPr="00AE571E">
        <w:rPr>
          <w:color w:val="auto"/>
          <w:sz w:val="24"/>
          <w:szCs w:val="24"/>
          <w:rtl/>
        </w:rPr>
        <w:t>–</w:t>
      </w:r>
      <w:r w:rsidR="00DC1314" w:rsidRPr="00AE571E">
        <w:rPr>
          <w:rFonts w:hint="cs"/>
          <w:color w:val="auto"/>
          <w:sz w:val="24"/>
          <w:szCs w:val="24"/>
          <w:rtl/>
        </w:rPr>
        <w:t xml:space="preserve"> סעיף </w:t>
      </w:r>
      <w:r w:rsidR="00C52723" w:rsidRPr="00AE571E">
        <w:rPr>
          <w:rFonts w:hint="cs"/>
          <w:color w:val="auto"/>
          <w:sz w:val="24"/>
          <w:szCs w:val="24"/>
          <w:rtl/>
        </w:rPr>
        <w:t>29</w:t>
      </w:r>
      <w:r w:rsidR="00DC1314" w:rsidRPr="00AE571E">
        <w:rPr>
          <w:rFonts w:hint="cs"/>
          <w:color w:val="auto"/>
          <w:sz w:val="24"/>
          <w:szCs w:val="24"/>
          <w:rtl/>
        </w:rPr>
        <w:t xml:space="preserve"> ל</w:t>
      </w:r>
      <w:r w:rsidR="00D92F98" w:rsidRPr="00AE571E">
        <w:rPr>
          <w:rFonts w:hint="cs"/>
          <w:color w:val="auto"/>
          <w:sz w:val="24"/>
          <w:szCs w:val="24"/>
          <w:rtl/>
        </w:rPr>
        <w:t>חוק נציב תלונות הציבור על שופטים</w:t>
      </w:r>
      <w:r w:rsidR="00DC1314" w:rsidRPr="00AE571E">
        <w:rPr>
          <w:rFonts w:hint="cs"/>
          <w:color w:val="auto"/>
          <w:sz w:val="24"/>
          <w:szCs w:val="24"/>
          <w:rtl/>
        </w:rPr>
        <w:t xml:space="preserve"> קובע, כי תקציב נציבות תלונות הציבור על שופטים יוכן על ידי שר </w:t>
      </w:r>
      <w:r w:rsidR="00DC1314" w:rsidRPr="00E200D2">
        <w:rPr>
          <w:rFonts w:hint="cs"/>
          <w:color w:val="auto"/>
          <w:sz w:val="24"/>
          <w:szCs w:val="24"/>
          <w:rtl/>
        </w:rPr>
        <w:t xml:space="preserve">המשפטים בתיאום עם הנציב וייקבע בחוק התקציב השנתי של המדינה, בתחום פעולה נפרד, במסגרת תקציב משרד המשפטים. כדי </w:t>
      </w:r>
      <w:r w:rsidR="005A32D6" w:rsidRPr="00E200D2">
        <w:rPr>
          <w:rFonts w:hint="cs"/>
          <w:color w:val="auto"/>
          <w:sz w:val="24"/>
          <w:szCs w:val="24"/>
          <w:rtl/>
        </w:rPr>
        <w:t xml:space="preserve">לשמור על </w:t>
      </w:r>
      <w:r w:rsidR="00E200D2" w:rsidRPr="00E200D2">
        <w:rPr>
          <w:rFonts w:hint="cs"/>
          <w:color w:val="auto"/>
          <w:sz w:val="24"/>
          <w:szCs w:val="24"/>
          <w:rtl/>
        </w:rPr>
        <w:t>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sidR="00C52723">
        <w:rPr>
          <w:rFonts w:hint="cs"/>
          <w:color w:val="auto"/>
          <w:sz w:val="24"/>
          <w:szCs w:val="24"/>
          <w:rtl/>
        </w:rPr>
        <w:t xml:space="preserve"> גם לגבי נציבות תלונות הציבור על מייצגי המדינה בערכאות</w:t>
      </w:r>
      <w:r w:rsidR="00E200D2" w:rsidRPr="00E200D2">
        <w:rPr>
          <w:rFonts w:hint="cs"/>
          <w:color w:val="auto"/>
          <w:sz w:val="24"/>
          <w:szCs w:val="24"/>
          <w:rtl/>
        </w:rPr>
        <w:t>.</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lastRenderedPageBreak/>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0" w:name="Seif8"/>
      <w:bookmarkEnd w:id="0"/>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lastRenderedPageBreak/>
        <w:t>נקודות לדיון</w:t>
      </w:r>
    </w:p>
    <w:p w:rsidR="00561713" w:rsidRDefault="00B27F1B" w:rsidP="00E52B2D">
      <w:pPr>
        <w:pStyle w:val="Hesberright"/>
        <w:spacing w:after="120"/>
        <w:rPr>
          <w:color w:val="auto"/>
          <w:sz w:val="24"/>
          <w:szCs w:val="24"/>
          <w:rtl/>
        </w:rPr>
      </w:pPr>
      <w:r w:rsidRPr="00F06950">
        <w:rPr>
          <w:rFonts w:hint="cs"/>
          <w:b/>
          <w:bCs/>
          <w:color w:val="auto"/>
          <w:sz w:val="24"/>
          <w:szCs w:val="24"/>
          <w:rtl/>
        </w:rPr>
        <w:t xml:space="preserve">(1) </w:t>
      </w:r>
      <w:r w:rsidR="005E384A" w:rsidRPr="00F06950">
        <w:rPr>
          <w:rFonts w:hint="cs"/>
          <w:b/>
          <w:bCs/>
          <w:color w:val="auto"/>
          <w:sz w:val="24"/>
          <w:szCs w:val="24"/>
          <w:rtl/>
        </w:rPr>
        <w:t xml:space="preserve">הגורם </w:t>
      </w:r>
      <w:r w:rsidR="00256813" w:rsidRPr="00F06950">
        <w:rPr>
          <w:rFonts w:hint="cs"/>
          <w:b/>
          <w:bCs/>
          <w:color w:val="auto"/>
          <w:sz w:val="24"/>
          <w:szCs w:val="24"/>
          <w:rtl/>
        </w:rPr>
        <w:t>שמעביר</w:t>
      </w:r>
      <w:r w:rsidR="005E384A"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005E384A" w:rsidRPr="00F06950">
        <w:rPr>
          <w:rFonts w:hint="cs"/>
          <w:color w:val="auto"/>
          <w:sz w:val="24"/>
          <w:szCs w:val="24"/>
          <w:rtl/>
        </w:rPr>
        <w:t xml:space="preserve"> </w:t>
      </w:r>
      <w:r w:rsidR="005E384A"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proofErr w:type="spellStart"/>
      <w:r w:rsidR="00AC0D71" w:rsidRPr="00F06950">
        <w:rPr>
          <w:rFonts w:hint="cs"/>
          <w:color w:val="auto"/>
          <w:sz w:val="24"/>
          <w:szCs w:val="24"/>
          <w:rtl/>
        </w:rPr>
        <w:t>כמבררי</w:t>
      </w:r>
      <w:proofErr w:type="spellEnd"/>
      <w:r w:rsidR="00AC0D71" w:rsidRPr="00F06950">
        <w:rPr>
          <w:rFonts w:hint="cs"/>
          <w:color w:val="auto"/>
          <w:sz w:val="24"/>
          <w:szCs w:val="24"/>
          <w:rtl/>
        </w:rPr>
        <w:t xml:space="preserve">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xml:space="preserve">, ולא רק בהתייעצות </w:t>
      </w:r>
      <w:proofErr w:type="spellStart"/>
      <w:r w:rsidR="00561713">
        <w:rPr>
          <w:rFonts w:hint="cs"/>
          <w:color w:val="auto"/>
          <w:sz w:val="24"/>
          <w:szCs w:val="24"/>
          <w:rtl/>
        </w:rPr>
        <w:t>איתו</w:t>
      </w:r>
      <w:proofErr w:type="spellEnd"/>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C91482" w:rsidRPr="00C67700" w:rsidRDefault="00B27F1B" w:rsidP="00E52B2D">
      <w:pPr>
        <w:pStyle w:val="TableBlock"/>
        <w:spacing w:after="120"/>
        <w:rPr>
          <w:rFonts w:ascii="David" w:hAnsi="David"/>
          <w:color w:val="auto"/>
          <w:sz w:val="24"/>
          <w:szCs w:val="24"/>
          <w:rtl/>
        </w:rPr>
      </w:pPr>
      <w:r w:rsidRPr="00C67700">
        <w:rPr>
          <w:rFonts w:ascii="David" w:hAnsi="David" w:hint="cs"/>
          <w:b/>
          <w:bCs/>
          <w:color w:val="auto"/>
          <w:sz w:val="24"/>
          <w:szCs w:val="24"/>
          <w:rtl/>
        </w:rPr>
        <w:t xml:space="preserve">(2) </w:t>
      </w:r>
      <w:r w:rsidR="00741F44" w:rsidRPr="00C67700">
        <w:rPr>
          <w:rFonts w:ascii="David" w:hAnsi="David" w:hint="cs"/>
          <w:b/>
          <w:bCs/>
          <w:color w:val="auto"/>
          <w:sz w:val="24"/>
          <w:szCs w:val="24"/>
          <w:rtl/>
        </w:rPr>
        <w:t>הגשת כתב אישום נגד הנציב</w:t>
      </w:r>
      <w:r w:rsidR="00741F44" w:rsidRPr="00C67700">
        <w:rPr>
          <w:rFonts w:ascii="David" w:hAnsi="David" w:hint="cs"/>
          <w:color w:val="auto"/>
          <w:sz w:val="24"/>
          <w:szCs w:val="24"/>
          <w:rtl/>
        </w:rPr>
        <w:t xml:space="preserve"> </w:t>
      </w:r>
      <w:r w:rsidR="00741F44" w:rsidRPr="00C67700">
        <w:rPr>
          <w:rFonts w:ascii="David" w:hAnsi="David"/>
          <w:color w:val="auto"/>
          <w:sz w:val="24"/>
          <w:szCs w:val="24"/>
          <w:rtl/>
        </w:rPr>
        <w:t>–</w:t>
      </w:r>
      <w:r w:rsidR="00741F44" w:rsidRPr="00C67700">
        <w:rPr>
          <w:rFonts w:ascii="David" w:hAnsi="David" w:hint="cs"/>
          <w:color w:val="auto"/>
          <w:sz w:val="24"/>
          <w:szCs w:val="24"/>
          <w:rtl/>
        </w:rPr>
        <w:t xml:space="preserve"> </w:t>
      </w:r>
      <w:r w:rsidR="00F06950" w:rsidRPr="00C67700">
        <w:rPr>
          <w:rFonts w:ascii="David" w:hAnsi="David" w:hint="cs"/>
          <w:color w:val="auto"/>
          <w:sz w:val="24"/>
          <w:szCs w:val="24"/>
          <w:rtl/>
        </w:rPr>
        <w:t>סעיף 9(א) ל</w:t>
      </w:r>
      <w:r w:rsidR="00D92F98">
        <w:rPr>
          <w:rFonts w:ascii="David" w:hAnsi="David" w:hint="cs"/>
          <w:color w:val="auto"/>
          <w:sz w:val="24"/>
          <w:szCs w:val="24"/>
          <w:rtl/>
        </w:rPr>
        <w:t>חוק נציב תלונות הציבור על שופטים</w:t>
      </w:r>
      <w:r w:rsidR="00F06950" w:rsidRPr="00C67700">
        <w:rPr>
          <w:rFonts w:ascii="David" w:hAnsi="David" w:hint="cs"/>
          <w:color w:val="auto"/>
          <w:sz w:val="24"/>
          <w:szCs w:val="24"/>
          <w:rtl/>
        </w:rPr>
        <w:t xml:space="preserve"> קובע, </w:t>
      </w:r>
      <w:r w:rsidR="00B97AB9" w:rsidRPr="00C67700">
        <w:rPr>
          <w:rFonts w:ascii="David" w:hAnsi="David" w:hint="cs"/>
          <w:color w:val="auto"/>
          <w:sz w:val="24"/>
          <w:szCs w:val="24"/>
          <w:rtl/>
        </w:rPr>
        <w:t xml:space="preserve">כי לא יוגש כתב אישום נגד נציב תלונות הציבור על שופטים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למעט בעבירות תעבורה, עבירות קנס או עבירות </w:t>
      </w:r>
      <w:proofErr w:type="spellStart"/>
      <w:r w:rsidR="005F38AE" w:rsidRPr="00C67700">
        <w:rPr>
          <w:rFonts w:ascii="David" w:hAnsi="David" w:hint="cs"/>
          <w:color w:val="auto"/>
          <w:sz w:val="24"/>
          <w:szCs w:val="24"/>
          <w:rtl/>
        </w:rPr>
        <w:t>מינהליות</w:t>
      </w:r>
      <w:proofErr w:type="spellEnd"/>
      <w:r w:rsidR="005F38AE" w:rsidRPr="00C67700">
        <w:rPr>
          <w:rFonts w:ascii="David" w:hAnsi="David" w:hint="cs"/>
          <w:color w:val="auto"/>
          <w:sz w:val="24"/>
          <w:szCs w:val="24"/>
          <w:rtl/>
        </w:rPr>
        <w:t xml:space="preserve">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B97AB9" w:rsidRPr="00C67700">
        <w:rPr>
          <w:rFonts w:ascii="David" w:hAnsi="David" w:hint="cs"/>
          <w:color w:val="auto"/>
          <w:sz w:val="24"/>
          <w:szCs w:val="24"/>
          <w:rtl/>
        </w:rPr>
        <w:t>אלא באישורו של היועץ המשפטי לממשלה</w:t>
      </w:r>
      <w:r w:rsidR="005F38AE" w:rsidRPr="00C67700">
        <w:rPr>
          <w:rFonts w:ascii="David" w:hAnsi="David" w:hint="cs"/>
          <w:color w:val="auto"/>
          <w:sz w:val="24"/>
          <w:szCs w:val="24"/>
          <w:rtl/>
        </w:rPr>
        <w:t>.</w:t>
      </w:r>
      <w:r w:rsidR="00B97AB9" w:rsidRPr="00C67700">
        <w:rPr>
          <w:rFonts w:ascii="David" w:hAnsi="David" w:hint="cs"/>
          <w:color w:val="auto"/>
          <w:sz w:val="24"/>
          <w:szCs w:val="24"/>
          <w:rtl/>
        </w:rPr>
        <w:t xml:space="preserve"> משהוגש כתב אישום יושעה הנציב מכהונתו ובתקופת ההשעיה ימלא את תפקידי הנציב ממלא מקומו.</w:t>
      </w:r>
      <w:r w:rsidR="00C91482" w:rsidRPr="00C67700">
        <w:rPr>
          <w:rFonts w:ascii="David" w:hAnsi="David" w:hint="cs"/>
          <w:color w:val="auto"/>
          <w:sz w:val="24"/>
          <w:szCs w:val="24"/>
          <w:rtl/>
        </w:rPr>
        <w:t xml:space="preserve"> </w:t>
      </w:r>
      <w:r w:rsidR="004D609E" w:rsidRPr="00C67700">
        <w:rPr>
          <w:rFonts w:ascii="David" w:hAnsi="David" w:hint="cs"/>
          <w:color w:val="auto"/>
          <w:sz w:val="24"/>
          <w:szCs w:val="24"/>
          <w:rtl/>
        </w:rPr>
        <w:t xml:space="preserve">כדי </w:t>
      </w:r>
      <w:r w:rsidR="005F38AE" w:rsidRPr="00C67700">
        <w:rPr>
          <w:rFonts w:ascii="David" w:hAnsi="David" w:hint="cs"/>
          <w:color w:val="auto"/>
          <w:sz w:val="24"/>
          <w:szCs w:val="24"/>
          <w:rtl/>
        </w:rPr>
        <w:t>לשמור על עצמאותו ואי תלותו של נציב תלונות הציבור על מייצגי המדינה בערכאות</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C91482" w:rsidRPr="00C67700">
        <w:rPr>
          <w:rFonts w:ascii="David" w:hAnsi="David" w:hint="cs"/>
          <w:color w:val="auto"/>
          <w:sz w:val="24"/>
          <w:szCs w:val="24"/>
          <w:rtl/>
        </w:rPr>
        <w:t xml:space="preserve">שכחלק מתפקידו מברר תלונות גם על </w:t>
      </w:r>
      <w:r w:rsidR="00234D1B">
        <w:rPr>
          <w:rFonts w:ascii="David" w:hAnsi="David" w:hint="cs"/>
          <w:color w:val="auto"/>
          <w:sz w:val="24"/>
          <w:szCs w:val="24"/>
          <w:rtl/>
        </w:rPr>
        <w:t xml:space="preserve">אותם </w:t>
      </w:r>
      <w:r w:rsidR="00C91482" w:rsidRPr="00C67700">
        <w:rPr>
          <w:rFonts w:ascii="David" w:hAnsi="David" w:hint="cs"/>
          <w:color w:val="auto"/>
          <w:sz w:val="24"/>
          <w:szCs w:val="24"/>
          <w:rtl/>
        </w:rPr>
        <w:t xml:space="preserve">מייצגים שמוסמכים להגיש </w:t>
      </w:r>
      <w:r w:rsidR="00234D1B">
        <w:rPr>
          <w:rFonts w:ascii="David" w:hAnsi="David" w:hint="cs"/>
          <w:color w:val="auto"/>
          <w:sz w:val="24"/>
          <w:szCs w:val="24"/>
          <w:rtl/>
        </w:rPr>
        <w:t xml:space="preserve">נגדו </w:t>
      </w:r>
      <w:r w:rsidR="00C91482" w:rsidRPr="00C67700">
        <w:rPr>
          <w:rFonts w:ascii="David" w:hAnsi="David" w:hint="cs"/>
          <w:color w:val="auto"/>
          <w:sz w:val="24"/>
          <w:szCs w:val="24"/>
          <w:rtl/>
        </w:rPr>
        <w:t>כתבי אישום</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C91482" w:rsidRPr="00C67700">
        <w:rPr>
          <w:rFonts w:ascii="David" w:hAnsi="David" w:hint="cs"/>
          <w:color w:val="auto"/>
          <w:sz w:val="24"/>
          <w:szCs w:val="24"/>
          <w:rtl/>
        </w:rPr>
        <w:t xml:space="preserve"> </w:t>
      </w:r>
      <w:r w:rsidR="00171A2E" w:rsidRPr="00C67700">
        <w:rPr>
          <w:rFonts w:ascii="David" w:hAnsi="David" w:hint="cs"/>
          <w:color w:val="auto"/>
          <w:sz w:val="24"/>
          <w:szCs w:val="24"/>
          <w:rtl/>
        </w:rPr>
        <w:t xml:space="preserve">יש להוסיף להצעת החוק </w:t>
      </w:r>
      <w:r w:rsidR="00C91482" w:rsidRPr="00C67700">
        <w:rPr>
          <w:rFonts w:ascii="David" w:hAnsi="David" w:hint="cs"/>
          <w:color w:val="auto"/>
          <w:sz w:val="24"/>
          <w:szCs w:val="24"/>
          <w:rtl/>
        </w:rPr>
        <w:t xml:space="preserve">הוראה </w:t>
      </w:r>
      <w:r w:rsidR="004D609E" w:rsidRPr="00C67700">
        <w:rPr>
          <w:rFonts w:ascii="David" w:hAnsi="David" w:hint="cs"/>
          <w:color w:val="auto"/>
          <w:sz w:val="24"/>
          <w:szCs w:val="24"/>
          <w:rtl/>
        </w:rPr>
        <w:t xml:space="preserve">דומה </w:t>
      </w:r>
      <w:r w:rsidR="00C91482" w:rsidRPr="00C67700">
        <w:rPr>
          <w:rFonts w:ascii="David" w:hAnsi="David" w:hint="cs"/>
          <w:color w:val="auto"/>
          <w:sz w:val="24"/>
          <w:szCs w:val="24"/>
          <w:rtl/>
        </w:rPr>
        <w:t xml:space="preserve">לזו הקיימת לגבי נציב תלונות הציבור על שופטים, </w:t>
      </w:r>
      <w:r w:rsidR="00234D1B">
        <w:rPr>
          <w:rFonts w:ascii="David" w:hAnsi="David" w:hint="cs"/>
          <w:color w:val="auto"/>
          <w:sz w:val="24"/>
          <w:szCs w:val="24"/>
          <w:rtl/>
        </w:rPr>
        <w:t xml:space="preserve">ולפיה </w:t>
      </w:r>
      <w:r w:rsidR="00E013F0">
        <w:rPr>
          <w:rFonts w:ascii="David" w:hAnsi="David" w:hint="cs"/>
          <w:color w:val="auto"/>
          <w:sz w:val="24"/>
          <w:szCs w:val="24"/>
          <w:rtl/>
        </w:rPr>
        <w:t xml:space="preserve">מייצג </w:t>
      </w:r>
      <w:r w:rsidR="005646F1">
        <w:rPr>
          <w:rFonts w:ascii="David" w:hAnsi="David" w:hint="cs"/>
          <w:color w:val="auto"/>
          <w:sz w:val="24"/>
          <w:szCs w:val="24"/>
          <w:rtl/>
        </w:rPr>
        <w:t xml:space="preserve">לא </w:t>
      </w:r>
      <w:r w:rsidR="00E013F0">
        <w:rPr>
          <w:rFonts w:ascii="David" w:hAnsi="David" w:hint="cs"/>
          <w:color w:val="auto"/>
          <w:sz w:val="24"/>
          <w:szCs w:val="24"/>
          <w:rtl/>
        </w:rPr>
        <w:t xml:space="preserve">יהיה רשאי להגיש </w:t>
      </w:r>
      <w:r w:rsidR="005646F1">
        <w:rPr>
          <w:rFonts w:ascii="David" w:hAnsi="David" w:hint="cs"/>
          <w:color w:val="auto"/>
          <w:sz w:val="24"/>
          <w:szCs w:val="24"/>
          <w:rtl/>
        </w:rPr>
        <w:t xml:space="preserve">על דעת עצמו </w:t>
      </w:r>
      <w:r w:rsidR="00E013F0">
        <w:rPr>
          <w:rFonts w:ascii="David" w:hAnsi="David" w:hint="cs"/>
          <w:color w:val="auto"/>
          <w:sz w:val="24"/>
          <w:szCs w:val="24"/>
          <w:rtl/>
        </w:rPr>
        <w:t xml:space="preserve">כתב אישום נגד </w:t>
      </w:r>
      <w:r w:rsidR="004D609E" w:rsidRPr="00C67700">
        <w:rPr>
          <w:rFonts w:ascii="David" w:hAnsi="David" w:hint="cs"/>
          <w:color w:val="auto"/>
          <w:sz w:val="24"/>
          <w:szCs w:val="24"/>
          <w:rtl/>
        </w:rPr>
        <w:t>הנציב</w:t>
      </w:r>
      <w:r w:rsidR="005646F1">
        <w:rPr>
          <w:rFonts w:ascii="David" w:hAnsi="David" w:hint="cs"/>
          <w:color w:val="auto"/>
          <w:sz w:val="24"/>
          <w:szCs w:val="24"/>
          <w:rtl/>
        </w:rPr>
        <w:t>,</w:t>
      </w:r>
      <w:r w:rsidR="00C91482" w:rsidRPr="00C67700">
        <w:rPr>
          <w:rFonts w:ascii="David" w:hAnsi="David" w:hint="cs"/>
          <w:color w:val="auto"/>
          <w:sz w:val="24"/>
          <w:szCs w:val="24"/>
          <w:rtl/>
        </w:rPr>
        <w:t xml:space="preserve"> </w:t>
      </w:r>
      <w:r w:rsidR="005646F1">
        <w:rPr>
          <w:rFonts w:ascii="David" w:hAnsi="David" w:hint="cs"/>
          <w:color w:val="auto"/>
          <w:sz w:val="24"/>
          <w:szCs w:val="24"/>
          <w:rtl/>
        </w:rPr>
        <w:t>אם לא ניתן לכך אישור מ</w:t>
      </w:r>
      <w:r w:rsidR="00C91482" w:rsidRPr="00C67700">
        <w:rPr>
          <w:rFonts w:ascii="David" w:hAnsi="David" w:hint="cs"/>
          <w:color w:val="auto"/>
          <w:sz w:val="24"/>
          <w:szCs w:val="24"/>
          <w:rtl/>
        </w:rPr>
        <w:t>היועץ המשפטי לממשלה.</w:t>
      </w:r>
    </w:p>
    <w:p w:rsidR="0099527B" w:rsidRPr="00C67700" w:rsidRDefault="0099527B" w:rsidP="00E52B2D">
      <w:pPr>
        <w:pStyle w:val="Hesberright"/>
        <w:spacing w:after="120"/>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proofErr w:type="spellStart"/>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proofErr w:type="spellEnd"/>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Pr="007551E2" w:rsidRDefault="00776A3A" w:rsidP="00E6245E">
      <w:pPr>
        <w:pStyle w:val="Hesberright"/>
        <w:rPr>
          <w:color w:val="auto"/>
          <w:sz w:val="24"/>
          <w:szCs w:val="24"/>
          <w:rtl/>
        </w:rPr>
      </w:pPr>
    </w:p>
    <w:p w:rsidR="00DB598C" w:rsidRPr="00E52B2D" w:rsidRDefault="00DB598C" w:rsidP="00F96CE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2D49A1" w:rsidRPr="004651C1" w:rsidRDefault="00B74AC0" w:rsidP="00E52B2D">
      <w:pPr>
        <w:pStyle w:val="Hesberright"/>
        <w:spacing w:after="120"/>
        <w:rPr>
          <w:color w:val="auto"/>
          <w:sz w:val="24"/>
          <w:szCs w:val="24"/>
          <w:rtl/>
        </w:rPr>
      </w:pPr>
      <w:r w:rsidRPr="007551E2">
        <w:rPr>
          <w:rFonts w:hint="cs"/>
          <w:b/>
          <w:bCs/>
          <w:color w:val="auto"/>
          <w:sz w:val="24"/>
          <w:szCs w:val="24"/>
          <w:rtl/>
        </w:rPr>
        <w:t>העדר הוראה על ייחוד משרה</w:t>
      </w:r>
      <w:r w:rsidRPr="007551E2">
        <w:rPr>
          <w:rFonts w:hint="cs"/>
          <w:color w:val="auto"/>
          <w:sz w:val="24"/>
          <w:szCs w:val="24"/>
          <w:rtl/>
        </w:rPr>
        <w:t xml:space="preserve"> </w:t>
      </w:r>
      <w:r w:rsidRPr="007551E2">
        <w:rPr>
          <w:color w:val="auto"/>
          <w:sz w:val="24"/>
          <w:szCs w:val="24"/>
          <w:rtl/>
        </w:rPr>
        <w:t>–</w:t>
      </w:r>
      <w:r w:rsidRPr="007551E2">
        <w:rPr>
          <w:rFonts w:hint="cs"/>
          <w:color w:val="auto"/>
          <w:sz w:val="24"/>
          <w:szCs w:val="24"/>
          <w:rtl/>
        </w:rPr>
        <w:t xml:space="preserve"> סעיף 11 ל</w:t>
      </w:r>
      <w:r w:rsidR="00D92F98">
        <w:rPr>
          <w:rFonts w:hint="cs"/>
          <w:color w:val="auto"/>
          <w:sz w:val="24"/>
          <w:szCs w:val="24"/>
          <w:rtl/>
        </w:rPr>
        <w:t>חוק נציב תלונות הציבור על שופטים</w:t>
      </w:r>
      <w:r w:rsidRPr="007551E2">
        <w:rPr>
          <w:rFonts w:hint="cs"/>
          <w:color w:val="auto"/>
          <w:sz w:val="24"/>
          <w:szCs w:val="24"/>
          <w:rtl/>
        </w:rPr>
        <w:t xml:space="preserve"> קובע </w:t>
      </w:r>
      <w:r w:rsidR="005360D3" w:rsidRPr="007551E2">
        <w:rPr>
          <w:rFonts w:hint="cs"/>
          <w:color w:val="auto"/>
          <w:sz w:val="24"/>
          <w:szCs w:val="24"/>
          <w:rtl/>
        </w:rPr>
        <w:t xml:space="preserve">כי </w:t>
      </w:r>
      <w:r w:rsidRPr="007551E2">
        <w:rPr>
          <w:rFonts w:hint="cs"/>
          <w:color w:val="auto"/>
          <w:sz w:val="24"/>
          <w:szCs w:val="24"/>
          <w:rtl/>
        </w:rPr>
        <w:t xml:space="preserve">נציב </w:t>
      </w:r>
      <w:r w:rsidR="005360D3" w:rsidRPr="007551E2">
        <w:rPr>
          <w:rFonts w:hint="cs"/>
          <w:color w:val="auto"/>
          <w:sz w:val="24"/>
          <w:szCs w:val="24"/>
          <w:rtl/>
        </w:rPr>
        <w:lastRenderedPageBreak/>
        <w:t xml:space="preserve">תלונות הציבור על </w:t>
      </w:r>
      <w:r w:rsidRPr="007551E2">
        <w:rPr>
          <w:rFonts w:hint="cs"/>
          <w:color w:val="auto"/>
          <w:sz w:val="24"/>
          <w:szCs w:val="24"/>
          <w:rtl/>
        </w:rPr>
        <w:t xml:space="preserve">שופטים ועובדיו </w:t>
      </w:r>
      <w:r w:rsidRPr="004651C1">
        <w:rPr>
          <w:rFonts w:hint="cs"/>
          <w:color w:val="auto"/>
          <w:sz w:val="24"/>
          <w:szCs w:val="24"/>
          <w:rtl/>
        </w:rPr>
        <w:t>לא יהיו רשאים לשמש בכל משרה אחרת</w:t>
      </w:r>
      <w:r w:rsidR="005360D3" w:rsidRPr="004651C1">
        <w:rPr>
          <w:rFonts w:hint="cs"/>
          <w:color w:val="auto"/>
          <w:sz w:val="24"/>
          <w:szCs w:val="24"/>
          <w:rtl/>
        </w:rPr>
        <w:t xml:space="preserve"> או לעסוק באיסור אחר; להיות חברים בכנסת, בממשלה, במועצה של רשות מקומית</w:t>
      </w:r>
      <w:r w:rsidRPr="004651C1">
        <w:rPr>
          <w:rFonts w:hint="cs"/>
          <w:color w:val="auto"/>
          <w:sz w:val="24"/>
          <w:szCs w:val="24"/>
          <w:rtl/>
        </w:rPr>
        <w:t xml:space="preserve"> </w:t>
      </w:r>
      <w:proofErr w:type="spellStart"/>
      <w:r w:rsidRPr="004651C1">
        <w:rPr>
          <w:rFonts w:hint="cs"/>
          <w:color w:val="auto"/>
          <w:sz w:val="24"/>
          <w:szCs w:val="24"/>
          <w:rtl/>
        </w:rPr>
        <w:t>וכו</w:t>
      </w:r>
      <w:proofErr w:type="spellEnd"/>
      <w:r w:rsidRPr="004651C1">
        <w:rPr>
          <w:rFonts w:hint="cs"/>
          <w:color w:val="auto"/>
          <w:sz w:val="24"/>
          <w:szCs w:val="24"/>
          <w:rtl/>
        </w:rPr>
        <w:t>'</w:t>
      </w:r>
      <w:r w:rsidR="005360D3" w:rsidRPr="004651C1">
        <w:rPr>
          <w:rFonts w:hint="cs"/>
          <w:color w:val="auto"/>
          <w:sz w:val="24"/>
          <w:szCs w:val="24"/>
          <w:rtl/>
        </w:rPr>
        <w:t>; ולהיות חברים בהנהלה של חבר בני אדם שמנהל עסקים לשם השגת רווחים</w:t>
      </w:r>
      <w:r w:rsidRPr="004651C1">
        <w:rPr>
          <w:rFonts w:hint="cs"/>
          <w:color w:val="auto"/>
          <w:sz w:val="24"/>
          <w:szCs w:val="24"/>
          <w:rtl/>
        </w:rPr>
        <w:t xml:space="preserve">. </w:t>
      </w:r>
      <w:r w:rsidR="003F3861">
        <w:rPr>
          <w:rFonts w:hint="cs"/>
          <w:color w:val="auto"/>
          <w:sz w:val="24"/>
          <w:szCs w:val="24"/>
          <w:rtl/>
        </w:rPr>
        <w:t>הוראה דומה יש גם לגבי מבקר המדינה בכובעו כנציב תלונות הציבור ועובדיו (סעיף 22(ב)</w:t>
      </w:r>
      <w:r w:rsidR="00207F7B">
        <w:rPr>
          <w:rFonts w:hint="cs"/>
          <w:color w:val="auto"/>
          <w:sz w:val="24"/>
          <w:szCs w:val="24"/>
          <w:rtl/>
        </w:rPr>
        <w:t>(1)</w:t>
      </w:r>
      <w:r w:rsidR="003F3861">
        <w:rPr>
          <w:rFonts w:hint="cs"/>
          <w:color w:val="auto"/>
          <w:sz w:val="24"/>
          <w:szCs w:val="24"/>
          <w:rtl/>
        </w:rPr>
        <w:t xml:space="preserve"> לחוק מבקר המדינה שחל על נציבות תלונות הציבור מכוח סעיף 47(א) לחוק האמור). </w:t>
      </w:r>
      <w:r w:rsidR="002D49A1" w:rsidRPr="004651C1">
        <w:rPr>
          <w:rFonts w:hint="cs"/>
          <w:color w:val="auto"/>
          <w:sz w:val="24"/>
          <w:szCs w:val="24"/>
          <w:rtl/>
        </w:rPr>
        <w:t>כדי למנוע חשש לניגוד עניינים האם אין צורך לקבוע הוראות דומות גם לגבי נציב תלונות הציבור על מייצגי המדינה בערכאות ועובדיו?</w:t>
      </w:r>
    </w:p>
    <w:p w:rsidR="00C23584" w:rsidRDefault="00C23584" w:rsidP="00E52B2D">
      <w:pPr>
        <w:pStyle w:val="Hesberright"/>
        <w:spacing w:after="120"/>
        <w:rPr>
          <w:color w:val="0070C0"/>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1" w:name="Seif11"/>
      <w:bookmarkEnd w:id="1"/>
      <w:r w:rsidRPr="00D90139">
        <w:rPr>
          <w:rFonts w:hint="cs"/>
          <w:b/>
          <w:bCs/>
          <w:color w:val="auto"/>
          <w:sz w:val="28"/>
          <w:szCs w:val="28"/>
          <w:rtl/>
        </w:rPr>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proofErr w:type="spellStart"/>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proofErr w:type="spellEnd"/>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Default="00E32734" w:rsidP="00E6245E">
      <w:pPr>
        <w:pStyle w:val="Hesberright"/>
        <w:rPr>
          <w:color w:val="auto"/>
          <w:sz w:val="24"/>
          <w:szCs w:val="24"/>
          <w:u w:val="single"/>
          <w:rtl/>
        </w:rPr>
      </w:pPr>
    </w:p>
    <w:p w:rsidR="008E5F9B" w:rsidRPr="00E32734" w:rsidRDefault="008E5F9B"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43374A" w:rsidRDefault="008E5F9B" w:rsidP="00E32734">
      <w:pPr>
        <w:pStyle w:val="Hesberright"/>
        <w:spacing w:after="120"/>
        <w:rPr>
          <w:color w:val="auto"/>
          <w:sz w:val="24"/>
          <w:szCs w:val="24"/>
          <w:rtl/>
        </w:rPr>
      </w:pPr>
      <w:r w:rsidRPr="003C7A0D">
        <w:rPr>
          <w:rFonts w:hint="cs"/>
          <w:b/>
          <w:bCs/>
          <w:color w:val="auto"/>
          <w:sz w:val="24"/>
          <w:szCs w:val="24"/>
          <w:rtl/>
        </w:rPr>
        <w:t>ניסוח הוראת האי תלות</w:t>
      </w:r>
      <w:r w:rsidRPr="003C7A0D">
        <w:rPr>
          <w:rFonts w:hint="cs"/>
          <w:color w:val="auto"/>
          <w:sz w:val="24"/>
          <w:szCs w:val="24"/>
          <w:rtl/>
        </w:rPr>
        <w:t xml:space="preserve"> </w:t>
      </w:r>
      <w:r w:rsidRPr="003C7A0D">
        <w:rPr>
          <w:color w:val="auto"/>
          <w:sz w:val="24"/>
          <w:szCs w:val="24"/>
          <w:rtl/>
        </w:rPr>
        <w:t>–</w:t>
      </w:r>
      <w:r w:rsidR="000111BC" w:rsidRPr="003C7A0D">
        <w:rPr>
          <w:rFonts w:hint="cs"/>
          <w:color w:val="auto"/>
          <w:sz w:val="24"/>
          <w:szCs w:val="24"/>
          <w:rtl/>
        </w:rPr>
        <w:t xml:space="preserve"> </w:t>
      </w:r>
      <w:r w:rsidRPr="003C7A0D">
        <w:rPr>
          <w:rFonts w:hint="cs"/>
          <w:color w:val="auto"/>
          <w:sz w:val="24"/>
          <w:szCs w:val="24"/>
          <w:rtl/>
        </w:rPr>
        <w:t>הוראת אי התלות המקבילה שבסעיף 26 ל</w:t>
      </w:r>
      <w:r w:rsidR="00D92F98" w:rsidRPr="003C7A0D">
        <w:rPr>
          <w:rFonts w:hint="cs"/>
          <w:color w:val="auto"/>
          <w:sz w:val="24"/>
          <w:szCs w:val="24"/>
          <w:rtl/>
        </w:rPr>
        <w:t>חוק נציב תלונות הציבור על שופטים</w:t>
      </w:r>
      <w:r w:rsidRPr="003C7A0D">
        <w:rPr>
          <w:rFonts w:hint="cs"/>
          <w:color w:val="auto"/>
          <w:sz w:val="24"/>
          <w:szCs w:val="24"/>
          <w:rtl/>
        </w:rPr>
        <w:t xml:space="preserve"> </w:t>
      </w:r>
      <w:r w:rsidR="000111BC" w:rsidRPr="003C7A0D">
        <w:rPr>
          <w:rFonts w:hint="cs"/>
          <w:color w:val="auto"/>
          <w:sz w:val="24"/>
          <w:szCs w:val="24"/>
          <w:rtl/>
        </w:rPr>
        <w:t xml:space="preserve">קובעת כי </w:t>
      </w:r>
      <w:r w:rsidRPr="003C7A0D">
        <w:rPr>
          <w:rFonts w:hint="cs"/>
          <w:color w:val="auto"/>
          <w:sz w:val="24"/>
          <w:szCs w:val="24"/>
          <w:rtl/>
        </w:rPr>
        <w:t>"</w:t>
      </w:r>
      <w:r w:rsidRPr="003C7A0D">
        <w:rPr>
          <w:rStyle w:val="default"/>
          <w:rFonts w:cs="Narkisim"/>
          <w:i/>
          <w:iCs/>
          <w:color w:val="auto"/>
          <w:sz w:val="24"/>
          <w:szCs w:val="24"/>
          <w:rtl/>
        </w:rPr>
        <w:t>א</w:t>
      </w:r>
      <w:r w:rsidRPr="003C7A0D">
        <w:rPr>
          <w:rStyle w:val="default"/>
          <w:rFonts w:cs="Narkisim" w:hint="cs"/>
          <w:i/>
          <w:iCs/>
          <w:color w:val="auto"/>
          <w:sz w:val="24"/>
          <w:szCs w:val="24"/>
          <w:rtl/>
        </w:rPr>
        <w:t>י</w:t>
      </w:r>
      <w:r w:rsidRPr="003C7A0D">
        <w:rPr>
          <w:rStyle w:val="default"/>
          <w:rFonts w:cs="Narkisim"/>
          <w:i/>
          <w:iCs/>
          <w:color w:val="auto"/>
          <w:sz w:val="24"/>
          <w:szCs w:val="24"/>
          <w:rtl/>
        </w:rPr>
        <w:t>ן</w:t>
      </w:r>
      <w:r w:rsidRPr="003C7A0D">
        <w:rPr>
          <w:rStyle w:val="default"/>
          <w:rFonts w:cs="Narkisim" w:hint="cs"/>
          <w:i/>
          <w:iCs/>
          <w:color w:val="auto"/>
          <w:sz w:val="24"/>
          <w:szCs w:val="24"/>
          <w:rtl/>
        </w:rPr>
        <w:t xml:space="preserve"> על הנציב ועל עובדי הנציבות מרות </w:t>
      </w:r>
      <w:proofErr w:type="spellStart"/>
      <w:r w:rsidRPr="003C7A0D">
        <w:rPr>
          <w:rStyle w:val="default"/>
          <w:rFonts w:cs="Narkisim" w:hint="cs"/>
          <w:i/>
          <w:iCs/>
          <w:color w:val="auto"/>
          <w:sz w:val="24"/>
          <w:szCs w:val="24"/>
          <w:rtl/>
        </w:rPr>
        <w:t>בענין</w:t>
      </w:r>
      <w:proofErr w:type="spellEnd"/>
      <w:r w:rsidRPr="003C7A0D">
        <w:rPr>
          <w:rStyle w:val="default"/>
          <w:rFonts w:cs="Narkisim" w:hint="cs"/>
          <w:i/>
          <w:iCs/>
          <w:color w:val="auto"/>
          <w:sz w:val="24"/>
          <w:szCs w:val="24"/>
          <w:rtl/>
        </w:rPr>
        <w:t xml:space="preserve"> מילוי תפקידיהם לפי חוק זה, זו</w:t>
      </w:r>
      <w:r w:rsidRPr="003C7A0D">
        <w:rPr>
          <w:rStyle w:val="default"/>
          <w:rFonts w:cs="Narkisim"/>
          <w:i/>
          <w:iCs/>
          <w:color w:val="auto"/>
          <w:sz w:val="24"/>
          <w:szCs w:val="24"/>
          <w:rtl/>
        </w:rPr>
        <w:t>ל</w:t>
      </w:r>
      <w:r w:rsidRPr="003C7A0D">
        <w:rPr>
          <w:rStyle w:val="default"/>
          <w:rFonts w:cs="Narkisim" w:hint="cs"/>
          <w:i/>
          <w:iCs/>
          <w:color w:val="auto"/>
          <w:sz w:val="24"/>
          <w:szCs w:val="24"/>
          <w:rtl/>
        </w:rPr>
        <w:t>ת</w:t>
      </w:r>
      <w:r w:rsidRPr="003C7A0D">
        <w:rPr>
          <w:rStyle w:val="default"/>
          <w:rFonts w:cs="Narkisim"/>
          <w:i/>
          <w:iCs/>
          <w:color w:val="auto"/>
          <w:sz w:val="24"/>
          <w:szCs w:val="24"/>
          <w:rtl/>
        </w:rPr>
        <w:t xml:space="preserve"> </w:t>
      </w:r>
      <w:r w:rsidRPr="003C7A0D">
        <w:rPr>
          <w:rStyle w:val="default"/>
          <w:rFonts w:cs="Narkisim" w:hint="cs"/>
          <w:i/>
          <w:iCs/>
          <w:color w:val="auto"/>
          <w:sz w:val="24"/>
          <w:szCs w:val="24"/>
          <w:rtl/>
        </w:rPr>
        <w:t>מרותו של הדין</w:t>
      </w:r>
      <w:r w:rsidRPr="003C7A0D">
        <w:rPr>
          <w:rFonts w:hint="cs"/>
          <w:color w:val="auto"/>
          <w:sz w:val="24"/>
          <w:szCs w:val="24"/>
          <w:rtl/>
        </w:rPr>
        <w:t xml:space="preserve">". </w:t>
      </w:r>
      <w:r w:rsidR="007B21A5" w:rsidRPr="003C7A0D">
        <w:rPr>
          <w:rFonts w:hint="cs"/>
          <w:color w:val="auto"/>
          <w:sz w:val="24"/>
          <w:szCs w:val="24"/>
          <w:rtl/>
        </w:rPr>
        <w:t xml:space="preserve">הוראה </w:t>
      </w:r>
      <w:r w:rsidR="00BB2E36" w:rsidRPr="003C7A0D">
        <w:rPr>
          <w:rFonts w:hint="cs"/>
          <w:color w:val="auto"/>
          <w:sz w:val="24"/>
          <w:szCs w:val="24"/>
          <w:rtl/>
        </w:rPr>
        <w:t xml:space="preserve">בנוסח דומה </w:t>
      </w:r>
      <w:r w:rsidR="007B21A5" w:rsidRPr="003C7A0D">
        <w:rPr>
          <w:rFonts w:hint="cs"/>
          <w:color w:val="auto"/>
          <w:sz w:val="24"/>
          <w:szCs w:val="24"/>
          <w:rtl/>
        </w:rPr>
        <w:t>יש בסעיף 558 לחוק השיפוט הצבאי לעניין נציב קבילת החיילים, וזהו הנוסח שמוצע לאמץ גם בהצעת החוק הפרטית (סעיף 17 להצעת החוק הפרטית).</w:t>
      </w:r>
      <w:r w:rsidR="004C4B82" w:rsidRPr="003C7A0D">
        <w:rPr>
          <w:rFonts w:hint="cs"/>
          <w:color w:val="auto"/>
          <w:sz w:val="24"/>
          <w:szCs w:val="24"/>
          <w:rtl/>
        </w:rPr>
        <w:t xml:space="preserve"> </w:t>
      </w:r>
      <w:r w:rsidR="000111BC" w:rsidRPr="003C7A0D">
        <w:rPr>
          <w:rFonts w:hint="cs"/>
          <w:color w:val="auto"/>
          <w:sz w:val="24"/>
          <w:szCs w:val="24"/>
          <w:rtl/>
        </w:rPr>
        <w:t xml:space="preserve">מדובר בניסוח רחב ומשמעותי יותר מזה המוצע לגבי נציב תלונות הציבור על מייצגי המדינה בערכאות, בשני היבטים: </w:t>
      </w:r>
      <w:r w:rsidR="000111BC" w:rsidRPr="003C7A0D">
        <w:rPr>
          <w:rFonts w:hint="cs"/>
          <w:color w:val="auto"/>
          <w:sz w:val="24"/>
          <w:szCs w:val="24"/>
          <w:u w:val="single"/>
          <w:rtl/>
        </w:rPr>
        <w:t>ראשית</w:t>
      </w:r>
      <w:r w:rsidR="000111BC" w:rsidRPr="003C7A0D">
        <w:rPr>
          <w:rFonts w:hint="cs"/>
          <w:color w:val="auto"/>
          <w:sz w:val="24"/>
          <w:szCs w:val="24"/>
          <w:rtl/>
        </w:rPr>
        <w:t xml:space="preserve">, הניסוח של "אין מרות זולת מרותו של הדין" </w:t>
      </w:r>
      <w:r w:rsidR="007C09A9" w:rsidRPr="003C7A0D">
        <w:rPr>
          <w:rFonts w:hint="cs"/>
          <w:color w:val="auto"/>
          <w:sz w:val="24"/>
          <w:szCs w:val="24"/>
          <w:rtl/>
        </w:rPr>
        <w:t xml:space="preserve">מלמד על עצמאות מוחלטת ואי כפיפות לאף גורם אחר. המרת ניסוח זה בניסוח של </w:t>
      </w:r>
      <w:r w:rsidR="000111BC" w:rsidRPr="003C7A0D">
        <w:rPr>
          <w:rFonts w:hint="cs"/>
          <w:color w:val="auto"/>
          <w:sz w:val="24"/>
          <w:szCs w:val="24"/>
          <w:rtl/>
        </w:rPr>
        <w:t>"שיקול דעת עצמאי"</w:t>
      </w:r>
      <w:r w:rsidR="007C09A9" w:rsidRPr="003C7A0D">
        <w:rPr>
          <w:rFonts w:hint="cs"/>
          <w:color w:val="auto"/>
          <w:sz w:val="24"/>
          <w:szCs w:val="24"/>
          <w:rtl/>
        </w:rPr>
        <w:t xml:space="preserve"> עשוי לרמז על </w:t>
      </w:r>
      <w:r w:rsidR="00236213" w:rsidRPr="003C7A0D">
        <w:rPr>
          <w:rFonts w:hint="cs"/>
          <w:color w:val="auto"/>
          <w:sz w:val="24"/>
          <w:szCs w:val="24"/>
          <w:rtl/>
        </w:rPr>
        <w:t>כך שלא מדובר בעצמאות מוחלטת ושהנציב כפוף, באיזה שהוא אופן לגורם אחר</w:t>
      </w:r>
      <w:r w:rsidR="000111BC" w:rsidRPr="003C7A0D">
        <w:rPr>
          <w:rFonts w:hint="cs"/>
          <w:color w:val="auto"/>
          <w:sz w:val="24"/>
          <w:szCs w:val="24"/>
          <w:rtl/>
        </w:rPr>
        <w:t xml:space="preserve">; </w:t>
      </w:r>
      <w:r w:rsidR="000111BC" w:rsidRPr="003C7A0D">
        <w:rPr>
          <w:rFonts w:hint="cs"/>
          <w:color w:val="auto"/>
          <w:sz w:val="24"/>
          <w:szCs w:val="24"/>
          <w:u w:val="single"/>
          <w:rtl/>
        </w:rPr>
        <w:t>שנית</w:t>
      </w:r>
      <w:r w:rsidR="000111BC" w:rsidRPr="003C7A0D">
        <w:rPr>
          <w:rFonts w:hint="cs"/>
          <w:color w:val="auto"/>
          <w:sz w:val="24"/>
          <w:szCs w:val="24"/>
          <w:rtl/>
        </w:rPr>
        <w:t xml:space="preserve">, הניסוח כולל גם את עובדי הנציבות ולא רק את הנציב. </w:t>
      </w:r>
      <w:r w:rsidR="001E0477" w:rsidRPr="003C7A0D">
        <w:rPr>
          <w:rFonts w:hint="cs"/>
          <w:color w:val="auto"/>
          <w:sz w:val="24"/>
          <w:szCs w:val="24"/>
          <w:rtl/>
        </w:rPr>
        <w:t>להלן נראה</w:t>
      </w:r>
      <w:r w:rsidR="00213088" w:rsidRPr="003C7A0D">
        <w:rPr>
          <w:rFonts w:hint="cs"/>
          <w:color w:val="auto"/>
          <w:sz w:val="24"/>
          <w:szCs w:val="24"/>
          <w:rtl/>
        </w:rPr>
        <w:t>,</w:t>
      </w:r>
      <w:r w:rsidR="001E0477" w:rsidRPr="003C7A0D">
        <w:rPr>
          <w:rFonts w:hint="cs"/>
          <w:color w:val="auto"/>
          <w:sz w:val="24"/>
          <w:szCs w:val="24"/>
          <w:rtl/>
        </w:rPr>
        <w:t xml:space="preserve"> כי מתעוררת שאלה </w:t>
      </w:r>
      <w:r w:rsidR="00783BF2" w:rsidRPr="003C7A0D">
        <w:rPr>
          <w:rFonts w:hint="cs"/>
          <w:color w:val="auto"/>
          <w:sz w:val="24"/>
          <w:szCs w:val="24"/>
          <w:rtl/>
        </w:rPr>
        <w:t xml:space="preserve">האם </w:t>
      </w:r>
      <w:r w:rsidR="00213088" w:rsidRPr="003C7A0D">
        <w:rPr>
          <w:rFonts w:hint="cs"/>
          <w:color w:val="auto"/>
          <w:sz w:val="24"/>
          <w:szCs w:val="24"/>
          <w:rtl/>
        </w:rPr>
        <w:t xml:space="preserve">הנציב כפוף לפרשנות </w:t>
      </w:r>
      <w:r w:rsidR="006068FD" w:rsidRPr="003C7A0D">
        <w:rPr>
          <w:rFonts w:hint="cs"/>
          <w:color w:val="auto"/>
          <w:sz w:val="24"/>
          <w:szCs w:val="24"/>
          <w:rtl/>
        </w:rPr>
        <w:t xml:space="preserve">המשפטית של </w:t>
      </w:r>
      <w:r w:rsidR="00783BF2" w:rsidRPr="003C7A0D">
        <w:rPr>
          <w:rFonts w:hint="cs"/>
          <w:color w:val="auto"/>
          <w:sz w:val="24"/>
          <w:szCs w:val="24"/>
          <w:rtl/>
        </w:rPr>
        <w:t xml:space="preserve">היועץ </w:t>
      </w:r>
      <w:r w:rsidR="006068FD" w:rsidRPr="003C7A0D">
        <w:rPr>
          <w:rFonts w:hint="cs"/>
          <w:color w:val="auto"/>
          <w:sz w:val="24"/>
          <w:szCs w:val="24"/>
          <w:rtl/>
        </w:rPr>
        <w:t xml:space="preserve">המשפטי לממשלה </w:t>
      </w:r>
      <w:r w:rsidR="00B145A4" w:rsidRPr="003C7A0D">
        <w:rPr>
          <w:rFonts w:hint="cs"/>
          <w:color w:val="auto"/>
          <w:sz w:val="24"/>
          <w:szCs w:val="24"/>
          <w:rtl/>
        </w:rPr>
        <w:t xml:space="preserve">או לא </w:t>
      </w:r>
      <w:r w:rsidR="001E0477" w:rsidRPr="003C7A0D">
        <w:rPr>
          <w:rFonts w:hint="cs"/>
          <w:color w:val="auto"/>
          <w:sz w:val="24"/>
          <w:szCs w:val="24"/>
          <w:rtl/>
        </w:rPr>
        <w:t xml:space="preserve">(ראו ההערות לסעיף 11). </w:t>
      </w:r>
      <w:r w:rsidR="0043374A" w:rsidRPr="003C7A0D">
        <w:rPr>
          <w:rFonts w:hint="cs"/>
          <w:color w:val="auto"/>
          <w:sz w:val="24"/>
          <w:szCs w:val="24"/>
          <w:rtl/>
        </w:rPr>
        <w:t>בהקשר זה יש מקום לשער, שאולי הניסוח הרך יותר של הוראת אי התלות שבסעיף 9 המוצע ("שיקול דעת עצמאי"),</w:t>
      </w:r>
      <w:r w:rsidR="00D134D0" w:rsidRPr="003C7A0D">
        <w:rPr>
          <w:rFonts w:hint="cs"/>
          <w:color w:val="auto"/>
          <w:sz w:val="24"/>
          <w:szCs w:val="24"/>
          <w:rtl/>
        </w:rPr>
        <w:t xml:space="preserve"> נועד להתייחס בעקיפין ל</w:t>
      </w:r>
      <w:r w:rsidR="00C1648C" w:rsidRPr="003C7A0D">
        <w:rPr>
          <w:rFonts w:hint="cs"/>
          <w:color w:val="auto"/>
          <w:sz w:val="24"/>
          <w:szCs w:val="24"/>
          <w:rtl/>
        </w:rPr>
        <w:t>סיטואציה האמורה</w:t>
      </w:r>
      <w:r w:rsidR="00D134D0" w:rsidRPr="003C7A0D">
        <w:rPr>
          <w:rFonts w:hint="cs"/>
          <w:color w:val="auto"/>
          <w:sz w:val="24"/>
          <w:szCs w:val="24"/>
          <w:rtl/>
        </w:rPr>
        <w:t xml:space="preserve"> ולרמוז לכך שאמנם לנציב יש שיקול דעת עצמאי ב</w:t>
      </w:r>
      <w:r w:rsidR="00783BF2" w:rsidRPr="003C7A0D">
        <w:rPr>
          <w:rFonts w:hint="cs"/>
          <w:color w:val="auto"/>
          <w:sz w:val="24"/>
          <w:szCs w:val="24"/>
          <w:rtl/>
        </w:rPr>
        <w:t xml:space="preserve">כל הנוגע </w:t>
      </w:r>
      <w:r w:rsidR="00783BF2" w:rsidRPr="003C7A0D">
        <w:rPr>
          <w:rFonts w:hint="cs"/>
          <w:color w:val="auto"/>
          <w:sz w:val="24"/>
          <w:szCs w:val="24"/>
          <w:u w:val="single"/>
          <w:rtl/>
        </w:rPr>
        <w:t>ל</w:t>
      </w:r>
      <w:r w:rsidR="00EE375C" w:rsidRPr="003C7A0D">
        <w:rPr>
          <w:rFonts w:hint="cs"/>
          <w:color w:val="auto"/>
          <w:sz w:val="24"/>
          <w:szCs w:val="24"/>
          <w:u w:val="single"/>
          <w:rtl/>
        </w:rPr>
        <w:t>בירור התלונה</w:t>
      </w:r>
      <w:r w:rsidR="00D134D0" w:rsidRPr="003C7A0D">
        <w:rPr>
          <w:rFonts w:hint="cs"/>
          <w:color w:val="auto"/>
          <w:sz w:val="24"/>
          <w:szCs w:val="24"/>
          <w:rtl/>
        </w:rPr>
        <w:t xml:space="preserve"> אך בכל הנוגע </w:t>
      </w:r>
      <w:r w:rsidR="00D134D0" w:rsidRPr="003C7A0D">
        <w:rPr>
          <w:rFonts w:hint="cs"/>
          <w:color w:val="auto"/>
          <w:sz w:val="24"/>
          <w:szCs w:val="24"/>
          <w:u w:val="single"/>
          <w:rtl/>
        </w:rPr>
        <w:t>לפרשנות החוק</w:t>
      </w:r>
      <w:r w:rsidR="00D134D0" w:rsidRPr="003C7A0D">
        <w:rPr>
          <w:rFonts w:hint="cs"/>
          <w:color w:val="auto"/>
          <w:sz w:val="24"/>
          <w:szCs w:val="24"/>
          <w:rtl/>
        </w:rPr>
        <w:t xml:space="preserve"> הוא כפוף לפרשנות היועץ.</w:t>
      </w:r>
      <w:r w:rsidR="00C1648C" w:rsidRPr="003C7A0D">
        <w:rPr>
          <w:rFonts w:hint="cs"/>
          <w:color w:val="auto"/>
          <w:sz w:val="24"/>
          <w:szCs w:val="24"/>
          <w:rtl/>
        </w:rPr>
        <w:t xml:space="preserve"> </w:t>
      </w:r>
      <w:r w:rsidR="00783BF2" w:rsidRPr="003C7A0D">
        <w:rPr>
          <w:rFonts w:hint="cs"/>
          <w:color w:val="auto"/>
          <w:sz w:val="24"/>
          <w:szCs w:val="24"/>
          <w:rtl/>
        </w:rPr>
        <w:t xml:space="preserve">ספק </w:t>
      </w:r>
      <w:r w:rsidR="00783BF2" w:rsidRPr="003C7A0D">
        <w:rPr>
          <w:rFonts w:hint="cs"/>
          <w:color w:val="auto"/>
          <w:sz w:val="24"/>
          <w:szCs w:val="24"/>
          <w:rtl/>
        </w:rPr>
        <w:lastRenderedPageBreak/>
        <w:t>אם יש לכך הצדקה. נוכח ההקבלה בין נציב תלונות הציבור על מייצגי המדינה בערכאות לבין נציב תלונות הציבור על שופטים</w:t>
      </w:r>
      <w:r w:rsidR="00BB2E36" w:rsidRPr="003C7A0D">
        <w:rPr>
          <w:rFonts w:hint="cs"/>
          <w:color w:val="auto"/>
          <w:sz w:val="24"/>
          <w:szCs w:val="24"/>
          <w:rtl/>
        </w:rPr>
        <w:t xml:space="preserve"> (ונציב קבילות החיילים)</w:t>
      </w:r>
      <w:r w:rsidR="00783BF2" w:rsidRPr="003C7A0D">
        <w:rPr>
          <w:rFonts w:hint="cs"/>
          <w:color w:val="auto"/>
          <w:sz w:val="24"/>
          <w:szCs w:val="24"/>
          <w:rtl/>
        </w:rPr>
        <w:t xml:space="preserve">, נראה כי יש להשוות את ניסוחה של הוראת אי התלות </w:t>
      </w:r>
      <w:r w:rsidR="00B145A4" w:rsidRPr="003C7A0D">
        <w:rPr>
          <w:rFonts w:hint="cs"/>
          <w:color w:val="auto"/>
          <w:sz w:val="24"/>
          <w:szCs w:val="24"/>
          <w:rtl/>
        </w:rPr>
        <w:t>בשני המקומות</w:t>
      </w:r>
      <w:r w:rsidR="00D50DF2" w:rsidRPr="003C7A0D">
        <w:rPr>
          <w:rFonts w:hint="cs"/>
          <w:color w:val="auto"/>
          <w:sz w:val="24"/>
          <w:szCs w:val="24"/>
          <w:rtl/>
        </w:rPr>
        <w:t xml:space="preserve">, </w:t>
      </w:r>
      <w:r w:rsidR="00B145A4" w:rsidRPr="003C7A0D">
        <w:rPr>
          <w:rFonts w:hint="cs"/>
          <w:color w:val="auto"/>
          <w:sz w:val="24"/>
          <w:szCs w:val="24"/>
          <w:rtl/>
        </w:rPr>
        <w:t xml:space="preserve">ובנוסף להחיל הוראה זו </w:t>
      </w:r>
      <w:r w:rsidR="00D50DF2" w:rsidRPr="003C7A0D">
        <w:rPr>
          <w:rFonts w:hint="cs"/>
          <w:color w:val="auto"/>
          <w:sz w:val="24"/>
          <w:szCs w:val="24"/>
          <w:rtl/>
        </w:rPr>
        <w:t>גם על עובדי הנציבות</w:t>
      </w:r>
      <w:r w:rsidR="00DC1D79" w:rsidRPr="003C7A0D">
        <w:rPr>
          <w:rFonts w:hint="cs"/>
          <w:color w:val="auto"/>
          <w:sz w:val="24"/>
          <w:szCs w:val="24"/>
          <w:rtl/>
        </w:rPr>
        <w:t>.</w:t>
      </w:r>
    </w:p>
    <w:p w:rsidR="00FF2F12" w:rsidRDefault="00FF2F12"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8E5F9B" w:rsidRDefault="008E5F9B" w:rsidP="00E32734">
      <w:pPr>
        <w:pStyle w:val="Hesberright"/>
        <w:spacing w:after="120"/>
        <w:rPr>
          <w:color w:val="auto"/>
          <w:sz w:val="24"/>
          <w:szCs w:val="24"/>
          <w:rtl/>
        </w:rPr>
      </w:pPr>
      <w:r w:rsidRPr="00AE39C3">
        <w:rPr>
          <w:rFonts w:hint="cs"/>
          <w:b/>
          <w:bCs/>
          <w:color w:val="auto"/>
          <w:sz w:val="24"/>
          <w:szCs w:val="24"/>
          <w:rtl/>
        </w:rPr>
        <w:t>תנאי כהונתו של הנציב</w:t>
      </w:r>
      <w:r w:rsidRPr="00AE39C3">
        <w:rPr>
          <w:rFonts w:hint="cs"/>
          <w:color w:val="auto"/>
          <w:sz w:val="24"/>
          <w:szCs w:val="24"/>
          <w:rtl/>
        </w:rPr>
        <w:t xml:space="preserve"> </w:t>
      </w:r>
      <w:r w:rsidRPr="00AE39C3">
        <w:rPr>
          <w:color w:val="auto"/>
          <w:sz w:val="24"/>
          <w:szCs w:val="24"/>
          <w:rtl/>
        </w:rPr>
        <w:t>–</w:t>
      </w:r>
      <w:r w:rsidRPr="00AE39C3">
        <w:rPr>
          <w:rFonts w:hint="cs"/>
          <w:color w:val="auto"/>
          <w:sz w:val="24"/>
          <w:szCs w:val="24"/>
          <w:rtl/>
        </w:rPr>
        <w:t xml:space="preserve"> סעיף 25 ל</w:t>
      </w:r>
      <w:r w:rsidR="00D92F98">
        <w:rPr>
          <w:rFonts w:hint="cs"/>
          <w:color w:val="auto"/>
          <w:sz w:val="24"/>
          <w:szCs w:val="24"/>
          <w:rtl/>
        </w:rPr>
        <w:t>חוק נציב תלונות הציבור על שופטים</w:t>
      </w:r>
      <w:r w:rsidRPr="00AE39C3">
        <w:rPr>
          <w:rFonts w:hint="cs"/>
          <w:color w:val="auto"/>
          <w:sz w:val="24"/>
          <w:szCs w:val="24"/>
          <w:rtl/>
        </w:rPr>
        <w:t xml:space="preserve"> </w:t>
      </w:r>
      <w:r w:rsidR="00720AF6" w:rsidRPr="00AE39C3">
        <w:rPr>
          <w:rFonts w:hint="cs"/>
          <w:color w:val="auto"/>
          <w:sz w:val="24"/>
          <w:szCs w:val="24"/>
          <w:rtl/>
        </w:rPr>
        <w:t xml:space="preserve">קובע כי </w:t>
      </w:r>
      <w:r w:rsidRPr="00AE39C3">
        <w:rPr>
          <w:rFonts w:hint="cs"/>
          <w:color w:val="auto"/>
          <w:sz w:val="24"/>
          <w:szCs w:val="24"/>
          <w:rtl/>
        </w:rPr>
        <w:t xml:space="preserve">שכרו, תנאי שירותו וגמלאותיו של נציב </w:t>
      </w:r>
      <w:r w:rsidR="00334AD0">
        <w:rPr>
          <w:rFonts w:hint="cs"/>
          <w:color w:val="auto"/>
          <w:sz w:val="24"/>
          <w:szCs w:val="24"/>
          <w:rtl/>
        </w:rPr>
        <w:t xml:space="preserve">תלונות הציבור על שופטים (שהוא בעל כשירות לכהן כשופט בית המשפט העליון) </w:t>
      </w:r>
      <w:r w:rsidRPr="00AE39C3">
        <w:rPr>
          <w:rFonts w:hint="cs"/>
          <w:color w:val="auto"/>
          <w:sz w:val="24"/>
          <w:szCs w:val="24"/>
          <w:rtl/>
        </w:rPr>
        <w:t xml:space="preserve">יהיו כשל שופט </w:t>
      </w:r>
      <w:r w:rsidR="00720AF6" w:rsidRPr="00AE39C3">
        <w:rPr>
          <w:rFonts w:hint="cs"/>
          <w:color w:val="auto"/>
          <w:sz w:val="24"/>
          <w:szCs w:val="24"/>
          <w:rtl/>
        </w:rPr>
        <w:t>בית המשפט</w:t>
      </w:r>
      <w:r w:rsidRPr="00AE39C3">
        <w:rPr>
          <w:rFonts w:hint="cs"/>
          <w:color w:val="auto"/>
          <w:sz w:val="24"/>
          <w:szCs w:val="24"/>
          <w:rtl/>
        </w:rPr>
        <w:t xml:space="preserve"> </w:t>
      </w:r>
      <w:r w:rsidR="00720AF6" w:rsidRPr="00AE39C3">
        <w:rPr>
          <w:rFonts w:hint="cs"/>
          <w:color w:val="auto"/>
          <w:sz w:val="24"/>
          <w:szCs w:val="24"/>
          <w:rtl/>
        </w:rPr>
        <w:t>ה</w:t>
      </w:r>
      <w:r w:rsidRPr="00AE39C3">
        <w:rPr>
          <w:rFonts w:hint="cs"/>
          <w:color w:val="auto"/>
          <w:sz w:val="24"/>
          <w:szCs w:val="24"/>
          <w:rtl/>
        </w:rPr>
        <w:t xml:space="preserve">עליון. האם </w:t>
      </w:r>
      <w:r w:rsidR="00720AF6" w:rsidRPr="00AE39C3">
        <w:rPr>
          <w:rFonts w:hint="cs"/>
          <w:color w:val="auto"/>
          <w:sz w:val="24"/>
          <w:szCs w:val="24"/>
          <w:rtl/>
        </w:rPr>
        <w:t>אין</w:t>
      </w:r>
      <w:r w:rsidR="0062517F">
        <w:rPr>
          <w:rFonts w:hint="cs"/>
          <w:color w:val="auto"/>
          <w:sz w:val="24"/>
          <w:szCs w:val="24"/>
          <w:rtl/>
        </w:rPr>
        <w:t xml:space="preserve"> מקום </w:t>
      </w:r>
      <w:r w:rsidR="00720AF6" w:rsidRPr="00AE39C3">
        <w:rPr>
          <w:rFonts w:hint="cs"/>
          <w:color w:val="auto"/>
          <w:sz w:val="24"/>
          <w:szCs w:val="24"/>
          <w:rtl/>
        </w:rPr>
        <w:t>לקבוע הוראה דומה בענייננו, כך ששכר</w:t>
      </w:r>
      <w:r w:rsidR="005F1BD9">
        <w:rPr>
          <w:rFonts w:hint="cs"/>
          <w:color w:val="auto"/>
          <w:sz w:val="24"/>
          <w:szCs w:val="24"/>
          <w:rtl/>
        </w:rPr>
        <w:t>ו</w:t>
      </w:r>
      <w:r w:rsidR="00720AF6" w:rsidRPr="00AE39C3">
        <w:rPr>
          <w:rFonts w:hint="cs"/>
          <w:color w:val="auto"/>
          <w:sz w:val="24"/>
          <w:szCs w:val="24"/>
          <w:rtl/>
        </w:rPr>
        <w:t xml:space="preserve"> ותנאי שירותו של נציב תלונות הציבור על מייצגי המדינה בערכאות </w:t>
      </w:r>
      <w:r w:rsidR="00334AD0">
        <w:rPr>
          <w:rFonts w:hint="cs"/>
          <w:color w:val="auto"/>
          <w:sz w:val="24"/>
          <w:szCs w:val="24"/>
          <w:rtl/>
        </w:rPr>
        <w:t>(</w:t>
      </w:r>
      <w:r w:rsidR="00D4698E">
        <w:rPr>
          <w:rFonts w:hint="cs"/>
          <w:color w:val="auto"/>
          <w:sz w:val="24"/>
          <w:szCs w:val="24"/>
          <w:rtl/>
        </w:rPr>
        <w:t xml:space="preserve">שלפי הצעת החוק הממשלתית </w:t>
      </w:r>
      <w:r w:rsidR="00334AD0">
        <w:rPr>
          <w:rFonts w:hint="cs"/>
          <w:color w:val="auto"/>
          <w:sz w:val="24"/>
          <w:szCs w:val="24"/>
          <w:rtl/>
        </w:rPr>
        <w:t xml:space="preserve">הוא בעל כשירות לכהן כשופט בית המשפט המחוזי) </w:t>
      </w:r>
      <w:r w:rsidR="00720AF6" w:rsidRPr="00AE39C3">
        <w:rPr>
          <w:rFonts w:hint="cs"/>
          <w:color w:val="auto"/>
          <w:sz w:val="24"/>
          <w:szCs w:val="24"/>
          <w:rtl/>
        </w:rPr>
        <w:t>יוקבל</w:t>
      </w:r>
      <w:r w:rsidR="005F1BD9">
        <w:rPr>
          <w:rFonts w:hint="cs"/>
          <w:color w:val="auto"/>
          <w:sz w:val="24"/>
          <w:szCs w:val="24"/>
          <w:rtl/>
        </w:rPr>
        <w:t>ו</w:t>
      </w:r>
      <w:r w:rsidR="00720AF6" w:rsidRPr="00AE39C3">
        <w:rPr>
          <w:rFonts w:hint="cs"/>
          <w:color w:val="auto"/>
          <w:sz w:val="24"/>
          <w:szCs w:val="24"/>
          <w:rtl/>
        </w:rPr>
        <w:t xml:space="preserve"> </w:t>
      </w:r>
      <w:r w:rsidRPr="00AE39C3">
        <w:rPr>
          <w:rFonts w:hint="cs"/>
          <w:color w:val="auto"/>
          <w:sz w:val="24"/>
          <w:szCs w:val="24"/>
          <w:rtl/>
        </w:rPr>
        <w:t>לשופט מחוזי?</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proofErr w:type="spellStart"/>
            <w:r w:rsidRPr="00B37878">
              <w:rPr>
                <w:rFonts w:cs="Narkisim" w:hint="eastAsia"/>
                <w:color w:val="auto"/>
                <w:sz w:val="24"/>
                <w:szCs w:val="24"/>
                <w:rtl/>
              </w:rPr>
              <w:t>למינהל</w:t>
            </w:r>
            <w:proofErr w:type="spellEnd"/>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proofErr w:type="spellStart"/>
            <w:r w:rsidRPr="00B37878">
              <w:rPr>
                <w:rFonts w:cs="Narkisim" w:hint="eastAsia"/>
                <w:color w:val="auto"/>
                <w:sz w:val="24"/>
                <w:szCs w:val="24"/>
                <w:rtl/>
              </w:rPr>
              <w:t>כנילון</w:t>
            </w:r>
            <w:proofErr w:type="spellEnd"/>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proofErr w:type="spellStart"/>
      <w:r w:rsidRPr="00B37878">
        <w:rPr>
          <w:rFonts w:hint="eastAsia"/>
          <w:color w:val="auto"/>
          <w:sz w:val="24"/>
          <w:szCs w:val="24"/>
          <w:rtl/>
        </w:rPr>
        <w:t>למינהל</w:t>
      </w:r>
      <w:proofErr w:type="spellEnd"/>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proofErr w:type="spellStart"/>
      <w:r w:rsidR="004370B2" w:rsidRPr="007E4281">
        <w:rPr>
          <w:rFonts w:hint="eastAsia"/>
          <w:color w:val="auto"/>
          <w:sz w:val="24"/>
          <w:szCs w:val="24"/>
          <w:rtl/>
        </w:rPr>
        <w:t>הנילון</w:t>
      </w:r>
      <w:proofErr w:type="spellEnd"/>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proofErr w:type="spellStart"/>
      <w:r w:rsidR="004370B2" w:rsidRPr="00FF7696">
        <w:rPr>
          <w:rFonts w:hint="eastAsia"/>
          <w:color w:val="auto"/>
          <w:sz w:val="24"/>
          <w:szCs w:val="24"/>
          <w:rtl/>
        </w:rPr>
        <w:t>כנילון</w:t>
      </w:r>
      <w:proofErr w:type="spellEnd"/>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proofErr w:type="spellStart"/>
      <w:r w:rsidR="004370B2" w:rsidRPr="00FF7696">
        <w:rPr>
          <w:rFonts w:hint="eastAsia"/>
          <w:color w:val="auto"/>
          <w:sz w:val="24"/>
          <w:szCs w:val="24"/>
          <w:rtl/>
        </w:rPr>
        <w:t>נילון</w:t>
      </w:r>
      <w:proofErr w:type="spellEnd"/>
      <w:r w:rsidR="004370B2" w:rsidRPr="00FF7696">
        <w:rPr>
          <w:color w:val="auto"/>
          <w:sz w:val="24"/>
          <w:szCs w:val="24"/>
          <w:rtl/>
        </w:rPr>
        <w:t>.</w:t>
      </w:r>
    </w:p>
    <w:p w:rsidR="00E32734" w:rsidRPr="00FF7696"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lastRenderedPageBreak/>
        <w:t>נקודות לדיון</w:t>
      </w:r>
    </w:p>
    <w:p w:rsidR="00B24ED1" w:rsidRDefault="0082538C" w:rsidP="00E32734">
      <w:pPr>
        <w:pStyle w:val="Hesber"/>
        <w:spacing w:after="120"/>
        <w:ind w:firstLine="0"/>
        <w:rPr>
          <w:color w:val="auto"/>
          <w:sz w:val="24"/>
          <w:szCs w:val="24"/>
          <w:rtl/>
        </w:rPr>
      </w:pPr>
      <w:r w:rsidRPr="0082538C">
        <w:rPr>
          <w:rFonts w:hint="cs"/>
          <w:b/>
          <w:bCs/>
          <w:color w:val="auto"/>
          <w:sz w:val="24"/>
          <w:szCs w:val="24"/>
          <w:rtl/>
        </w:rPr>
        <w:t xml:space="preserve">(1) מי רשאי להגיש תלונה </w:t>
      </w:r>
      <w:r>
        <w:rPr>
          <w:color w:val="auto"/>
          <w:sz w:val="24"/>
          <w:szCs w:val="24"/>
          <w:rtl/>
        </w:rPr>
        <w:t>–</w:t>
      </w:r>
      <w:r>
        <w:rPr>
          <w:rFonts w:hint="cs"/>
          <w:color w:val="auto"/>
          <w:sz w:val="24"/>
          <w:szCs w:val="24"/>
          <w:rtl/>
        </w:rPr>
        <w:t xml:space="preserve"> </w:t>
      </w:r>
      <w:r w:rsidRPr="00FF7696">
        <w:rPr>
          <w:rFonts w:hint="cs"/>
          <w:color w:val="auto"/>
          <w:sz w:val="24"/>
          <w:szCs w:val="24"/>
          <w:rtl/>
        </w:rPr>
        <w:t xml:space="preserve">קיים הבדל משמעותי בין הצעות החוק באשר לטיבם של הגורמים הרשאים להגיש תלונה: בהצעת החוק הממשלתית רק אדם שרואה את עצמו </w:t>
      </w:r>
      <w:r w:rsidRPr="00FF7696">
        <w:rPr>
          <w:rFonts w:hint="cs"/>
          <w:color w:val="auto"/>
          <w:sz w:val="24"/>
          <w:szCs w:val="24"/>
          <w:u w:val="single"/>
          <w:rtl/>
        </w:rPr>
        <w:t>נפגע במישרין</w:t>
      </w:r>
      <w:r w:rsidRPr="00FF7696">
        <w:rPr>
          <w:rFonts w:hint="cs"/>
          <w:color w:val="auto"/>
          <w:sz w:val="24"/>
          <w:szCs w:val="24"/>
          <w:rtl/>
        </w:rPr>
        <w:t xml:space="preserve"> ממעשה של מייצג רשאי להגיש תלונה. מגבלה דומה קיימת גם אצל מבקר המדינה (סעיף 37(1) לחוק מבקר המדינה) ו</w:t>
      </w:r>
      <w:r w:rsidR="00C53256">
        <w:rPr>
          <w:rFonts w:hint="cs"/>
          <w:color w:val="auto"/>
          <w:sz w:val="24"/>
          <w:szCs w:val="24"/>
          <w:rtl/>
        </w:rPr>
        <w:t xml:space="preserve">אצל </w:t>
      </w:r>
      <w:r w:rsidRPr="00FF7696">
        <w:rPr>
          <w:rFonts w:hint="cs"/>
          <w:color w:val="auto"/>
          <w:sz w:val="24"/>
          <w:szCs w:val="24"/>
          <w:rtl/>
        </w:rPr>
        <w:t xml:space="preserve">נציב קבילות החיילים (ס' 547(א)(1) לחוק השיפוט הצבאי). לעומת זאת, הצעת החוק הפרטית קובעת מפורשות כי אדם רשאי להגיש תלונה בין אם הפגיעה בו היא </w:t>
      </w:r>
      <w:r w:rsidRPr="00FF7696">
        <w:rPr>
          <w:rFonts w:hint="cs"/>
          <w:color w:val="auto"/>
          <w:sz w:val="24"/>
          <w:szCs w:val="24"/>
          <w:u w:val="single"/>
          <w:rtl/>
        </w:rPr>
        <w:t>אישית</w:t>
      </w:r>
      <w:r w:rsidRPr="00FF7696">
        <w:rPr>
          <w:rFonts w:hint="cs"/>
          <w:color w:val="auto"/>
          <w:sz w:val="24"/>
          <w:szCs w:val="24"/>
          <w:rtl/>
        </w:rPr>
        <w:t xml:space="preserve"> ובין אם הפגיעה היא כתוצאה מ</w:t>
      </w:r>
      <w:r w:rsidRPr="00FF7696">
        <w:rPr>
          <w:rFonts w:hint="cs"/>
          <w:color w:val="auto"/>
          <w:sz w:val="24"/>
          <w:szCs w:val="24"/>
          <w:u w:val="single"/>
          <w:rtl/>
        </w:rPr>
        <w:t>פגיעה באינטרס ציבורי</w:t>
      </w:r>
      <w:r w:rsidRPr="00FF7696">
        <w:rPr>
          <w:rFonts w:hint="cs"/>
          <w:color w:val="auto"/>
          <w:sz w:val="24"/>
          <w:szCs w:val="24"/>
          <w:rtl/>
        </w:rPr>
        <w:t xml:space="preserve"> (סעיף 15(א) להצעת החוק הפרטית). ההסדר שבהצעת החוק הפרטית מעורר קושי</w:t>
      </w:r>
      <w:r w:rsidR="00637662">
        <w:rPr>
          <w:rFonts w:hint="cs"/>
          <w:color w:val="auto"/>
          <w:sz w:val="24"/>
          <w:szCs w:val="24"/>
          <w:rtl/>
        </w:rPr>
        <w:t>.</w:t>
      </w:r>
      <w:r w:rsidRPr="00FF7696">
        <w:rPr>
          <w:rFonts w:hint="cs"/>
          <w:color w:val="auto"/>
          <w:sz w:val="24"/>
          <w:szCs w:val="24"/>
          <w:rtl/>
        </w:rPr>
        <w:t xml:space="preserve"> </w:t>
      </w:r>
      <w:r w:rsidR="001946C5">
        <w:rPr>
          <w:rFonts w:hint="cs"/>
          <w:color w:val="auto"/>
          <w:sz w:val="24"/>
          <w:szCs w:val="24"/>
          <w:rtl/>
        </w:rPr>
        <w:t xml:space="preserve">ההשפעה שעשויה להיות </w:t>
      </w:r>
      <w:r w:rsidR="00AF2161">
        <w:rPr>
          <w:rFonts w:hint="cs"/>
          <w:color w:val="auto"/>
          <w:sz w:val="24"/>
          <w:szCs w:val="24"/>
          <w:rtl/>
        </w:rPr>
        <w:t xml:space="preserve">להחלטות שונות של מייצגים </w:t>
      </w:r>
      <w:r w:rsidR="001946C5">
        <w:rPr>
          <w:rFonts w:hint="cs"/>
          <w:color w:val="auto"/>
          <w:sz w:val="24"/>
          <w:szCs w:val="24"/>
          <w:rtl/>
        </w:rPr>
        <w:t>יכולה להתפשט ל</w:t>
      </w:r>
      <w:r w:rsidR="00AF2161">
        <w:rPr>
          <w:rFonts w:hint="cs"/>
          <w:color w:val="auto"/>
          <w:sz w:val="24"/>
          <w:szCs w:val="24"/>
          <w:rtl/>
        </w:rPr>
        <w:t xml:space="preserve">מעגלים רחבים מאוד של </w:t>
      </w:r>
      <w:r w:rsidR="001946C5">
        <w:rPr>
          <w:rFonts w:hint="cs"/>
          <w:color w:val="auto"/>
          <w:sz w:val="24"/>
          <w:szCs w:val="24"/>
          <w:rtl/>
        </w:rPr>
        <w:t>אנשים</w:t>
      </w:r>
      <w:r w:rsidR="00AF2161">
        <w:rPr>
          <w:rFonts w:hint="cs"/>
          <w:color w:val="auto"/>
          <w:sz w:val="24"/>
          <w:szCs w:val="24"/>
          <w:rtl/>
        </w:rPr>
        <w:t xml:space="preserve">, במידת </w:t>
      </w:r>
      <w:r w:rsidR="00C53256">
        <w:rPr>
          <w:rFonts w:hint="cs"/>
          <w:color w:val="auto"/>
          <w:sz w:val="24"/>
          <w:szCs w:val="24"/>
          <w:rtl/>
        </w:rPr>
        <w:t xml:space="preserve">משתנה של </w:t>
      </w:r>
      <w:r w:rsidR="00AF2161">
        <w:rPr>
          <w:rFonts w:hint="cs"/>
          <w:color w:val="auto"/>
          <w:sz w:val="24"/>
          <w:szCs w:val="24"/>
          <w:rtl/>
        </w:rPr>
        <w:t xml:space="preserve">ישירות או עקיפות, </w:t>
      </w:r>
      <w:r w:rsidR="00C80065">
        <w:rPr>
          <w:rFonts w:hint="cs"/>
          <w:color w:val="auto"/>
          <w:sz w:val="24"/>
          <w:szCs w:val="24"/>
          <w:rtl/>
        </w:rPr>
        <w:t xml:space="preserve">ולמעשה </w:t>
      </w:r>
      <w:r w:rsidR="001946C5">
        <w:rPr>
          <w:rFonts w:hint="cs"/>
          <w:color w:val="auto"/>
          <w:sz w:val="24"/>
          <w:szCs w:val="24"/>
          <w:rtl/>
        </w:rPr>
        <w:t xml:space="preserve">כל אדם יכול לראות את עצמו </w:t>
      </w:r>
      <w:r w:rsidR="004240A5">
        <w:rPr>
          <w:rFonts w:hint="cs"/>
          <w:color w:val="auto"/>
          <w:sz w:val="24"/>
          <w:szCs w:val="24"/>
          <w:rtl/>
        </w:rPr>
        <w:t xml:space="preserve">ברמה מסוימת </w:t>
      </w:r>
      <w:r w:rsidR="001946C5">
        <w:rPr>
          <w:rFonts w:hint="cs"/>
          <w:color w:val="auto"/>
          <w:sz w:val="24"/>
          <w:szCs w:val="24"/>
          <w:rtl/>
        </w:rPr>
        <w:t>כ"נפגע עקיף" מכל החלטה שתתקבל על ידי מייצג כלשהו</w:t>
      </w:r>
      <w:r w:rsidR="004240A5">
        <w:rPr>
          <w:rFonts w:hint="cs"/>
          <w:color w:val="auto"/>
          <w:sz w:val="24"/>
          <w:szCs w:val="24"/>
          <w:rtl/>
        </w:rPr>
        <w:t>,</w:t>
      </w:r>
      <w:r w:rsidR="001946C5">
        <w:rPr>
          <w:rFonts w:hint="cs"/>
          <w:color w:val="auto"/>
          <w:sz w:val="24"/>
          <w:szCs w:val="24"/>
          <w:rtl/>
        </w:rPr>
        <w:t xml:space="preserve"> בשל העובדה שלדעתו ההחלטה פוגעת ב"אינטרס הציבורי"</w:t>
      </w:r>
      <w:r w:rsidR="00C80065">
        <w:rPr>
          <w:rFonts w:hint="cs"/>
          <w:color w:val="auto"/>
          <w:sz w:val="24"/>
          <w:szCs w:val="24"/>
          <w:rtl/>
        </w:rPr>
        <w:t>.</w:t>
      </w:r>
      <w:r w:rsidR="001946C5">
        <w:rPr>
          <w:rFonts w:hint="cs"/>
          <w:color w:val="auto"/>
          <w:sz w:val="24"/>
          <w:szCs w:val="24"/>
          <w:rtl/>
        </w:rPr>
        <w:t xml:space="preserve"> פ</w:t>
      </w:r>
      <w:r>
        <w:rPr>
          <w:rFonts w:hint="cs"/>
          <w:color w:val="auto"/>
          <w:sz w:val="24"/>
          <w:szCs w:val="24"/>
          <w:rtl/>
        </w:rPr>
        <w:t xml:space="preserve">תיחת האפשרות להגיש תלונה לכל "נפגע ציבורי" </w:t>
      </w:r>
      <w:r w:rsidR="00C80065">
        <w:rPr>
          <w:rFonts w:hint="cs"/>
          <w:color w:val="auto"/>
          <w:sz w:val="24"/>
          <w:szCs w:val="24"/>
          <w:rtl/>
        </w:rPr>
        <w:t xml:space="preserve">שכזה </w:t>
      </w:r>
      <w:r w:rsidR="007421A7">
        <w:rPr>
          <w:rFonts w:hint="cs"/>
          <w:color w:val="auto"/>
          <w:sz w:val="24"/>
          <w:szCs w:val="24"/>
          <w:rtl/>
        </w:rPr>
        <w:t xml:space="preserve">עלולה להרחיב </w:t>
      </w:r>
      <w:r w:rsidR="00AF2161">
        <w:rPr>
          <w:rFonts w:hint="cs"/>
          <w:color w:val="auto"/>
          <w:sz w:val="24"/>
          <w:szCs w:val="24"/>
          <w:rtl/>
        </w:rPr>
        <w:t>באופן בעייתי את מעגל הרשאים להגיש תלונות</w:t>
      </w:r>
      <w:r w:rsidR="00C80065">
        <w:rPr>
          <w:rFonts w:hint="cs"/>
          <w:color w:val="auto"/>
          <w:sz w:val="24"/>
          <w:szCs w:val="24"/>
          <w:rtl/>
        </w:rPr>
        <w:t>,</w:t>
      </w:r>
      <w:r w:rsidR="00D868B3">
        <w:rPr>
          <w:rFonts w:hint="cs"/>
          <w:color w:val="auto"/>
          <w:sz w:val="24"/>
          <w:szCs w:val="24"/>
          <w:rtl/>
        </w:rPr>
        <w:t xml:space="preserve"> </w:t>
      </w:r>
      <w:r w:rsidR="007421A7">
        <w:rPr>
          <w:rFonts w:hint="cs"/>
          <w:color w:val="auto"/>
          <w:sz w:val="24"/>
          <w:szCs w:val="24"/>
          <w:rtl/>
        </w:rPr>
        <w:t xml:space="preserve">ולחטוא </w:t>
      </w:r>
      <w:r w:rsidR="00D868B3">
        <w:rPr>
          <w:rFonts w:hint="cs"/>
          <w:color w:val="auto"/>
          <w:sz w:val="24"/>
          <w:szCs w:val="24"/>
          <w:rtl/>
        </w:rPr>
        <w:t xml:space="preserve">למטרה המרכזית של מנגנון בירור </w:t>
      </w:r>
      <w:r w:rsidR="004240A5">
        <w:rPr>
          <w:rFonts w:hint="cs"/>
          <w:color w:val="auto"/>
          <w:sz w:val="24"/>
          <w:szCs w:val="24"/>
          <w:rtl/>
        </w:rPr>
        <w:t>ה</w:t>
      </w:r>
      <w:r w:rsidR="00D868B3">
        <w:rPr>
          <w:rFonts w:hint="cs"/>
          <w:color w:val="auto"/>
          <w:sz w:val="24"/>
          <w:szCs w:val="24"/>
          <w:rtl/>
        </w:rPr>
        <w:t>תלונות הפרטני</w:t>
      </w:r>
      <w:r w:rsidR="007421A7">
        <w:rPr>
          <w:rFonts w:hint="cs"/>
          <w:color w:val="auto"/>
          <w:sz w:val="24"/>
          <w:szCs w:val="24"/>
          <w:rtl/>
        </w:rPr>
        <w:t xml:space="preserve"> (מתן מענה </w:t>
      </w:r>
      <w:r w:rsidR="00C80065" w:rsidRPr="00FF7696">
        <w:rPr>
          <w:rFonts w:hint="cs"/>
          <w:color w:val="auto"/>
          <w:sz w:val="24"/>
          <w:szCs w:val="24"/>
          <w:rtl/>
        </w:rPr>
        <w:t>לאדם ספציפי הסבור כי נגרמה לו פגיעה ברמה האישית</w:t>
      </w:r>
      <w:r w:rsidR="007421A7">
        <w:rPr>
          <w:rFonts w:hint="cs"/>
          <w:color w:val="auto"/>
          <w:sz w:val="24"/>
          <w:szCs w:val="24"/>
          <w:rtl/>
        </w:rPr>
        <w:t>)</w:t>
      </w:r>
      <w:r w:rsidR="00C80065">
        <w:rPr>
          <w:rFonts w:hint="cs"/>
          <w:color w:val="auto"/>
          <w:sz w:val="24"/>
          <w:szCs w:val="24"/>
          <w:rtl/>
        </w:rPr>
        <w:t>.</w:t>
      </w:r>
      <w:r w:rsidR="00AF2161">
        <w:rPr>
          <w:rFonts w:hint="cs"/>
          <w:color w:val="auto"/>
          <w:sz w:val="24"/>
          <w:szCs w:val="24"/>
          <w:rtl/>
        </w:rPr>
        <w:t xml:space="preserve"> </w:t>
      </w:r>
    </w:p>
    <w:p w:rsidR="007F5203" w:rsidRDefault="00CD7561" w:rsidP="00E32734">
      <w:pPr>
        <w:pStyle w:val="Hesber"/>
        <w:spacing w:after="120"/>
        <w:ind w:firstLine="0"/>
        <w:rPr>
          <w:color w:val="auto"/>
          <w:sz w:val="24"/>
          <w:szCs w:val="24"/>
          <w:rtl/>
        </w:rPr>
      </w:pPr>
      <w:r w:rsidRPr="00CB53BC">
        <w:rPr>
          <w:rFonts w:hint="cs"/>
          <w:b/>
          <w:bCs/>
          <w:color w:val="auto"/>
          <w:sz w:val="24"/>
          <w:szCs w:val="24"/>
          <w:rtl/>
        </w:rPr>
        <w:t>(</w:t>
      </w:r>
      <w:r w:rsidR="0082538C">
        <w:rPr>
          <w:rFonts w:hint="cs"/>
          <w:b/>
          <w:bCs/>
          <w:color w:val="auto"/>
          <w:sz w:val="24"/>
          <w:szCs w:val="24"/>
          <w:rtl/>
        </w:rPr>
        <w:t>2</w:t>
      </w:r>
      <w:r w:rsidRPr="00CB53BC">
        <w:rPr>
          <w:rFonts w:hint="cs"/>
          <w:b/>
          <w:bCs/>
          <w:color w:val="auto"/>
          <w:sz w:val="24"/>
          <w:szCs w:val="24"/>
          <w:rtl/>
        </w:rPr>
        <w:t xml:space="preserve">) </w:t>
      </w:r>
      <w:r w:rsidR="007A55AB" w:rsidRPr="00CB53BC">
        <w:rPr>
          <w:rFonts w:hint="cs"/>
          <w:b/>
          <w:bCs/>
          <w:color w:val="auto"/>
          <w:sz w:val="24"/>
          <w:szCs w:val="24"/>
          <w:rtl/>
        </w:rPr>
        <w:t>בירור פרטני אגב ביקורת מערכתית</w:t>
      </w:r>
      <w:r w:rsidR="007A55AB" w:rsidRPr="00CB53BC">
        <w:rPr>
          <w:rFonts w:hint="cs"/>
          <w:color w:val="auto"/>
          <w:sz w:val="24"/>
          <w:szCs w:val="24"/>
          <w:rtl/>
        </w:rPr>
        <w:t xml:space="preserve"> </w:t>
      </w:r>
      <w:r w:rsidR="007A55AB" w:rsidRPr="00CB53BC">
        <w:rPr>
          <w:color w:val="auto"/>
          <w:sz w:val="24"/>
          <w:szCs w:val="24"/>
          <w:rtl/>
        </w:rPr>
        <w:t>–</w:t>
      </w:r>
      <w:r w:rsidR="007A55AB"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w:t>
      </w:r>
      <w:proofErr w:type="spellStart"/>
      <w:r w:rsidR="002C2A87" w:rsidRPr="00CB53BC">
        <w:rPr>
          <w:rFonts w:hint="cs"/>
          <w:color w:val="auto"/>
          <w:sz w:val="24"/>
          <w:szCs w:val="24"/>
          <w:rtl/>
        </w:rPr>
        <w:t>היתה</w:t>
      </w:r>
      <w:proofErr w:type="spellEnd"/>
      <w:r w:rsidR="002C2A87" w:rsidRPr="00CB53BC">
        <w:rPr>
          <w:rFonts w:hint="cs"/>
          <w:color w:val="auto"/>
          <w:sz w:val="24"/>
          <w:szCs w:val="24"/>
          <w:rtl/>
        </w:rPr>
        <w:t xml:space="preserve">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מצד אחד, </w:t>
      </w:r>
      <w:r w:rsidR="00FB26BB" w:rsidRPr="00527997">
        <w:rPr>
          <w:rFonts w:hint="cs"/>
          <w:color w:val="auto"/>
          <w:sz w:val="24"/>
          <w:szCs w:val="24"/>
          <w:rtl/>
        </w:rPr>
        <w:t xml:space="preserve">אם </w:t>
      </w:r>
      <w:r w:rsidR="00190B7D" w:rsidRPr="00527997">
        <w:rPr>
          <w:rFonts w:hint="cs"/>
          <w:color w:val="auto"/>
          <w:sz w:val="24"/>
          <w:szCs w:val="24"/>
          <w:rtl/>
        </w:rPr>
        <w:t xml:space="preserve">במסגרת </w:t>
      </w:r>
      <w:r w:rsidR="00FB26BB" w:rsidRPr="00527997">
        <w:rPr>
          <w:rFonts w:hint="cs"/>
          <w:color w:val="auto"/>
          <w:sz w:val="24"/>
          <w:szCs w:val="24"/>
          <w:rtl/>
        </w:rPr>
        <w:t>ביקורת מערכתית מ</w:t>
      </w:r>
      <w:r w:rsidR="00190B7D" w:rsidRPr="00527997">
        <w:rPr>
          <w:rFonts w:hint="cs"/>
          <w:color w:val="auto"/>
          <w:sz w:val="24"/>
          <w:szCs w:val="24"/>
          <w:rtl/>
        </w:rPr>
        <w:t>ת</w:t>
      </w:r>
      <w:r w:rsidR="00FB26BB" w:rsidRPr="00527997">
        <w:rPr>
          <w:rFonts w:hint="cs"/>
          <w:color w:val="auto"/>
          <w:sz w:val="24"/>
          <w:szCs w:val="24"/>
          <w:rtl/>
        </w:rPr>
        <w:t xml:space="preserve">גלה כי מייצג מסוים פעל ללא סמכות חוקית, בניגוד </w:t>
      </w:r>
      <w:r w:rsidR="005D1A37" w:rsidRPr="00527997">
        <w:rPr>
          <w:rFonts w:hint="cs"/>
          <w:color w:val="auto"/>
          <w:sz w:val="24"/>
          <w:szCs w:val="24"/>
          <w:rtl/>
        </w:rPr>
        <w:t>לחוק</w:t>
      </w:r>
      <w:r w:rsidR="00FB26BB" w:rsidRPr="00527997">
        <w:rPr>
          <w:rFonts w:hint="cs"/>
          <w:color w:val="auto"/>
          <w:sz w:val="24"/>
          <w:szCs w:val="24"/>
          <w:rtl/>
        </w:rPr>
        <w:t xml:space="preserve">, התנהל או התנהג באופן לא ראוי או </w:t>
      </w:r>
      <w:r w:rsidR="007304C0" w:rsidRPr="00527997">
        <w:rPr>
          <w:rFonts w:hint="cs"/>
          <w:color w:val="auto"/>
          <w:sz w:val="24"/>
          <w:szCs w:val="24"/>
          <w:rtl/>
        </w:rPr>
        <w:t xml:space="preserve">בניגוד </w:t>
      </w:r>
      <w:proofErr w:type="spellStart"/>
      <w:r w:rsidR="007304C0" w:rsidRPr="00527997">
        <w:rPr>
          <w:rFonts w:hint="cs"/>
          <w:color w:val="auto"/>
          <w:sz w:val="24"/>
          <w:szCs w:val="24"/>
          <w:rtl/>
        </w:rPr>
        <w:t>למינהל</w:t>
      </w:r>
      <w:proofErr w:type="spellEnd"/>
      <w:r w:rsidR="007304C0" w:rsidRPr="00527997">
        <w:rPr>
          <w:rFonts w:hint="cs"/>
          <w:color w:val="auto"/>
          <w:sz w:val="24"/>
          <w:szCs w:val="24"/>
          <w:rtl/>
        </w:rPr>
        <w:t xml:space="preserve"> תקין</w:t>
      </w:r>
      <w:r w:rsidR="00FB26BB" w:rsidRPr="00527997">
        <w:rPr>
          <w:rFonts w:hint="cs"/>
          <w:color w:val="auto"/>
          <w:sz w:val="24"/>
          <w:szCs w:val="24"/>
          <w:rtl/>
        </w:rPr>
        <w:t xml:space="preserve">, </w:t>
      </w:r>
      <w:r w:rsidR="00FB26BB" w:rsidRPr="00527997">
        <w:rPr>
          <w:rFonts w:hint="cs"/>
          <w:color w:val="auto"/>
          <w:sz w:val="24"/>
          <w:szCs w:val="24"/>
          <w:u w:val="single"/>
          <w:rtl/>
        </w:rPr>
        <w:t>האינטרס הציבורי מחייב כי ייעשה שימוש במידע הזה כדי לתקן את הליקויים בהתנהלותו של אותו אדם, ולא יתעל</w:t>
      </w:r>
      <w:r w:rsidR="009A1B4E">
        <w:rPr>
          <w:rFonts w:hint="cs"/>
          <w:color w:val="auto"/>
          <w:sz w:val="24"/>
          <w:szCs w:val="24"/>
          <w:u w:val="single"/>
          <w:rtl/>
        </w:rPr>
        <w:t>מו</w:t>
      </w:r>
      <w:r w:rsidR="00FB26BB" w:rsidRPr="00527997">
        <w:rPr>
          <w:rFonts w:hint="cs"/>
          <w:color w:val="auto"/>
          <w:sz w:val="24"/>
          <w:szCs w:val="24"/>
          <w:u w:val="single"/>
          <w:rtl/>
        </w:rPr>
        <w:t xml:space="preserve"> מהמידע</w:t>
      </w:r>
      <w:r w:rsidR="007F5203">
        <w:rPr>
          <w:rFonts w:hint="cs"/>
          <w:color w:val="auto"/>
          <w:sz w:val="24"/>
          <w:szCs w:val="24"/>
          <w:rtl/>
        </w:rPr>
        <w:t>;</w:t>
      </w:r>
      <w:r w:rsidR="00727789" w:rsidRPr="00527997">
        <w:rPr>
          <w:rFonts w:hint="cs"/>
          <w:color w:val="auto"/>
          <w:sz w:val="24"/>
          <w:szCs w:val="24"/>
          <w:rtl/>
        </w:rPr>
        <w:t xml:space="preserve"> </w:t>
      </w:r>
      <w:r w:rsidR="005F62DE" w:rsidRPr="005F62DE">
        <w:rPr>
          <w:rFonts w:hint="cs"/>
          <w:color w:val="auto"/>
          <w:sz w:val="24"/>
          <w:szCs w:val="24"/>
          <w:rtl/>
        </w:rPr>
        <w:t xml:space="preserve">מצד שני, </w:t>
      </w:r>
      <w:r w:rsidR="005F62DE" w:rsidRPr="005F62DE">
        <w:rPr>
          <w:rFonts w:hint="cs"/>
          <w:sz w:val="24"/>
          <w:szCs w:val="24"/>
          <w:rtl/>
        </w:rPr>
        <w:t>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proofErr w:type="spellStart"/>
            <w:r w:rsidRPr="004410F2">
              <w:rPr>
                <w:rFonts w:cs="Narkisim" w:hint="eastAsia"/>
                <w:color w:val="auto"/>
                <w:sz w:val="24"/>
                <w:szCs w:val="24"/>
                <w:rtl/>
              </w:rPr>
              <w:t>הנילון</w:t>
            </w:r>
            <w:proofErr w:type="spellEnd"/>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proofErr w:type="spellStart"/>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proofErr w:type="spellEnd"/>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proofErr w:type="spellStart"/>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proofErr w:type="spellStart"/>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proofErr w:type="spellStart"/>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proofErr w:type="spellEnd"/>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lastRenderedPageBreak/>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proofErr w:type="spellStart"/>
            <w:r w:rsidRPr="003B3C69">
              <w:rPr>
                <w:rFonts w:cs="Narkisim" w:hint="eastAsia"/>
                <w:color w:val="auto"/>
                <w:sz w:val="24"/>
                <w:szCs w:val="24"/>
                <w:rtl/>
              </w:rPr>
              <w:t>היתה</w:t>
            </w:r>
            <w:proofErr w:type="spellEnd"/>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lastRenderedPageBreak/>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proofErr w:type="spellStart"/>
      <w:r w:rsidRPr="00560986">
        <w:rPr>
          <w:rFonts w:hint="eastAsia"/>
          <w:color w:val="auto"/>
          <w:sz w:val="24"/>
          <w:szCs w:val="24"/>
          <w:rtl/>
        </w:rPr>
        <w:t>היתה</w:t>
      </w:r>
      <w:proofErr w:type="spellEnd"/>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F70FF0" w:rsidRDefault="00F70FF0" w:rsidP="00E32734">
      <w:pPr>
        <w:pStyle w:val="Hesberright"/>
        <w:spacing w:after="120"/>
        <w:rPr>
          <w:color w:val="auto"/>
          <w:sz w:val="24"/>
          <w:szCs w:val="24"/>
          <w:rtl/>
        </w:rPr>
      </w:pPr>
      <w:r>
        <w:rPr>
          <w:rFonts w:hint="cs"/>
          <w:b/>
          <w:bCs/>
          <w:color w:val="auto"/>
          <w:sz w:val="24"/>
          <w:szCs w:val="24"/>
          <w:rtl/>
        </w:rPr>
        <w:t xml:space="preserve">(2) </w:t>
      </w:r>
      <w:r w:rsidRPr="00BC35A1">
        <w:rPr>
          <w:rFonts w:hint="cs"/>
          <w:b/>
          <w:bCs/>
          <w:color w:val="auto"/>
          <w:sz w:val="24"/>
          <w:szCs w:val="24"/>
          <w:rtl/>
        </w:rPr>
        <w:t>הערת ניסוח: מיקומו של סעיף קטן (ג)</w:t>
      </w:r>
      <w:r>
        <w:rPr>
          <w:rFonts w:hint="cs"/>
          <w:color w:val="auto"/>
          <w:sz w:val="24"/>
          <w:szCs w:val="24"/>
          <w:rtl/>
        </w:rPr>
        <w:t xml:space="preserve"> (סעיף קטן (ג)) </w:t>
      </w:r>
      <w:r>
        <w:rPr>
          <w:color w:val="auto"/>
          <w:sz w:val="24"/>
          <w:szCs w:val="24"/>
          <w:rtl/>
        </w:rPr>
        <w:t>–</w:t>
      </w:r>
      <w:r>
        <w:rPr>
          <w:rFonts w:hint="cs"/>
          <w:color w:val="auto"/>
          <w:sz w:val="24"/>
          <w:szCs w:val="24"/>
          <w:rtl/>
        </w:rPr>
        <w:t xml:space="preserve"> סעיף 14 המוצע מטפל בבירור התלונה ולא בהגשתה, ואילו סעיף 14(ג) המוצע מטפל בגורמים נוספים שרשאים להגיש תלונה, ועל כן נראה כי מיקומו המדויק של סעיף קטן (ג) הוא בסעיף 11 להצעת החוק. זאת, בדומה לסעיף 14 בחוק נציב תלונות הציבור על שופטים הכולל בסעיף קטן (א) את האפשרות של כל אדם שרואה עצמו נפגע להגיש תלונה על שופט, ובסעיף קטן (ב) את האפשרות של הנשיא של אותו בית משפט או השר הרלוונטי לפנות לנציב כדי שיברר עניין הנוגע להתנהגות שופט.  </w:t>
      </w:r>
    </w:p>
    <w:p w:rsidR="00F87322" w:rsidRDefault="00F70FF0" w:rsidP="00E32734">
      <w:pPr>
        <w:pStyle w:val="Hesberright"/>
        <w:spacing w:after="120"/>
        <w:rPr>
          <w:color w:val="auto"/>
          <w:sz w:val="24"/>
          <w:szCs w:val="24"/>
          <w:rtl/>
        </w:rPr>
      </w:pPr>
      <w:r>
        <w:rPr>
          <w:rFonts w:hint="cs"/>
          <w:b/>
          <w:bCs/>
          <w:color w:val="auto"/>
          <w:sz w:val="24"/>
          <w:szCs w:val="24"/>
          <w:rtl/>
        </w:rPr>
        <w:t>(</w:t>
      </w:r>
      <w:r w:rsidR="00C748D0">
        <w:rPr>
          <w:rFonts w:hint="cs"/>
          <w:b/>
          <w:bCs/>
          <w:color w:val="auto"/>
          <w:sz w:val="24"/>
          <w:szCs w:val="24"/>
          <w:rtl/>
        </w:rPr>
        <w:t>3</w:t>
      </w:r>
      <w:r>
        <w:rPr>
          <w:rFonts w:hint="cs"/>
          <w:b/>
          <w:bCs/>
          <w:color w:val="auto"/>
          <w:sz w:val="24"/>
          <w:szCs w:val="24"/>
          <w:rtl/>
        </w:rPr>
        <w:t xml:space="preserve">) </w:t>
      </w:r>
      <w:r w:rsidR="00DB1770" w:rsidRPr="00431407">
        <w:rPr>
          <w:rFonts w:hint="cs"/>
          <w:b/>
          <w:bCs/>
          <w:color w:val="auto"/>
          <w:sz w:val="24"/>
          <w:szCs w:val="24"/>
          <w:rtl/>
        </w:rPr>
        <w:t xml:space="preserve">הערת ניסוח: "מצא הנציב, </w:t>
      </w:r>
      <w:r w:rsidR="00DB1770" w:rsidRPr="00431407">
        <w:rPr>
          <w:rFonts w:hint="cs"/>
          <w:b/>
          <w:bCs/>
          <w:color w:val="auto"/>
          <w:sz w:val="24"/>
          <w:szCs w:val="24"/>
          <w:u w:val="single"/>
          <w:rtl/>
        </w:rPr>
        <w:t>בהתאם לסעיף זה</w:t>
      </w:r>
      <w:r w:rsidR="00DB1770" w:rsidRPr="00431407">
        <w:rPr>
          <w:rFonts w:hint="cs"/>
          <w:b/>
          <w:bCs/>
          <w:color w:val="auto"/>
          <w:sz w:val="24"/>
          <w:szCs w:val="24"/>
          <w:rtl/>
        </w:rPr>
        <w:t>, כי יש לברר את התלונה"</w:t>
      </w:r>
      <w:r w:rsidR="00DB1770" w:rsidRPr="00431407">
        <w:rPr>
          <w:rFonts w:hint="cs"/>
          <w:color w:val="auto"/>
          <w:sz w:val="24"/>
          <w:szCs w:val="24"/>
          <w:rtl/>
        </w:rPr>
        <w:t xml:space="preserve"> </w:t>
      </w:r>
      <w:r>
        <w:rPr>
          <w:rFonts w:hint="cs"/>
          <w:color w:val="auto"/>
          <w:sz w:val="24"/>
          <w:szCs w:val="24"/>
          <w:rtl/>
        </w:rPr>
        <w:t xml:space="preserve">(סעיף קטן (ד)) </w:t>
      </w:r>
      <w:r w:rsidR="00DB1770" w:rsidRPr="00431407">
        <w:rPr>
          <w:color w:val="auto"/>
          <w:sz w:val="24"/>
          <w:szCs w:val="24"/>
          <w:rtl/>
        </w:rPr>
        <w:t>–</w:t>
      </w:r>
      <w:r w:rsidR="00DB1770" w:rsidRPr="00431407">
        <w:rPr>
          <w:rFonts w:hint="cs"/>
          <w:color w:val="auto"/>
          <w:sz w:val="24"/>
          <w:szCs w:val="24"/>
          <w:rtl/>
        </w:rPr>
        <w:t xml:space="preserve"> </w:t>
      </w:r>
      <w:r w:rsidR="00431407" w:rsidRPr="00431407">
        <w:rPr>
          <w:rFonts w:hint="cs"/>
          <w:color w:val="auto"/>
          <w:sz w:val="24"/>
          <w:szCs w:val="24"/>
          <w:rtl/>
        </w:rPr>
        <w:t xml:space="preserve">המילים "בהתאם לסעיף זה נראות מיותרות, ואף לא לגמרי מדויקות, שכן הנציב ימצא האם </w:t>
      </w:r>
      <w:r w:rsidR="00DB1770" w:rsidRPr="00431407">
        <w:rPr>
          <w:rFonts w:hint="cs"/>
          <w:color w:val="auto"/>
          <w:sz w:val="24"/>
          <w:szCs w:val="24"/>
          <w:rtl/>
        </w:rPr>
        <w:t xml:space="preserve">לברר </w:t>
      </w:r>
      <w:r w:rsidR="00431407" w:rsidRPr="00431407">
        <w:rPr>
          <w:rFonts w:hint="cs"/>
          <w:color w:val="auto"/>
          <w:sz w:val="24"/>
          <w:szCs w:val="24"/>
          <w:rtl/>
        </w:rPr>
        <w:t xml:space="preserve">או שלא לברר את </w:t>
      </w:r>
      <w:r w:rsidR="00DB1770" w:rsidRPr="00431407">
        <w:rPr>
          <w:rFonts w:hint="cs"/>
          <w:color w:val="auto"/>
          <w:sz w:val="24"/>
          <w:szCs w:val="24"/>
          <w:rtl/>
        </w:rPr>
        <w:t>התלונה לפי הוראות סעיף 15 ולא "לפי סעיף זה"</w:t>
      </w:r>
      <w:r w:rsidR="00431407" w:rsidRPr="00431407">
        <w:rPr>
          <w:rFonts w:hint="cs"/>
          <w:color w:val="auto"/>
          <w:sz w:val="24"/>
          <w:szCs w:val="24"/>
          <w:rtl/>
        </w:rPr>
        <w:t xml:space="preserve">. לכן, נראה כי יש למחוק מילים אלה. </w:t>
      </w:r>
    </w:p>
    <w:p w:rsidR="00C748D0" w:rsidRDefault="00C748D0" w:rsidP="00D56385">
      <w:pPr>
        <w:pStyle w:val="Hesberright"/>
        <w:spacing w:after="120"/>
        <w:rPr>
          <w:color w:val="auto"/>
          <w:sz w:val="24"/>
          <w:szCs w:val="24"/>
          <w:rtl/>
        </w:rPr>
      </w:pPr>
      <w:r w:rsidRPr="00C748D0">
        <w:rPr>
          <w:rFonts w:hint="cs"/>
          <w:b/>
          <w:bCs/>
          <w:color w:val="auto"/>
          <w:sz w:val="24"/>
          <w:szCs w:val="24"/>
          <w:rtl/>
        </w:rPr>
        <w:t>(4) דרישה לתצהיר מהמתלונן</w:t>
      </w:r>
      <w:r>
        <w:rPr>
          <w:rFonts w:hint="cs"/>
          <w:color w:val="auto"/>
          <w:sz w:val="24"/>
          <w:szCs w:val="24"/>
          <w:rtl/>
        </w:rPr>
        <w:t xml:space="preserve"> (סעיף קטן (ד)) </w:t>
      </w:r>
      <w:r>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w:t>
      </w:r>
      <w:r w:rsidR="00D56385">
        <w:rPr>
          <w:rFonts w:hint="cs"/>
          <w:color w:val="auto"/>
          <w:sz w:val="24"/>
          <w:szCs w:val="24"/>
          <w:rtl/>
        </w:rPr>
        <w:lastRenderedPageBreak/>
        <w:t xml:space="preserve">מבקש להתלונן היא חריגה, ואין לה מקבילות אצל </w:t>
      </w:r>
      <w:proofErr w:type="spellStart"/>
      <w:r w:rsidR="00D56385">
        <w:rPr>
          <w:rFonts w:hint="cs"/>
          <w:color w:val="auto"/>
          <w:sz w:val="24"/>
          <w:szCs w:val="24"/>
          <w:rtl/>
        </w:rPr>
        <w:t>מבררי</w:t>
      </w:r>
      <w:proofErr w:type="spellEnd"/>
      <w:r w:rsidR="00D56385">
        <w:rPr>
          <w:rFonts w:hint="cs"/>
          <w:color w:val="auto"/>
          <w:sz w:val="24"/>
          <w:szCs w:val="24"/>
          <w:rtl/>
        </w:rPr>
        <w:t xml:space="preserve">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xml:space="preserve">, למייצג </w:t>
      </w:r>
      <w:proofErr w:type="spellStart"/>
      <w:r w:rsidR="00DF0CA5">
        <w:rPr>
          <w:rFonts w:hint="cs"/>
          <w:color w:val="auto"/>
          <w:sz w:val="24"/>
          <w:szCs w:val="24"/>
          <w:rtl/>
        </w:rPr>
        <w:t>הנילון</w:t>
      </w:r>
      <w:proofErr w:type="spellEnd"/>
      <w:r w:rsidR="00DF0CA5">
        <w:rPr>
          <w:rFonts w:hint="cs"/>
          <w:color w:val="auto"/>
          <w:sz w:val="24"/>
          <w:szCs w:val="24"/>
          <w:rtl/>
        </w:rPr>
        <w:t xml:space="preserve">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w:t>
      </w:r>
      <w:proofErr w:type="spellStart"/>
      <w:r w:rsidR="00230A1F">
        <w:rPr>
          <w:rFonts w:hint="cs"/>
          <w:color w:val="auto"/>
          <w:sz w:val="24"/>
          <w:szCs w:val="24"/>
          <w:rtl/>
        </w:rPr>
        <w:t>הנילון</w:t>
      </w:r>
      <w:proofErr w:type="spellEnd"/>
      <w:r w:rsidR="00230A1F">
        <w:rPr>
          <w:rFonts w:hint="cs"/>
          <w:color w:val="auto"/>
          <w:sz w:val="24"/>
          <w:szCs w:val="24"/>
          <w:rtl/>
        </w:rPr>
        <w:t xml:space="preserve">?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proofErr w:type="spellStart"/>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proofErr w:type="spellEnd"/>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proofErr w:type="spellStart"/>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proofErr w:type="spellEnd"/>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proofErr w:type="spellStart"/>
      <w:r w:rsidR="00096E54" w:rsidRPr="001A40BD">
        <w:rPr>
          <w:rFonts w:hint="eastAsia"/>
          <w:color w:val="auto"/>
          <w:sz w:val="24"/>
          <w:szCs w:val="24"/>
          <w:rtl/>
        </w:rPr>
        <w:t>למינהל</w:t>
      </w:r>
      <w:proofErr w:type="spellEnd"/>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lastRenderedPageBreak/>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הערת ניסוח: "או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374812" w:rsidP="000D6320">
      <w:pPr>
        <w:pStyle w:val="HesberHeading"/>
        <w:spacing w:after="120"/>
        <w:rPr>
          <w:b w:val="0"/>
          <w:bCs w:val="0"/>
          <w:color w:val="auto"/>
          <w:sz w:val="24"/>
          <w:szCs w:val="24"/>
          <w:rtl/>
        </w:rPr>
      </w:pPr>
      <w:r>
        <w:rPr>
          <w:rFonts w:hint="cs"/>
          <w:color w:val="auto"/>
          <w:sz w:val="24"/>
          <w:szCs w:val="24"/>
          <w:rtl/>
        </w:rPr>
        <w:t xml:space="preserve">(1) </w:t>
      </w:r>
      <w:r w:rsidR="0083140C">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D2432E" w:rsidRDefault="00374812" w:rsidP="000D6320">
      <w:pPr>
        <w:pStyle w:val="HesberHeading"/>
        <w:spacing w:after="120"/>
        <w:rPr>
          <w:b w:val="0"/>
          <w:bCs w:val="0"/>
          <w:color w:val="auto"/>
          <w:sz w:val="24"/>
          <w:szCs w:val="24"/>
          <w:rtl/>
        </w:rPr>
      </w:pPr>
      <w:r w:rsidRPr="00374812">
        <w:rPr>
          <w:rFonts w:hint="cs"/>
          <w:color w:val="auto"/>
          <w:sz w:val="24"/>
          <w:szCs w:val="24"/>
          <w:rtl/>
        </w:rPr>
        <w:t>(2) הליך משמעתי לרבות הליך לפי חוק לשכת עורכי הדין</w:t>
      </w:r>
      <w:r>
        <w:rPr>
          <w:rFonts w:hint="cs"/>
          <w:b w:val="0"/>
          <w:bCs w:val="0"/>
          <w:color w:val="auto"/>
          <w:sz w:val="24"/>
          <w:szCs w:val="24"/>
          <w:rtl/>
        </w:rPr>
        <w:t xml:space="preserve"> (פסקה (4)) </w:t>
      </w:r>
      <w:r>
        <w:rPr>
          <w:b w:val="0"/>
          <w:bCs w:val="0"/>
          <w:color w:val="auto"/>
          <w:sz w:val="24"/>
          <w:szCs w:val="24"/>
          <w:rtl/>
        </w:rPr>
        <w:t>–</w:t>
      </w:r>
      <w:r w:rsidR="00FB07F5">
        <w:rPr>
          <w:rFonts w:hint="cs"/>
          <w:b w:val="0"/>
          <w:bCs w:val="0"/>
          <w:color w:val="auto"/>
          <w:sz w:val="24"/>
          <w:szCs w:val="24"/>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ובדברי ההסבר לאותו סעיף הובא הבירור המשמעתי של לשכת עורכי הדין כאחת מהדוגמאות לרשות כאמור. נוכח האמור, נראה כי יש כפילות מיותרת בין </w:t>
      </w:r>
      <w:proofErr w:type="spellStart"/>
      <w:r w:rsidR="00FB07F5">
        <w:rPr>
          <w:rFonts w:hint="cs"/>
          <w:b w:val="0"/>
          <w:bCs w:val="0"/>
          <w:color w:val="auto"/>
          <w:sz w:val="24"/>
          <w:szCs w:val="24"/>
          <w:rtl/>
        </w:rPr>
        <w:t>הסיפה</w:t>
      </w:r>
      <w:proofErr w:type="spellEnd"/>
      <w:r w:rsidR="00FB07F5">
        <w:rPr>
          <w:rFonts w:hint="cs"/>
          <w:b w:val="0"/>
          <w:bCs w:val="0"/>
          <w:color w:val="auto"/>
          <w:sz w:val="24"/>
          <w:szCs w:val="24"/>
          <w:rtl/>
        </w:rPr>
        <w:t xml:space="preserve"> של פסקה (4) לעניין הליך משמעתי לבין פסקה (5).</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 xml:space="preserve">להצעת החוק </w:t>
      </w:r>
      <w:r w:rsidR="009D0AEA" w:rsidRPr="00B5604B">
        <w:rPr>
          <w:rFonts w:ascii="David" w:hAnsi="David" w:hint="cs"/>
          <w:b w:val="0"/>
          <w:bCs w:val="0"/>
          <w:color w:val="auto"/>
          <w:sz w:val="24"/>
          <w:szCs w:val="24"/>
          <w:rtl/>
        </w:rPr>
        <w:lastRenderedPageBreak/>
        <w:t>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xml:space="preserve">. נראה כי כוונת הסעיף היא למנוע כפל בירור באותו עניין על ידי </w:t>
      </w:r>
      <w:proofErr w:type="spellStart"/>
      <w:r w:rsidR="001F198D" w:rsidRPr="00B5604B">
        <w:rPr>
          <w:rFonts w:hint="cs"/>
          <w:b w:val="0"/>
          <w:bCs w:val="0"/>
          <w:color w:val="auto"/>
          <w:sz w:val="24"/>
          <w:szCs w:val="24"/>
          <w:rtl/>
        </w:rPr>
        <w:t>מבררי</w:t>
      </w:r>
      <w:proofErr w:type="spellEnd"/>
      <w:r w:rsidR="001F198D" w:rsidRPr="00B5604B">
        <w:rPr>
          <w:rFonts w:hint="cs"/>
          <w:b w:val="0"/>
          <w:bCs w:val="0"/>
          <w:color w:val="auto"/>
          <w:sz w:val="24"/>
          <w:szCs w:val="24"/>
          <w:rtl/>
        </w:rPr>
        <w:t xml:space="preserve">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proofErr w:type="spellStart"/>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proofErr w:type="spellEnd"/>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w:t>
      </w:r>
      <w:proofErr w:type="spellStart"/>
      <w:r w:rsidRPr="001A40BD">
        <w:rPr>
          <w:rFonts w:hint="cs"/>
          <w:b w:val="0"/>
          <w:bCs w:val="0"/>
          <w:color w:val="auto"/>
          <w:sz w:val="24"/>
          <w:szCs w:val="24"/>
          <w:rtl/>
        </w:rPr>
        <w:t>מינהלתיות</w:t>
      </w:r>
      <w:proofErr w:type="spellEnd"/>
      <w:r w:rsidRPr="001A40BD">
        <w:rPr>
          <w:rFonts w:hint="cs"/>
          <w:b w:val="0"/>
          <w:bCs w:val="0"/>
          <w:color w:val="auto"/>
          <w:sz w:val="24"/>
          <w:szCs w:val="24"/>
          <w:rtl/>
        </w:rPr>
        <w:t xml:space="preserve">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lastRenderedPageBreak/>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 xml:space="preserve">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w:t>
      </w:r>
      <w:proofErr w:type="spellStart"/>
      <w:r w:rsidRPr="001A40BD">
        <w:rPr>
          <w:rFonts w:hint="cs"/>
          <w:b w:val="0"/>
          <w:bCs w:val="0"/>
          <w:color w:val="auto"/>
          <w:sz w:val="24"/>
          <w:szCs w:val="24"/>
          <w:u w:val="single"/>
          <w:rtl/>
        </w:rPr>
        <w:t>לבודקן</w:t>
      </w:r>
      <w:proofErr w:type="spellEnd"/>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נעיר, כי הדברים האמורים מקבלים משנה תוקף 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 xml:space="preserve">(2) היחסים בין היועץ ובין הנציב: היועץ </w:t>
      </w:r>
      <w:proofErr w:type="spellStart"/>
      <w:r w:rsidRPr="00C85188">
        <w:rPr>
          <w:rFonts w:ascii="David" w:hAnsi="David" w:hint="cs"/>
          <w:b/>
          <w:bCs/>
          <w:color w:val="auto"/>
          <w:sz w:val="24"/>
          <w:szCs w:val="24"/>
          <w:rtl/>
        </w:rPr>
        <w:t>כנילון</w:t>
      </w:r>
      <w:proofErr w:type="spellEnd"/>
      <w:r w:rsidRPr="00C85188">
        <w:rPr>
          <w:rFonts w:ascii="David" w:hAnsi="David" w:hint="cs"/>
          <w:b/>
          <w:bCs/>
          <w:color w:val="auto"/>
          <w:sz w:val="24"/>
          <w:szCs w:val="24"/>
          <w:rtl/>
        </w:rPr>
        <w:t xml:space="preserve">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proofErr w:type="spellStart"/>
      <w:r w:rsidR="00096E54" w:rsidRPr="00C26A66">
        <w:rPr>
          <w:rFonts w:hint="eastAsia"/>
          <w:b w:val="0"/>
          <w:bCs w:val="0"/>
          <w:color w:val="auto"/>
          <w:sz w:val="24"/>
          <w:szCs w:val="24"/>
          <w:rtl/>
        </w:rPr>
        <w:t>הנילון</w:t>
      </w:r>
      <w:proofErr w:type="spellEnd"/>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w:t>
      </w:r>
      <w:r w:rsidRPr="00715C94">
        <w:rPr>
          <w:rFonts w:hint="cs"/>
          <w:b w:val="0"/>
          <w:bCs w:val="0"/>
          <w:color w:val="auto"/>
          <w:sz w:val="24"/>
          <w:szCs w:val="24"/>
          <w:rtl/>
        </w:rPr>
        <w:lastRenderedPageBreak/>
        <w:t xml:space="preserve">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proofErr w:type="spellStart"/>
            <w:r w:rsidR="00096E54" w:rsidRPr="003C2769">
              <w:rPr>
                <w:rFonts w:cs="Narkisim" w:hint="eastAsia"/>
                <w:color w:val="auto"/>
                <w:sz w:val="24"/>
                <w:szCs w:val="24"/>
                <w:rtl/>
              </w:rPr>
              <w:t>הנילון</w:t>
            </w:r>
            <w:proofErr w:type="spellEnd"/>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proofErr w:type="spellStart"/>
      <w:r w:rsidR="00096E54" w:rsidRPr="009B565A">
        <w:rPr>
          <w:rFonts w:hint="eastAsia"/>
          <w:color w:val="auto"/>
          <w:sz w:val="24"/>
          <w:szCs w:val="24"/>
          <w:rtl/>
        </w:rPr>
        <w:t>הנילון</w:t>
      </w:r>
      <w:proofErr w:type="spellEnd"/>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xml:space="preserve">, כלל לא ברור שאכן מדובר בתנאים מצטברים, ולא בתנאי אחד שחוזר על עצמו בניסוחים שונים. שכן אם קיימים טעמים מיוחדים המצדיקים את הבירור, לכאורה </w:t>
      </w:r>
      <w:r w:rsidR="00500D38" w:rsidRPr="00810CCA">
        <w:rPr>
          <w:rFonts w:hint="cs"/>
          <w:color w:val="auto"/>
          <w:sz w:val="24"/>
          <w:szCs w:val="24"/>
          <w:rtl/>
        </w:rPr>
        <w:lastRenderedPageBreak/>
        <w:t>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w:t>
      </w:r>
      <w:proofErr w:type="spellStart"/>
      <w:r w:rsidR="00BD6C16" w:rsidRPr="00810CCA">
        <w:rPr>
          <w:rFonts w:hint="cs"/>
          <w:color w:val="auto"/>
          <w:sz w:val="24"/>
          <w:szCs w:val="24"/>
          <w:rtl/>
        </w:rPr>
        <w:t>מבררי</w:t>
      </w:r>
      <w:proofErr w:type="spellEnd"/>
      <w:r w:rsidR="00BD6C16" w:rsidRPr="00810CCA">
        <w:rPr>
          <w:rFonts w:hint="cs"/>
          <w:color w:val="auto"/>
          <w:sz w:val="24"/>
          <w:szCs w:val="24"/>
          <w:rtl/>
        </w:rPr>
        <w:t xml:space="preserve">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C34069" w:rsidRPr="000D36BB" w:rsidRDefault="003C2769" w:rsidP="00604771">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אישור היועץ המשפטי לממשלה לברר 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את שאלת 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w:t>
      </w:r>
      <w:proofErr w:type="spellStart"/>
      <w:r w:rsidR="002B05D9" w:rsidRPr="000D36BB">
        <w:rPr>
          <w:rFonts w:hint="cs"/>
          <w:color w:val="auto"/>
          <w:sz w:val="24"/>
          <w:szCs w:val="24"/>
          <w:rtl/>
        </w:rPr>
        <w:t>שבהתקיים</w:t>
      </w:r>
      <w:proofErr w:type="spellEnd"/>
      <w:r w:rsidR="002B05D9" w:rsidRPr="000D36BB">
        <w:rPr>
          <w:rFonts w:hint="cs"/>
          <w:color w:val="auto"/>
          <w:sz w:val="24"/>
          <w:szCs w:val="24"/>
          <w:rtl/>
        </w:rPr>
        <w:t xml:space="preserve">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p>
    <w:p w:rsidR="00AF52AC" w:rsidRPr="00641FCE" w:rsidRDefault="00053DB2" w:rsidP="00604771">
      <w:pPr>
        <w:pStyle w:val="Hesber"/>
        <w:spacing w:after="120"/>
        <w:ind w:firstLine="0"/>
        <w:rPr>
          <w:color w:val="auto"/>
          <w:sz w:val="24"/>
          <w:szCs w:val="24"/>
          <w:rtl/>
        </w:rPr>
      </w:pPr>
      <w:r w:rsidRPr="000D36BB">
        <w:rPr>
          <w:rFonts w:hint="cs"/>
          <w:color w:val="auto"/>
          <w:sz w:val="24"/>
          <w:szCs w:val="24"/>
          <w:rtl/>
        </w:rPr>
        <w:t xml:space="preserve">יוער, כי אצל </w:t>
      </w:r>
      <w:proofErr w:type="spellStart"/>
      <w:r w:rsidRPr="000D36BB">
        <w:rPr>
          <w:rFonts w:hint="cs"/>
          <w:color w:val="auto"/>
          <w:sz w:val="24"/>
          <w:szCs w:val="24"/>
          <w:rtl/>
        </w:rPr>
        <w:t>מבררי</w:t>
      </w:r>
      <w:proofErr w:type="spellEnd"/>
      <w:r w:rsidRPr="000D36BB">
        <w:rPr>
          <w:rFonts w:hint="cs"/>
          <w:color w:val="auto"/>
          <w:sz w:val="24"/>
          <w:szCs w:val="24"/>
          <w:rtl/>
        </w:rPr>
        <w:t xml:space="preserve"> </w:t>
      </w:r>
      <w:r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Pr="00641FCE">
        <w:rPr>
          <w:rFonts w:hint="cs"/>
          <w:color w:val="auto"/>
          <w:sz w:val="24"/>
          <w:szCs w:val="24"/>
          <w:rtl/>
        </w:rPr>
        <w:t xml:space="preserve"> </w:t>
      </w:r>
    </w:p>
    <w:p w:rsidR="006554B9" w:rsidRPr="00641FCE" w:rsidRDefault="006554B9" w:rsidP="00604771">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proofErr w:type="spellStart"/>
      <w:r w:rsidR="00096E54" w:rsidRPr="00674CC7">
        <w:rPr>
          <w:rFonts w:hint="eastAsia"/>
          <w:color w:val="auto"/>
          <w:sz w:val="24"/>
          <w:szCs w:val="24"/>
          <w:rtl/>
        </w:rPr>
        <w:t>היתה</w:t>
      </w:r>
      <w:proofErr w:type="spellEnd"/>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proofErr w:type="spellStart"/>
      <w:r w:rsidR="00096E54" w:rsidRPr="004B7035">
        <w:rPr>
          <w:rFonts w:hint="eastAsia"/>
          <w:color w:val="auto"/>
          <w:sz w:val="24"/>
          <w:szCs w:val="24"/>
          <w:rtl/>
        </w:rPr>
        <w:t>המינהלית</w:t>
      </w:r>
      <w:proofErr w:type="spellEnd"/>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proofErr w:type="spellStart"/>
      <w:r w:rsidR="00C21CFF" w:rsidRPr="00E42807">
        <w:rPr>
          <w:rFonts w:ascii="David" w:hAnsi="David" w:hint="cs"/>
          <w:b w:val="0"/>
          <w:bCs w:val="0"/>
          <w:color w:val="auto"/>
          <w:sz w:val="24"/>
          <w:szCs w:val="24"/>
          <w:rtl/>
        </w:rPr>
        <w:t>להחריג</w:t>
      </w:r>
      <w:proofErr w:type="spellEnd"/>
      <w:r w:rsidR="00C21CFF" w:rsidRPr="00E42807">
        <w:rPr>
          <w:rFonts w:ascii="David" w:hAnsi="David" w:hint="cs"/>
          <w:b w:val="0"/>
          <w:bCs w:val="0"/>
          <w:color w:val="auto"/>
          <w:sz w:val="24"/>
          <w:szCs w:val="24"/>
          <w:rtl/>
        </w:rPr>
        <w:t xml:space="preserve">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w:t>
      </w:r>
      <w:proofErr w:type="spellStart"/>
      <w:r w:rsidR="00A61955" w:rsidRPr="00E42807">
        <w:rPr>
          <w:rFonts w:ascii="David" w:hAnsi="David" w:hint="cs"/>
          <w:b w:val="0"/>
          <w:bCs w:val="0"/>
          <w:color w:val="auto"/>
          <w:sz w:val="24"/>
          <w:szCs w:val="24"/>
          <w:rtl/>
        </w:rPr>
        <w:t>להחריג</w:t>
      </w:r>
      <w:proofErr w:type="spellEnd"/>
      <w:r w:rsidR="00A61955" w:rsidRPr="00E42807">
        <w:rPr>
          <w:rFonts w:ascii="David" w:hAnsi="David" w:hint="cs"/>
          <w:b w:val="0"/>
          <w:bCs w:val="0"/>
          <w:color w:val="auto"/>
          <w:sz w:val="24"/>
          <w:szCs w:val="24"/>
          <w:rtl/>
        </w:rPr>
        <w:t xml:space="preserve">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שהיתה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w:t>
      </w:r>
      <w:proofErr w:type="spellStart"/>
      <w:r w:rsidR="00D36083" w:rsidRPr="00C30FD3">
        <w:rPr>
          <w:rFonts w:hint="cs"/>
          <w:b w:val="0"/>
          <w:bCs w:val="0"/>
          <w:color w:val="auto"/>
          <w:sz w:val="24"/>
          <w:szCs w:val="24"/>
          <w:rtl/>
        </w:rPr>
        <w:t>מבררי</w:t>
      </w:r>
      <w:proofErr w:type="spellEnd"/>
      <w:r w:rsidR="00D36083" w:rsidRPr="00C30FD3">
        <w:rPr>
          <w:rFonts w:hint="cs"/>
          <w:b w:val="0"/>
          <w:bCs w:val="0"/>
          <w:color w:val="auto"/>
          <w:sz w:val="24"/>
          <w:szCs w:val="24"/>
          <w:rtl/>
        </w:rPr>
        <w:t xml:space="preserve">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w:t>
      </w:r>
      <w:r w:rsidR="00983237" w:rsidRPr="00C30FD3">
        <w:rPr>
          <w:rFonts w:hint="cs"/>
          <w:b w:val="0"/>
          <w:bCs w:val="0"/>
          <w:color w:val="auto"/>
          <w:sz w:val="24"/>
          <w:szCs w:val="24"/>
          <w:rtl/>
        </w:rPr>
        <w:lastRenderedPageBreak/>
        <w:t xml:space="preserve">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w:t>
      </w:r>
      <w:proofErr w:type="spellStart"/>
      <w:r w:rsidR="006316CB" w:rsidRPr="00C30FD3">
        <w:rPr>
          <w:rFonts w:hint="cs"/>
          <w:b w:val="0"/>
          <w:bCs w:val="0"/>
          <w:color w:val="auto"/>
          <w:sz w:val="24"/>
          <w:szCs w:val="24"/>
          <w:rtl/>
        </w:rPr>
        <w:t>מבררי</w:t>
      </w:r>
      <w:proofErr w:type="spellEnd"/>
      <w:r w:rsidR="006316CB" w:rsidRPr="00C30FD3">
        <w:rPr>
          <w:rFonts w:hint="cs"/>
          <w:b w:val="0"/>
          <w:bCs w:val="0"/>
          <w:color w:val="auto"/>
          <w:sz w:val="24"/>
          <w:szCs w:val="24"/>
          <w:rtl/>
        </w:rPr>
        <w:t xml:space="preserve">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w:t>
      </w:r>
      <w:proofErr w:type="spellStart"/>
      <w:r w:rsidRPr="00C30FD3">
        <w:rPr>
          <w:rFonts w:hint="cs"/>
          <w:b w:val="0"/>
          <w:bCs w:val="0"/>
          <w:color w:val="auto"/>
          <w:sz w:val="24"/>
          <w:szCs w:val="24"/>
          <w:rtl/>
        </w:rPr>
        <w:t>במינהל</w:t>
      </w:r>
      <w:proofErr w:type="spellEnd"/>
      <w:r w:rsidRPr="00C30FD3">
        <w:rPr>
          <w:rFonts w:hint="cs"/>
          <w:b w:val="0"/>
          <w:bCs w:val="0"/>
          <w:color w:val="auto"/>
          <w:sz w:val="24"/>
          <w:szCs w:val="24"/>
          <w:rtl/>
        </w:rPr>
        <w:t xml:space="preserve">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proofErr w:type="spellStart"/>
      <w:r w:rsidRPr="0040735F">
        <w:rPr>
          <w:rFonts w:hint="eastAsia"/>
          <w:color w:val="auto"/>
          <w:sz w:val="24"/>
          <w:szCs w:val="24"/>
          <w:rtl/>
        </w:rPr>
        <w:t>הנילון</w:t>
      </w:r>
      <w:proofErr w:type="spellEnd"/>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proofErr w:type="spellStart"/>
      <w:r w:rsidRPr="0040735F">
        <w:rPr>
          <w:rFonts w:hint="eastAsia"/>
          <w:color w:val="auto"/>
          <w:sz w:val="24"/>
          <w:szCs w:val="24"/>
          <w:rtl/>
        </w:rPr>
        <w:t>לנילון</w:t>
      </w:r>
      <w:proofErr w:type="spellEnd"/>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lastRenderedPageBreak/>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 xml:space="preserve">על פי המוצע, אם הממונה על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הודיע לנציב כי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 xml:space="preserve">הגורם המקצועי יהיה </w:t>
      </w:r>
      <w:proofErr w:type="spellStart"/>
      <w:r w:rsidR="00BC7FB9" w:rsidRPr="00F609ED">
        <w:rPr>
          <w:rFonts w:hint="cs"/>
          <w:color w:val="auto"/>
          <w:sz w:val="24"/>
          <w:szCs w:val="24"/>
          <w:rtl/>
        </w:rPr>
        <w:t>הנילון</w:t>
      </w:r>
      <w:proofErr w:type="spellEnd"/>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proofErr w:type="spellStart"/>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proofErr w:type="spellEnd"/>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lastRenderedPageBreak/>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w:t>
      </w:r>
      <w:proofErr w:type="spellStart"/>
      <w:r w:rsidR="00460481" w:rsidRPr="0086675F">
        <w:rPr>
          <w:rFonts w:hint="cs"/>
          <w:color w:val="auto"/>
          <w:sz w:val="24"/>
          <w:szCs w:val="24"/>
          <w:u w:val="single"/>
          <w:rtl/>
        </w:rPr>
        <w:t>הנילון</w:t>
      </w:r>
      <w:proofErr w:type="spellEnd"/>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proofErr w:type="spellStart"/>
      <w:r w:rsidRPr="00024905">
        <w:rPr>
          <w:rFonts w:hint="eastAsia"/>
          <w:color w:val="auto"/>
          <w:sz w:val="24"/>
          <w:szCs w:val="24"/>
          <w:rtl/>
        </w:rPr>
        <w:t>הנילון</w:t>
      </w:r>
      <w:proofErr w:type="spellEnd"/>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proofErr w:type="spellStart"/>
      <w:r w:rsidR="00460481" w:rsidRPr="004E276A">
        <w:rPr>
          <w:rFonts w:hint="eastAsia"/>
          <w:color w:val="auto"/>
          <w:sz w:val="24"/>
          <w:szCs w:val="24"/>
          <w:rtl/>
        </w:rPr>
        <w:t>הנילון</w:t>
      </w:r>
      <w:proofErr w:type="spellEnd"/>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proofErr w:type="spellStart"/>
      <w:r w:rsidR="00460481" w:rsidRPr="00460481">
        <w:rPr>
          <w:rFonts w:hint="eastAsia"/>
          <w:color w:val="auto"/>
          <w:sz w:val="24"/>
          <w:szCs w:val="24"/>
          <w:rtl/>
        </w:rPr>
        <w:t>לנילון</w:t>
      </w:r>
      <w:proofErr w:type="spellEnd"/>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 xml:space="preserve">מתי הנציב מודיע </w:t>
      </w:r>
      <w:proofErr w:type="spellStart"/>
      <w:r w:rsidR="00460481" w:rsidRPr="00460481">
        <w:rPr>
          <w:rFonts w:hint="cs"/>
          <w:b/>
          <w:bCs/>
          <w:color w:val="auto"/>
          <w:sz w:val="24"/>
          <w:szCs w:val="24"/>
          <w:rtl/>
        </w:rPr>
        <w:t>ל</w:t>
      </w:r>
      <w:r w:rsidR="00E21621" w:rsidRPr="00460481">
        <w:rPr>
          <w:rFonts w:hint="cs"/>
          <w:b/>
          <w:bCs/>
          <w:color w:val="auto"/>
          <w:sz w:val="24"/>
          <w:szCs w:val="24"/>
          <w:rtl/>
        </w:rPr>
        <w:t>נילון</w:t>
      </w:r>
      <w:proofErr w:type="spellEnd"/>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דהיינו: ברור מהניסוח שבסעיף האמור כי ההודעה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2"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3"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 xml:space="preserve">את התלונה לידיעת </w:t>
      </w:r>
      <w:proofErr w:type="spellStart"/>
      <w:r w:rsidR="00E21621" w:rsidRPr="00460481">
        <w:rPr>
          <w:rFonts w:cs="Narkisim" w:hint="cs"/>
          <w:color w:val="auto"/>
          <w:sz w:val="24"/>
          <w:szCs w:val="24"/>
          <w:rtl/>
        </w:rPr>
        <w:t>הנילון</w:t>
      </w:r>
      <w:proofErr w:type="spellEnd"/>
      <w:r w:rsidR="00E21621" w:rsidRPr="00460481">
        <w:rPr>
          <w:rFonts w:cs="Narkisim" w:hint="cs"/>
          <w:color w:val="auto"/>
          <w:sz w:val="24"/>
          <w:szCs w:val="24"/>
          <w:rtl/>
        </w:rPr>
        <w:t xml:space="preserve">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w:t>
      </w:r>
      <w:proofErr w:type="spellStart"/>
      <w:r w:rsidRPr="007505FF">
        <w:rPr>
          <w:rFonts w:hint="cs"/>
          <w:b/>
          <w:bCs/>
          <w:color w:val="auto"/>
          <w:sz w:val="24"/>
          <w:szCs w:val="24"/>
          <w:rtl/>
        </w:rPr>
        <w:t>לנילון</w:t>
      </w:r>
      <w:proofErr w:type="spellEnd"/>
      <w:r w:rsidRPr="007505FF">
        <w:rPr>
          <w:rFonts w:hint="cs"/>
          <w:b/>
          <w:bCs/>
          <w:color w:val="auto"/>
          <w:sz w:val="24"/>
          <w:szCs w:val="24"/>
          <w:rtl/>
        </w:rPr>
        <w:t xml:space="preserve">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w:t>
      </w:r>
      <w:proofErr w:type="spellStart"/>
      <w:r w:rsidR="005D7D1F" w:rsidRPr="007505FF">
        <w:rPr>
          <w:rFonts w:hint="cs"/>
          <w:color w:val="auto"/>
          <w:sz w:val="24"/>
          <w:szCs w:val="24"/>
          <w:rtl/>
        </w:rPr>
        <w:t>שהנילון</w:t>
      </w:r>
      <w:proofErr w:type="spellEnd"/>
      <w:r w:rsidR="005D7D1F" w:rsidRPr="007505FF">
        <w:rPr>
          <w:rFonts w:hint="cs"/>
          <w:color w:val="auto"/>
          <w:sz w:val="24"/>
          <w:szCs w:val="24"/>
          <w:rtl/>
        </w:rPr>
        <w:t xml:space="preserve">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w:t>
      </w:r>
      <w:proofErr w:type="spellStart"/>
      <w:r w:rsidR="00A77342" w:rsidRPr="007505FF">
        <w:rPr>
          <w:rFonts w:hint="cs"/>
          <w:color w:val="auto"/>
          <w:sz w:val="24"/>
          <w:szCs w:val="24"/>
          <w:rtl/>
        </w:rPr>
        <w:t>הנילון</w:t>
      </w:r>
      <w:proofErr w:type="spellEnd"/>
      <w:r w:rsidR="00A77342" w:rsidRPr="007505FF">
        <w:rPr>
          <w:rFonts w:hint="cs"/>
          <w:color w:val="auto"/>
          <w:sz w:val="24"/>
          <w:szCs w:val="24"/>
          <w:rtl/>
        </w:rPr>
        <w:t xml:space="preserve"> והממונה עליו את כל </w:t>
      </w:r>
      <w:r w:rsidR="00A77342" w:rsidRPr="007505FF">
        <w:rPr>
          <w:rFonts w:hint="cs"/>
          <w:color w:val="auto"/>
          <w:sz w:val="24"/>
          <w:szCs w:val="24"/>
          <w:rtl/>
        </w:rPr>
        <w:lastRenderedPageBreak/>
        <w:t xml:space="preserve">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 xml:space="preserve">שמיעת </w:t>
      </w:r>
      <w:proofErr w:type="spellStart"/>
      <w:r w:rsidR="00024905" w:rsidRPr="00460481">
        <w:rPr>
          <w:rFonts w:hint="cs"/>
          <w:b/>
          <w:bCs/>
          <w:color w:val="auto"/>
          <w:sz w:val="24"/>
          <w:szCs w:val="24"/>
          <w:rtl/>
        </w:rPr>
        <w:t>הנילון</w:t>
      </w:r>
      <w:proofErr w:type="spellEnd"/>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w:t>
      </w:r>
      <w:proofErr w:type="spellStart"/>
      <w:r w:rsidR="00024905" w:rsidRPr="00460481">
        <w:rPr>
          <w:rFonts w:hint="cs"/>
          <w:color w:val="auto"/>
          <w:sz w:val="24"/>
          <w:szCs w:val="24"/>
          <w:rtl/>
        </w:rPr>
        <w:t>הנילון</w:t>
      </w:r>
      <w:proofErr w:type="spellEnd"/>
      <w:r w:rsidR="00024905" w:rsidRPr="00460481">
        <w:rPr>
          <w:rFonts w:hint="cs"/>
          <w:color w:val="auto"/>
          <w:sz w:val="24"/>
          <w:szCs w:val="24"/>
          <w:rtl/>
        </w:rPr>
        <w:t>,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 xml:space="preserve">רשאי לשמוע גם את </w:t>
      </w:r>
      <w:proofErr w:type="spellStart"/>
      <w:r w:rsidR="00842F17">
        <w:rPr>
          <w:rFonts w:hint="cs"/>
          <w:color w:val="auto"/>
          <w:sz w:val="24"/>
          <w:szCs w:val="24"/>
          <w:rtl/>
        </w:rPr>
        <w:t>הנילון</w:t>
      </w:r>
      <w:proofErr w:type="spellEnd"/>
      <w:r w:rsidR="00842F17">
        <w:rPr>
          <w:rFonts w:hint="cs"/>
          <w:color w:val="auto"/>
          <w:sz w:val="24"/>
          <w:szCs w:val="24"/>
          <w:rtl/>
        </w:rPr>
        <w:t>.</w:t>
      </w:r>
    </w:p>
    <w:p w:rsidR="004E276A" w:rsidRPr="00460481" w:rsidRDefault="004E276A" w:rsidP="00254E67">
      <w:pPr>
        <w:pStyle w:val="Hesber"/>
        <w:spacing w:after="120"/>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proofErr w:type="spellStart"/>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proofErr w:type="spellEnd"/>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lastRenderedPageBreak/>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254E67">
      <w:pPr>
        <w:pStyle w:val="Hesber"/>
        <w:spacing w:after="120"/>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 xml:space="preserve">יות המוקנות לנציב כדי לברר את התלונה. הוראה העוסקת במגבלות על גילוי או פרסום מידע שמגיע לידי הנציב כדוגמת זו המוצעת </w:t>
      </w:r>
      <w:proofErr w:type="spellStart"/>
      <w:r w:rsidR="00ED08BF" w:rsidRPr="007505FF">
        <w:rPr>
          <w:rFonts w:hint="cs"/>
          <w:color w:val="auto"/>
          <w:sz w:val="24"/>
          <w:szCs w:val="24"/>
          <w:rtl/>
        </w:rPr>
        <w:t>בסיפה</w:t>
      </w:r>
      <w:proofErr w:type="spellEnd"/>
      <w:r w:rsidR="00ED08BF" w:rsidRPr="007505FF">
        <w:rPr>
          <w:rFonts w:hint="cs"/>
          <w:color w:val="auto"/>
          <w:sz w:val="24"/>
          <w:szCs w:val="24"/>
          <w:rtl/>
        </w:rPr>
        <w:t xml:space="preserve">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254E67">
      <w:pPr>
        <w:pStyle w:val="Hesber"/>
        <w:spacing w:after="120"/>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proofErr w:type="spellStart"/>
            <w:r w:rsidRPr="00751AAA">
              <w:rPr>
                <w:rFonts w:cs="Narkisim" w:hint="eastAsia"/>
                <w:color w:val="auto"/>
                <w:sz w:val="24"/>
                <w:szCs w:val="24"/>
                <w:rtl/>
              </w:rPr>
              <w:t>הנילון</w:t>
            </w:r>
            <w:proofErr w:type="spellEnd"/>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proofErr w:type="spellStart"/>
            <w:r w:rsidRPr="00751AAA">
              <w:rPr>
                <w:rFonts w:cs="Narkisim" w:hint="eastAsia"/>
                <w:color w:val="auto"/>
                <w:sz w:val="24"/>
                <w:szCs w:val="24"/>
                <w:rtl/>
              </w:rPr>
              <w:t>לנילון</w:t>
            </w:r>
            <w:proofErr w:type="spellEnd"/>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lastRenderedPageBreak/>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proofErr w:type="spellStart"/>
      <w:r w:rsidRPr="00751AAA">
        <w:rPr>
          <w:rFonts w:hint="eastAsia"/>
          <w:color w:val="auto"/>
          <w:sz w:val="24"/>
          <w:szCs w:val="24"/>
          <w:rtl/>
        </w:rPr>
        <w:t>הנילון</w:t>
      </w:r>
      <w:proofErr w:type="spellEnd"/>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w:t>
      </w:r>
      <w:proofErr w:type="spellStart"/>
      <w:r>
        <w:rPr>
          <w:rFonts w:hint="cs"/>
          <w:color w:val="auto"/>
          <w:sz w:val="24"/>
          <w:szCs w:val="24"/>
          <w:rtl/>
        </w:rPr>
        <w:t>שהנילון</w:t>
      </w:r>
      <w:proofErr w:type="spellEnd"/>
      <w:r>
        <w:rPr>
          <w:rFonts w:hint="cs"/>
          <w:color w:val="auto"/>
          <w:sz w:val="24"/>
          <w:szCs w:val="24"/>
          <w:rtl/>
        </w:rPr>
        <w:t xml:space="preserve">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proofErr w:type="spellStart"/>
      <w:r w:rsidRPr="00751AAA">
        <w:rPr>
          <w:rFonts w:hint="eastAsia"/>
          <w:color w:val="auto"/>
          <w:sz w:val="24"/>
          <w:szCs w:val="24"/>
          <w:rtl/>
        </w:rPr>
        <w:t>לנילון</w:t>
      </w:r>
      <w:proofErr w:type="spellEnd"/>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lastRenderedPageBreak/>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proofErr w:type="spellStart"/>
      <w:r w:rsidRPr="004F4E24">
        <w:rPr>
          <w:rFonts w:hint="eastAsia"/>
          <w:color w:val="auto"/>
          <w:sz w:val="24"/>
          <w:szCs w:val="24"/>
          <w:rtl/>
        </w:rPr>
        <w:t>לנילון</w:t>
      </w:r>
      <w:proofErr w:type="spellEnd"/>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xml:space="preserve">, נקבע כי בהודעה ששולח הנציב למתלונן, </w:t>
      </w:r>
      <w:proofErr w:type="spellStart"/>
      <w:r>
        <w:rPr>
          <w:rFonts w:hint="cs"/>
          <w:color w:val="auto"/>
          <w:sz w:val="24"/>
          <w:szCs w:val="24"/>
          <w:rtl/>
        </w:rPr>
        <w:t>לנילון</w:t>
      </w:r>
      <w:proofErr w:type="spellEnd"/>
      <w:r>
        <w:rPr>
          <w:rFonts w:hint="cs"/>
          <w:color w:val="auto"/>
          <w:sz w:val="24"/>
          <w:szCs w:val="24"/>
          <w:rtl/>
        </w:rPr>
        <w:t xml:space="preserve">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xml:space="preserve">, וכדי שהמתלונן ידע לא רק שהתלונה </w:t>
      </w:r>
      <w:proofErr w:type="spellStart"/>
      <w:r w:rsidR="00173BAB">
        <w:rPr>
          <w:rFonts w:hint="cs"/>
          <w:color w:val="auto"/>
          <w:sz w:val="24"/>
          <w:szCs w:val="24"/>
          <w:rtl/>
        </w:rPr>
        <w:t>היתה</w:t>
      </w:r>
      <w:proofErr w:type="spellEnd"/>
      <w:r w:rsidR="00173BAB">
        <w:rPr>
          <w:rFonts w:hint="cs"/>
          <w:color w:val="auto"/>
          <w:sz w:val="24"/>
          <w:szCs w:val="24"/>
          <w:rtl/>
        </w:rPr>
        <w:t xml:space="preserve">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proofErr w:type="spellStart"/>
            <w:r w:rsidR="008077D2" w:rsidRPr="004C711C">
              <w:rPr>
                <w:rFonts w:cs="Narkisim" w:hint="eastAsia"/>
                <w:color w:val="auto"/>
                <w:sz w:val="24"/>
                <w:szCs w:val="24"/>
                <w:rtl/>
              </w:rPr>
              <w:t>הנילון</w:t>
            </w:r>
            <w:proofErr w:type="spellEnd"/>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lastRenderedPageBreak/>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proofErr w:type="spellStart"/>
      <w:r w:rsidRPr="004C711C">
        <w:rPr>
          <w:rFonts w:hint="eastAsia"/>
          <w:color w:val="auto"/>
          <w:spacing w:val="-2"/>
          <w:sz w:val="24"/>
          <w:szCs w:val="24"/>
          <w:rtl/>
        </w:rPr>
        <w:t>הנילון</w:t>
      </w:r>
      <w:proofErr w:type="spellEnd"/>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 xml:space="preserve">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w:t>
      </w:r>
      <w:proofErr w:type="spellStart"/>
      <w:r w:rsidR="00C16306">
        <w:rPr>
          <w:rFonts w:hint="cs"/>
          <w:color w:val="auto"/>
          <w:spacing w:val="-2"/>
          <w:sz w:val="24"/>
          <w:szCs w:val="24"/>
          <w:rtl/>
        </w:rPr>
        <w:t>למוחקן</w:t>
      </w:r>
      <w:proofErr w:type="spellEnd"/>
      <w:r w:rsidR="00C16306">
        <w:rPr>
          <w:rFonts w:hint="cs"/>
          <w:color w:val="auto"/>
          <w:spacing w:val="-2"/>
          <w:sz w:val="24"/>
          <w:szCs w:val="24"/>
          <w:rtl/>
        </w:rPr>
        <w:t>.</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lastRenderedPageBreak/>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w:t>
      </w:r>
      <w:r w:rsidR="007B514C" w:rsidRPr="00683720">
        <w:rPr>
          <w:rFonts w:ascii="David" w:hAnsi="David" w:hint="cs"/>
          <w:color w:val="auto"/>
          <w:sz w:val="24"/>
          <w:szCs w:val="24"/>
          <w:rtl/>
        </w:rPr>
        <w:lastRenderedPageBreak/>
        <w:t xml:space="preserve">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CF7617"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 xml:space="preserve">כדי למנוע חששות אלה, 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xml:space="preserve">) היועץ המשפטי לממשלה </w:t>
      </w:r>
      <w:proofErr w:type="spellStart"/>
      <w:r w:rsidRPr="008E33ED">
        <w:rPr>
          <w:rFonts w:ascii="David" w:hAnsi="David" w:hint="cs"/>
          <w:b/>
          <w:bCs/>
          <w:color w:val="auto"/>
          <w:sz w:val="24"/>
          <w:szCs w:val="24"/>
          <w:rtl/>
        </w:rPr>
        <w:t>כנילון</w:t>
      </w:r>
      <w:proofErr w:type="spellEnd"/>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 xml:space="preserve">גם כאן מתעוררת השאלה, מה יקרה במצב שבו היועץ עצמו הוא </w:t>
      </w:r>
      <w:proofErr w:type="spellStart"/>
      <w:r w:rsidRPr="008E33ED">
        <w:rPr>
          <w:rFonts w:ascii="David" w:hAnsi="David" w:hint="cs"/>
          <w:color w:val="auto"/>
          <w:sz w:val="24"/>
          <w:szCs w:val="24"/>
          <w:rtl/>
        </w:rPr>
        <w:t>הנילון</w:t>
      </w:r>
      <w:proofErr w:type="spellEnd"/>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w:t>
      </w:r>
      <w:bookmarkStart w:id="4" w:name="_GoBack"/>
      <w:bookmarkEnd w:id="4"/>
      <w:r w:rsidRPr="00135266">
        <w:rPr>
          <w:rFonts w:hint="eastAsia"/>
          <w:color w:val="auto"/>
          <w:sz w:val="24"/>
          <w:szCs w:val="24"/>
          <w:rtl/>
        </w:rPr>
        <w:t>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xml:space="preserve">,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w:t>
      </w:r>
      <w:proofErr w:type="spellStart"/>
      <w:r w:rsidRPr="00BF4F83">
        <w:rPr>
          <w:rFonts w:ascii="David" w:hAnsi="David" w:hint="cs"/>
          <w:color w:val="auto"/>
          <w:sz w:val="24"/>
          <w:szCs w:val="24"/>
          <w:rtl/>
        </w:rPr>
        <w:t>השניה</w:t>
      </w:r>
      <w:proofErr w:type="spellEnd"/>
      <w:r w:rsidRPr="00BF4F83">
        <w:rPr>
          <w:rFonts w:ascii="David" w:hAnsi="David" w:hint="cs"/>
          <w:color w:val="auto"/>
          <w:sz w:val="24"/>
          <w:szCs w:val="24"/>
          <w:rtl/>
        </w:rPr>
        <w:t xml:space="preserve">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proofErr w:type="spellStart"/>
      <w:r w:rsidR="00AD761D" w:rsidRPr="00BF4F83">
        <w:rPr>
          <w:rFonts w:ascii="David" w:hAnsi="David" w:cs="David"/>
          <w:sz w:val="24"/>
          <w:rtl/>
        </w:rPr>
        <w:t>שטרסברג</w:t>
      </w:r>
      <w:proofErr w:type="spellEnd"/>
      <w:r w:rsidR="00AD761D" w:rsidRPr="00BF4F83">
        <w:rPr>
          <w:rFonts w:ascii="David" w:hAnsi="David" w:cs="David"/>
          <w:sz w:val="24"/>
          <w:rtl/>
        </w:rPr>
        <w:t xml:space="preserve">-כהן,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w:t>
      </w:r>
      <w:proofErr w:type="spellStart"/>
      <w:r w:rsidR="00F75C85" w:rsidRPr="00BF4F83">
        <w:rPr>
          <w:rFonts w:ascii="David" w:hAnsi="David" w:cs="David" w:hint="cs"/>
          <w:sz w:val="24"/>
          <w:rtl/>
        </w:rPr>
        <w:t>ככזו</w:t>
      </w:r>
      <w:proofErr w:type="spellEnd"/>
      <w:r w:rsidR="00F75C85" w:rsidRPr="00BF4F83">
        <w:rPr>
          <w:rFonts w:ascii="David" w:hAnsi="David" w:cs="David" w:hint="cs"/>
          <w:sz w:val="24"/>
          <w:rtl/>
        </w:rPr>
        <w:t xml:space="preserve">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proofErr w:type="spellStart"/>
      <w:r w:rsidR="00AD761D" w:rsidRPr="00BF4F83">
        <w:rPr>
          <w:rFonts w:ascii="David" w:hAnsi="David" w:cs="David"/>
          <w:sz w:val="24"/>
          <w:rtl/>
        </w:rPr>
        <w:t>היתה</w:t>
      </w:r>
      <w:proofErr w:type="spellEnd"/>
      <w:r w:rsidR="00AD761D" w:rsidRPr="00BF4F83">
        <w:rPr>
          <w:rFonts w:ascii="David" w:hAnsi="David" w:cs="David"/>
          <w:sz w:val="24"/>
          <w:rtl/>
        </w:rPr>
        <w:t xml:space="preserve">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B04A89">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שני הסייגים הנוספים (הדרישה לקיומו של "עניין ציבורי"; ומתן זכות טיעון לפני הפרסום)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 xml:space="preserve">סחם של הסעיפים המקבילים אצל </w:t>
      </w:r>
      <w:proofErr w:type="spellStart"/>
      <w:r w:rsidR="00A41B1A" w:rsidRPr="00EE383D">
        <w:rPr>
          <w:rFonts w:hint="cs"/>
          <w:color w:val="auto"/>
          <w:sz w:val="24"/>
          <w:szCs w:val="24"/>
          <w:rtl/>
        </w:rPr>
        <w:t>מבררי</w:t>
      </w:r>
      <w:proofErr w:type="spellEnd"/>
      <w:r w:rsidR="00A41B1A" w:rsidRPr="00EE383D">
        <w:rPr>
          <w:rFonts w:hint="cs"/>
          <w:color w:val="auto"/>
          <w:sz w:val="24"/>
          <w:szCs w:val="24"/>
          <w:rtl/>
        </w:rPr>
        <w:t xml:space="preserve">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בכך שניתנת הודעה על כך שהחומר הוא "עניין" לביטחון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ואילו אצל נציב תלונות הציבור על מייצגי המדינה בערכאות נדרש שהמידע "עלול לפגוע" בביטחון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דהיינו: הרף הנדרש לצורך אי הכללה ואי גילוי של החומר לגבי הנציב הוא גבוה יותר מזה שאצל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 xml:space="preserve">(2) סייגים למסירת מידע שאינם קיימים אצל </w:t>
      </w:r>
      <w:proofErr w:type="spellStart"/>
      <w:r w:rsidRPr="007F0EE0">
        <w:rPr>
          <w:rFonts w:hint="cs"/>
          <w:b/>
          <w:bCs/>
          <w:color w:val="auto"/>
          <w:sz w:val="24"/>
          <w:szCs w:val="24"/>
          <w:rtl/>
        </w:rPr>
        <w:t>מבררי</w:t>
      </w:r>
      <w:proofErr w:type="spellEnd"/>
      <w:r w:rsidRPr="007F0EE0">
        <w:rPr>
          <w:rFonts w:hint="cs"/>
          <w:b/>
          <w:bCs/>
          <w:color w:val="auto"/>
          <w:sz w:val="24"/>
          <w:szCs w:val="24"/>
          <w:rtl/>
        </w:rPr>
        <w:t xml:space="preserve">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w:t>
      </w:r>
      <w:proofErr w:type="spellStart"/>
      <w:r>
        <w:rPr>
          <w:rFonts w:hint="cs"/>
          <w:color w:val="auto"/>
          <w:sz w:val="24"/>
          <w:szCs w:val="24"/>
          <w:rtl/>
        </w:rPr>
        <w:t>ס"ק</w:t>
      </w:r>
      <w:proofErr w:type="spellEnd"/>
      <w:r>
        <w:rPr>
          <w:rFonts w:hint="cs"/>
          <w:color w:val="auto"/>
          <w:sz w:val="24"/>
          <w:szCs w:val="24"/>
          <w:rtl/>
        </w:rPr>
        <w:t xml:space="preserve"> (א)(3)), פרסום או גילוי שאסור על פי דין (</w:t>
      </w:r>
      <w:proofErr w:type="spellStart"/>
      <w:r>
        <w:rPr>
          <w:rFonts w:hint="cs"/>
          <w:color w:val="auto"/>
          <w:sz w:val="24"/>
          <w:szCs w:val="24"/>
          <w:rtl/>
        </w:rPr>
        <w:t>ס"ק</w:t>
      </w:r>
      <w:proofErr w:type="spellEnd"/>
      <w:r>
        <w:rPr>
          <w:rFonts w:hint="cs"/>
          <w:color w:val="auto"/>
          <w:sz w:val="24"/>
          <w:szCs w:val="24"/>
          <w:rtl/>
        </w:rPr>
        <w:t xml:space="preserve"> (א)(4)), מידע בדבר דיונים פנימיים וכו' (</w:t>
      </w:r>
      <w:proofErr w:type="spellStart"/>
      <w:r>
        <w:rPr>
          <w:rFonts w:hint="cs"/>
          <w:color w:val="auto"/>
          <w:sz w:val="24"/>
          <w:szCs w:val="24"/>
          <w:rtl/>
        </w:rPr>
        <w:t>ס"ק</w:t>
      </w:r>
      <w:proofErr w:type="spellEnd"/>
      <w:r>
        <w:rPr>
          <w:rFonts w:hint="cs"/>
          <w:color w:val="auto"/>
          <w:sz w:val="24"/>
          <w:szCs w:val="24"/>
          <w:rtl/>
        </w:rPr>
        <w:t xml:space="preserve"> (א)(5)) ומידע שעלול לפגוע שלא כדין בפרטיות (</w:t>
      </w:r>
      <w:proofErr w:type="spellStart"/>
      <w:r>
        <w:rPr>
          <w:rFonts w:hint="cs"/>
          <w:color w:val="auto"/>
          <w:sz w:val="24"/>
          <w:szCs w:val="24"/>
          <w:rtl/>
        </w:rPr>
        <w:t>ס"ק</w:t>
      </w:r>
      <w:proofErr w:type="spellEnd"/>
      <w:r>
        <w:rPr>
          <w:rFonts w:hint="cs"/>
          <w:color w:val="auto"/>
          <w:sz w:val="24"/>
          <w:szCs w:val="24"/>
          <w:rtl/>
        </w:rPr>
        <w:t xml:space="preserve">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w:t>
      </w:r>
      <w:proofErr w:type="spellStart"/>
      <w:r w:rsidR="003F7DB0" w:rsidRPr="000E75C4">
        <w:rPr>
          <w:rFonts w:hint="cs"/>
          <w:color w:val="auto"/>
          <w:sz w:val="24"/>
          <w:szCs w:val="24"/>
          <w:rtl/>
        </w:rPr>
        <w:t>מבררי</w:t>
      </w:r>
      <w:proofErr w:type="spellEnd"/>
      <w:r w:rsidR="003F7DB0" w:rsidRPr="000E75C4">
        <w:rPr>
          <w:rFonts w:hint="cs"/>
          <w:color w:val="auto"/>
          <w:sz w:val="24"/>
          <w:szCs w:val="24"/>
          <w:rtl/>
        </w:rPr>
        <w:t xml:space="preserve">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w:t>
      </w:r>
      <w:proofErr w:type="spellStart"/>
      <w:r w:rsidR="00B3363E" w:rsidRPr="000E75C4">
        <w:rPr>
          <w:rFonts w:hint="cs"/>
          <w:color w:val="auto"/>
          <w:sz w:val="24"/>
          <w:szCs w:val="24"/>
          <w:rtl/>
        </w:rPr>
        <w:t>וכו</w:t>
      </w:r>
      <w:proofErr w:type="spellEnd"/>
      <w:r w:rsidR="00B3363E" w:rsidRPr="000E75C4">
        <w:rPr>
          <w:rFonts w:hint="cs"/>
          <w:color w:val="auto"/>
          <w:sz w:val="24"/>
          <w:szCs w:val="24"/>
          <w:rtl/>
        </w:rPr>
        <w:t xml:space="preserve">'.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 xml:space="preserve">העובדה שלפי חוק חופש המידע מדובר במידע שרשות ציבורית אינה חייבת למסור, אינה הצדקה לאסור על הנציב מלפרסם </w:t>
      </w:r>
      <w:r w:rsidR="005664FF" w:rsidRPr="000E75C4">
        <w:rPr>
          <w:rFonts w:hint="cs"/>
          <w:color w:val="auto"/>
          <w:sz w:val="24"/>
          <w:szCs w:val="24"/>
          <w:u w:val="single"/>
          <w:rtl/>
        </w:rPr>
        <w:lastRenderedPageBreak/>
        <w:t>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 xml:space="preserve">לכל היותר, היא יכולה לשמש </w:t>
      </w:r>
      <w:proofErr w:type="spellStart"/>
      <w:r w:rsidR="0010464C" w:rsidRPr="000E75C4">
        <w:rPr>
          <w:rFonts w:hint="cs"/>
          <w:color w:val="auto"/>
          <w:sz w:val="24"/>
          <w:szCs w:val="24"/>
          <w:u w:val="single"/>
          <w:rtl/>
        </w:rPr>
        <w:t>כהנחייה</w:t>
      </w:r>
      <w:proofErr w:type="spellEnd"/>
      <w:r w:rsidR="0010464C" w:rsidRPr="000E75C4">
        <w:rPr>
          <w:rFonts w:hint="cs"/>
          <w:color w:val="auto"/>
          <w:sz w:val="24"/>
          <w:szCs w:val="24"/>
          <w:u w:val="single"/>
          <w:rtl/>
        </w:rPr>
        <w:t xml:space="preserve">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t xml:space="preserve">יתירה מזאת, ההצדקה להיתר של סעיף 9(ב)(4) לחוק חופש המידע, שלא למסור מידע בדבר דיונים פנימיים </w:t>
      </w:r>
      <w:proofErr w:type="spellStart"/>
      <w:r w:rsidR="005664FF" w:rsidRPr="000E75C4">
        <w:rPr>
          <w:rFonts w:hint="cs"/>
          <w:color w:val="auto"/>
          <w:sz w:val="24"/>
          <w:szCs w:val="24"/>
          <w:rtl/>
        </w:rPr>
        <w:t>וכו</w:t>
      </w:r>
      <w:proofErr w:type="spellEnd"/>
      <w:r w:rsidR="005664FF" w:rsidRPr="000E75C4">
        <w:rPr>
          <w:rFonts w:hint="cs"/>
          <w:color w:val="auto"/>
          <w:sz w:val="24"/>
          <w:szCs w:val="24"/>
          <w:rtl/>
        </w:rPr>
        <w:t xml:space="preserve">',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proofErr w:type="spellStart"/>
      <w:r w:rsidRPr="001515CF">
        <w:rPr>
          <w:rFonts w:hint="eastAsia"/>
          <w:color w:val="auto"/>
          <w:sz w:val="24"/>
          <w:szCs w:val="24"/>
          <w:rtl/>
        </w:rPr>
        <w:t>בסעדים</w:t>
      </w:r>
      <w:proofErr w:type="spellEnd"/>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lastRenderedPageBreak/>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proofErr w:type="spellStart"/>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proofErr w:type="spellEnd"/>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proofErr w:type="spellStart"/>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proofErr w:type="spellEnd"/>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proofErr w:type="spellStart"/>
      <w:r w:rsidR="00951072" w:rsidRPr="00951072">
        <w:rPr>
          <w:rFonts w:ascii="Arial" w:eastAsia="Arial Unicode MS" w:hAnsi="Arial" w:cs="David" w:hint="cs"/>
          <w:snapToGrid w:val="0"/>
          <w:sz w:val="24"/>
          <w:rtl/>
          <w:lang w:eastAsia="ja-JP"/>
        </w:rPr>
        <w:t>הרציונאל</w:t>
      </w:r>
      <w:proofErr w:type="spellEnd"/>
      <w:r w:rsidR="00951072" w:rsidRPr="00951072">
        <w:rPr>
          <w:rFonts w:ascii="Arial" w:eastAsia="Arial Unicode MS" w:hAnsi="Arial" w:cs="David" w:hint="cs"/>
          <w:snapToGrid w:val="0"/>
          <w:sz w:val="24"/>
          <w:rtl/>
          <w:lang w:eastAsia="ja-JP"/>
        </w:rPr>
        <w:t xml:space="preserve">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xml:space="preserve">: בחודש דצמבר 2006, הגישה "הוועדה הציבורית לבחינת חוק הביקורת הפנימית, התשנ"ב-1992", בראשות השופט בדימוס </w:t>
      </w:r>
      <w:proofErr w:type="spellStart"/>
      <w:r w:rsidRPr="00A827AE">
        <w:rPr>
          <w:rFonts w:ascii="Arial" w:eastAsia="Arial Unicode MS" w:hAnsi="Arial" w:cs="David" w:hint="cs"/>
          <w:snapToGrid w:val="0"/>
          <w:sz w:val="24"/>
          <w:rtl/>
          <w:lang w:eastAsia="ja-JP"/>
        </w:rPr>
        <w:t>ורדימוס</w:t>
      </w:r>
      <w:proofErr w:type="spellEnd"/>
      <w:r w:rsidRPr="00A827AE">
        <w:rPr>
          <w:rFonts w:ascii="Arial" w:eastAsia="Arial Unicode MS" w:hAnsi="Arial" w:cs="David" w:hint="cs"/>
          <w:snapToGrid w:val="0"/>
          <w:sz w:val="24"/>
          <w:rtl/>
          <w:lang w:eastAsia="ja-JP"/>
        </w:rPr>
        <w:t xml:space="preserve"> </w:t>
      </w:r>
      <w:proofErr w:type="spellStart"/>
      <w:r w:rsidRPr="00A827AE">
        <w:rPr>
          <w:rFonts w:ascii="Arial" w:eastAsia="Arial Unicode MS" w:hAnsi="Arial" w:cs="David" w:hint="cs"/>
          <w:snapToGrid w:val="0"/>
          <w:sz w:val="24"/>
          <w:rtl/>
          <w:lang w:eastAsia="ja-JP"/>
        </w:rPr>
        <w:t>זיילר</w:t>
      </w:r>
      <w:proofErr w:type="spellEnd"/>
      <w:r w:rsidRPr="00A827AE">
        <w:rPr>
          <w:rFonts w:ascii="Arial" w:eastAsia="Arial Unicode MS" w:hAnsi="Arial" w:cs="David" w:hint="cs"/>
          <w:snapToGrid w:val="0"/>
          <w:sz w:val="24"/>
          <w:rtl/>
          <w:lang w:eastAsia="ja-JP"/>
        </w:rPr>
        <w:t>, את מסקנותיה לשרת המשפטים דאז</w:t>
      </w:r>
      <w:r w:rsidR="00646F7A" w:rsidRPr="00A827AE">
        <w:rPr>
          <w:rFonts w:ascii="Arial" w:eastAsia="Arial Unicode MS" w:hAnsi="Arial" w:cs="David" w:hint="cs"/>
          <w:snapToGrid w:val="0"/>
          <w:sz w:val="24"/>
          <w:rtl/>
          <w:lang w:eastAsia="ja-JP"/>
        </w:rPr>
        <w:t xml:space="preserve">, חה"כ ציפי </w:t>
      </w:r>
      <w:proofErr w:type="spellStart"/>
      <w:r w:rsidR="00646F7A" w:rsidRPr="00A827AE">
        <w:rPr>
          <w:rFonts w:ascii="Arial" w:eastAsia="Arial Unicode MS" w:hAnsi="Arial" w:cs="David" w:hint="cs"/>
          <w:snapToGrid w:val="0"/>
          <w:sz w:val="24"/>
          <w:rtl/>
          <w:lang w:eastAsia="ja-JP"/>
        </w:rPr>
        <w:t>ליבני</w:t>
      </w:r>
      <w:proofErr w:type="spellEnd"/>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lastRenderedPageBreak/>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lastRenderedPageBreak/>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lastRenderedPageBreak/>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w:t>
      </w:r>
      <w:proofErr w:type="spellStart"/>
      <w:r w:rsidR="00C066DA" w:rsidRPr="00BA4840">
        <w:rPr>
          <w:rFonts w:hint="cs"/>
          <w:color w:val="auto"/>
          <w:sz w:val="24"/>
          <w:szCs w:val="24"/>
          <w:rtl/>
        </w:rPr>
        <w:t>הטייה</w:t>
      </w:r>
      <w:proofErr w:type="spellEnd"/>
      <w:r w:rsidR="00C066DA" w:rsidRPr="00BA4840">
        <w:rPr>
          <w:rFonts w:hint="cs"/>
          <w:color w:val="auto"/>
          <w:sz w:val="24"/>
          <w:szCs w:val="24"/>
          <w:rtl/>
        </w:rPr>
        <w:t xml:space="preserve">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proofErr w:type="spellStart"/>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proofErr w:type="spellEnd"/>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proofErr w:type="spellStart"/>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proofErr w:type="spellEnd"/>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lastRenderedPageBreak/>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proofErr w:type="spellStart"/>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proofErr w:type="spellEnd"/>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w:t>
      </w:r>
      <w:proofErr w:type="spellStart"/>
      <w:r w:rsidR="00A646CB" w:rsidRPr="000F706D">
        <w:rPr>
          <w:rFonts w:hint="cs"/>
          <w:color w:val="auto"/>
          <w:sz w:val="24"/>
          <w:szCs w:val="24"/>
          <w:rtl/>
        </w:rPr>
        <w:t>שהיתה</w:t>
      </w:r>
      <w:proofErr w:type="spellEnd"/>
      <w:r w:rsidR="00A646CB" w:rsidRPr="000F706D">
        <w:rPr>
          <w:rFonts w:hint="cs"/>
          <w:color w:val="auto"/>
          <w:sz w:val="24"/>
          <w:szCs w:val="24"/>
          <w:rtl/>
        </w:rPr>
        <w:t xml:space="preserve">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proofErr w:type="spellStart"/>
      <w:r w:rsidR="00A646CB" w:rsidRPr="000F706D">
        <w:rPr>
          <w:rFonts w:hint="cs"/>
          <w:color w:val="auto"/>
          <w:sz w:val="24"/>
          <w:szCs w:val="24"/>
          <w:rtl/>
        </w:rPr>
        <w:t>היתה</w:t>
      </w:r>
      <w:proofErr w:type="spellEnd"/>
      <w:r w:rsidR="00A646CB" w:rsidRPr="000F706D">
        <w:rPr>
          <w:rFonts w:hint="cs"/>
          <w:color w:val="auto"/>
          <w:sz w:val="24"/>
          <w:szCs w:val="24"/>
          <w:rtl/>
        </w:rPr>
        <w:t xml:space="preserve">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w:t>
      </w:r>
      <w:r w:rsidR="00CD1C6A">
        <w:rPr>
          <w:rFonts w:hint="cs"/>
          <w:color w:val="auto"/>
          <w:sz w:val="24"/>
          <w:szCs w:val="24"/>
          <w:rtl/>
        </w:rPr>
        <w:lastRenderedPageBreak/>
        <w:t xml:space="preserve">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lastRenderedPageBreak/>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 xml:space="preserve">החלטה של </w:t>
      </w:r>
      <w:proofErr w:type="spellStart"/>
      <w:r w:rsidR="008A2F2E" w:rsidRPr="00C959E6">
        <w:rPr>
          <w:rFonts w:hint="cs"/>
          <w:b/>
          <w:bCs/>
          <w:color w:val="auto"/>
          <w:sz w:val="24"/>
          <w:szCs w:val="24"/>
          <w:rtl/>
        </w:rPr>
        <w:t>היועהמ"ש</w:t>
      </w:r>
      <w:proofErr w:type="spellEnd"/>
      <w:r w:rsidR="008A2F2E" w:rsidRPr="00C959E6">
        <w:rPr>
          <w:rFonts w:hint="cs"/>
          <w:b/>
          <w:bCs/>
          <w:color w:val="auto"/>
          <w:sz w:val="24"/>
          <w:szCs w:val="24"/>
          <w:rtl/>
        </w:rPr>
        <w:t xml:space="preserve">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lastRenderedPageBreak/>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w:t>
      </w:r>
      <w:proofErr w:type="spellStart"/>
      <w:r w:rsidR="00B75534" w:rsidRPr="00B75534">
        <w:rPr>
          <w:rFonts w:hint="cs"/>
          <w:color w:val="auto"/>
          <w:sz w:val="24"/>
          <w:szCs w:val="24"/>
          <w:rtl/>
        </w:rPr>
        <w:t>למינהל</w:t>
      </w:r>
      <w:proofErr w:type="spellEnd"/>
      <w:r w:rsidR="00B75534" w:rsidRPr="00B75534">
        <w:rPr>
          <w:rFonts w:hint="cs"/>
          <w:color w:val="auto"/>
          <w:sz w:val="24"/>
          <w:szCs w:val="24"/>
          <w:rtl/>
        </w:rPr>
        <w:t xml:space="preserve">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281" w:rsidRDefault="007A6281" w:rsidP="00631B65">
      <w:pPr>
        <w:spacing w:line="240" w:lineRule="auto"/>
      </w:pPr>
      <w:r>
        <w:separator/>
      </w:r>
    </w:p>
  </w:endnote>
  <w:endnote w:type="continuationSeparator" w:id="0">
    <w:p w:rsidR="007A6281" w:rsidRDefault="007A6281"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7A6281" w:rsidRDefault="007A6281">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B04A89" w:rsidRPr="00B04A89">
          <w:rPr>
            <w:noProof/>
            <w:sz w:val="16"/>
            <w:szCs w:val="16"/>
            <w:rtl/>
            <w:lang w:val="he-IL"/>
          </w:rPr>
          <w:t>30</w:t>
        </w:r>
        <w:r w:rsidRPr="00F358DF">
          <w:rPr>
            <w:sz w:val="16"/>
            <w:szCs w:val="16"/>
          </w:rPr>
          <w:fldChar w:fldCharType="end"/>
        </w:r>
      </w:p>
    </w:sdtContent>
  </w:sdt>
  <w:p w:rsidR="007A6281" w:rsidRDefault="007A628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281" w:rsidRDefault="007A6281" w:rsidP="00631B65">
      <w:pPr>
        <w:spacing w:line="240" w:lineRule="auto"/>
      </w:pPr>
      <w:r>
        <w:separator/>
      </w:r>
    </w:p>
  </w:footnote>
  <w:footnote w:type="continuationSeparator" w:id="0">
    <w:p w:rsidR="007A6281" w:rsidRDefault="007A6281" w:rsidP="00631B65">
      <w:pPr>
        <w:spacing w:line="240" w:lineRule="auto"/>
      </w:pPr>
      <w:r>
        <w:continuationSeparator/>
      </w:r>
    </w:p>
  </w:footnote>
  <w:footnote w:id="1">
    <w:p w:rsidR="007A6281" w:rsidRPr="002C1278" w:rsidRDefault="007A6281"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7A6281" w:rsidRPr="006601D1" w:rsidRDefault="007A6281"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7A6281" w:rsidRDefault="007A6281"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7A6281" w:rsidRPr="00AF52AC" w:rsidRDefault="007A6281"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7A6281" w:rsidRPr="00202415" w:rsidRDefault="007A6281"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7A6281" w:rsidRPr="00DA606D" w:rsidRDefault="007A6281"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7A6281" w:rsidRPr="00A47AAF" w:rsidRDefault="007A6281"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w:t>
      </w:r>
      <w:proofErr w:type="spellStart"/>
      <w:r w:rsidRPr="00A47AAF">
        <w:rPr>
          <w:rFonts w:ascii="David" w:hAnsi="David" w:cs="David" w:hint="cs"/>
          <w:sz w:val="20"/>
          <w:szCs w:val="20"/>
          <w:rtl/>
        </w:rPr>
        <w:t>השניה</w:t>
      </w:r>
      <w:proofErr w:type="spellEnd"/>
      <w:r w:rsidRPr="00A47AAF">
        <w:rPr>
          <w:rFonts w:ascii="David" w:hAnsi="David" w:cs="David" w:hint="cs"/>
          <w:sz w:val="20"/>
          <w:szCs w:val="20"/>
          <w:rtl/>
        </w:rPr>
        <w:t xml:space="preserve">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7A6281" w:rsidRDefault="007A6281">
      <w:pPr>
        <w:pStyle w:val="a3"/>
        <w:rPr>
          <w:rtl/>
        </w:rPr>
      </w:pPr>
      <w:r>
        <w:rPr>
          <w:rFonts w:hint="cs"/>
          <w:rtl/>
        </w:rPr>
        <w:t xml:space="preserve"> </w:t>
      </w:r>
    </w:p>
  </w:footnote>
  <w:footnote w:id="8">
    <w:p w:rsidR="007A6281" w:rsidRPr="004D6716" w:rsidRDefault="007A6281"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 xml:space="preserve">למשל: הסמכות של היועץ להכריע הם מעשה מסוים הוא בגדר שיקול דעת משפטי (סעיף 15(א)(6) המוצע), או הסמכות של היועץ להצדיק את טענתו של </w:t>
      </w:r>
      <w:proofErr w:type="spellStart"/>
      <w:r w:rsidRPr="004D6716">
        <w:rPr>
          <w:rFonts w:ascii="David" w:eastAsia="Arial Unicode MS" w:hAnsi="David" w:cs="David" w:hint="cs"/>
          <w:snapToGrid w:val="0"/>
          <w:rtl/>
          <w:lang w:eastAsia="ja-JP"/>
        </w:rPr>
        <w:t>נילון</w:t>
      </w:r>
      <w:proofErr w:type="spellEnd"/>
      <w:r w:rsidRPr="004D6716">
        <w:rPr>
          <w:rFonts w:ascii="David" w:eastAsia="Arial Unicode MS" w:hAnsi="David" w:cs="David" w:hint="cs"/>
          <w:snapToGrid w:val="0"/>
          <w:rtl/>
          <w:lang w:eastAsia="ja-JP"/>
        </w:rPr>
        <w:t xml:space="preserve"> כי יכולתו להתגונן נפגעת באופן משמעותי בשל כך שמידע שנדרש לצורך הגנתו הוא מידע שגילויו אסור לפי דין (סעיף 17(ג) המוצע).</w:t>
      </w:r>
    </w:p>
  </w:footnote>
  <w:footnote w:id="9">
    <w:p w:rsidR="007A6281" w:rsidRDefault="007A6281"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230A"/>
    <w:rsid w:val="000826E8"/>
    <w:rsid w:val="000832CF"/>
    <w:rsid w:val="00083322"/>
    <w:rsid w:val="00085D7F"/>
    <w:rsid w:val="000873D5"/>
    <w:rsid w:val="00090DB0"/>
    <w:rsid w:val="00091498"/>
    <w:rsid w:val="00092DBC"/>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264C"/>
    <w:rsid w:val="00AE39C3"/>
    <w:rsid w:val="00AE5088"/>
    <w:rsid w:val="00AE567B"/>
    <w:rsid w:val="00AE571E"/>
    <w:rsid w:val="00AE5DAC"/>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969"/>
    <w:rsid w:val="00C40D2D"/>
    <w:rsid w:val="00C41961"/>
    <w:rsid w:val="00C42B71"/>
    <w:rsid w:val="00C43125"/>
    <w:rsid w:val="00C442E9"/>
    <w:rsid w:val="00C445C6"/>
    <w:rsid w:val="00C4468A"/>
    <w:rsid w:val="00C505DB"/>
    <w:rsid w:val="00C5082F"/>
    <w:rsid w:val="00C52723"/>
    <w:rsid w:val="00C52EC0"/>
    <w:rsid w:val="00C53256"/>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542"/>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9A814E-1D13-483A-9CE5-2C04FCB1E975}"/>
</file>

<file path=customXml/itemProps2.xml><?xml version="1.0" encoding="utf-8"?>
<ds:datastoreItem xmlns:ds="http://schemas.openxmlformats.org/officeDocument/2006/customXml" ds:itemID="{811AAF2F-39BD-4537-8D7C-717AF8C261B4}"/>
</file>

<file path=customXml/itemProps3.xml><?xml version="1.0" encoding="utf-8"?>
<ds:datastoreItem xmlns:ds="http://schemas.openxmlformats.org/officeDocument/2006/customXml" ds:itemID="{A6129072-6B34-42CE-8C8B-8B58AD7B44D5}"/>
</file>

<file path=customXml/itemProps4.xml><?xml version="1.0" encoding="utf-8"?>
<ds:datastoreItem xmlns:ds="http://schemas.openxmlformats.org/officeDocument/2006/customXml" ds:itemID="{B87CF23B-55EA-4894-9242-4ABEDC591BC3}"/>
</file>

<file path=docProps/app.xml><?xml version="1.0" encoding="utf-8"?>
<Properties xmlns="http://schemas.openxmlformats.org/officeDocument/2006/extended-properties" xmlns:vt="http://schemas.openxmlformats.org/officeDocument/2006/docPropsVTypes">
  <Template>Normal</Template>
  <TotalTime>122</TotalTime>
  <Pages>42</Pages>
  <Words>17563</Words>
  <Characters>87817</Characters>
  <Application>Microsoft Office Word</Application>
  <DocSecurity>0</DocSecurity>
  <Lines>731</Lines>
  <Paragraphs>210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37</cp:revision>
  <dcterms:created xsi:type="dcterms:W3CDTF">2016-06-07T09:54:00Z</dcterms:created>
  <dcterms:modified xsi:type="dcterms:W3CDTF">2016-06-21T08:38:00Z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2002996</vt:r8>
  </property>
</Properties>
</file>