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0E98" w:rsidRDefault="00FC0E98" w:rsidP="00213284">
      <w:pPr>
        <w:ind w:left="7371"/>
        <w:jc w:val="left"/>
        <w:rPr>
          <w:sz w:val="24"/>
          <w:rtl/>
        </w:rPr>
      </w:pPr>
      <w:bookmarkStart w:id="0" w:name="Date"/>
      <w:bookmarkEnd w:id="0"/>
      <w:r>
        <w:rPr>
          <w:rFonts w:hint="eastAsia"/>
          <w:sz w:val="24"/>
          <w:rtl/>
        </w:rPr>
        <w:t>כ</w:t>
      </w:r>
      <w:r>
        <w:rPr>
          <w:sz w:val="24"/>
          <w:rtl/>
        </w:rPr>
        <w:t>"</w:t>
      </w:r>
      <w:r>
        <w:rPr>
          <w:rFonts w:hint="eastAsia"/>
          <w:sz w:val="24"/>
          <w:rtl/>
        </w:rPr>
        <w:t>א</w:t>
      </w:r>
      <w:r>
        <w:rPr>
          <w:sz w:val="24"/>
          <w:rtl/>
        </w:rPr>
        <w:t xml:space="preserve"> </w:t>
      </w:r>
      <w:r>
        <w:rPr>
          <w:rFonts w:hint="eastAsia"/>
          <w:sz w:val="24"/>
          <w:rtl/>
        </w:rPr>
        <w:t>בסיון</w:t>
      </w:r>
      <w:r>
        <w:rPr>
          <w:sz w:val="24"/>
          <w:rtl/>
        </w:rPr>
        <w:t xml:space="preserve"> </w:t>
      </w:r>
      <w:proofErr w:type="spellStart"/>
      <w:r>
        <w:rPr>
          <w:rFonts w:hint="eastAsia"/>
          <w:sz w:val="24"/>
          <w:rtl/>
        </w:rPr>
        <w:t>התשע</w:t>
      </w:r>
      <w:r>
        <w:rPr>
          <w:sz w:val="24"/>
          <w:rtl/>
        </w:rPr>
        <w:t>"</w:t>
      </w:r>
      <w:r>
        <w:rPr>
          <w:rFonts w:hint="eastAsia"/>
          <w:sz w:val="24"/>
          <w:rtl/>
        </w:rPr>
        <w:t>ו</w:t>
      </w:r>
      <w:proofErr w:type="spellEnd"/>
      <w:r>
        <w:rPr>
          <w:sz w:val="24"/>
          <w:rtl/>
        </w:rPr>
        <w:br/>
        <w:t xml:space="preserve">27 </w:t>
      </w:r>
      <w:r>
        <w:rPr>
          <w:rFonts w:hint="eastAsia"/>
          <w:sz w:val="24"/>
          <w:rtl/>
        </w:rPr>
        <w:t>ביוני</w:t>
      </w:r>
      <w:r>
        <w:rPr>
          <w:sz w:val="24"/>
          <w:rtl/>
        </w:rPr>
        <w:t xml:space="preserve"> 2016</w:t>
      </w:r>
    </w:p>
    <w:p w:rsidR="00FC0E98" w:rsidRDefault="00FC0E98" w:rsidP="00213284">
      <w:pPr>
        <w:ind w:left="7371"/>
        <w:jc w:val="left"/>
        <w:rPr>
          <w:sz w:val="24"/>
          <w:rtl/>
        </w:rPr>
      </w:pPr>
      <w:bookmarkStart w:id="1" w:name="DocNum"/>
      <w:bookmarkEnd w:id="1"/>
      <w:r>
        <w:rPr>
          <w:rFonts w:hint="eastAsia"/>
          <w:sz w:val="24"/>
          <w:rtl/>
        </w:rPr>
        <w:t>שה</w:t>
      </w:r>
      <w:r>
        <w:rPr>
          <w:sz w:val="24"/>
          <w:rtl/>
        </w:rPr>
        <w:t>. 2016-13532</w:t>
      </w:r>
    </w:p>
    <w:p w:rsidR="00C3464B" w:rsidRDefault="00C3464B" w:rsidP="00213284">
      <w:pPr>
        <w:spacing w:line="360" w:lineRule="auto"/>
        <w:ind w:left="7371"/>
        <w:jc w:val="left"/>
        <w:rPr>
          <w:sz w:val="24"/>
          <w:rtl/>
        </w:rPr>
      </w:pPr>
    </w:p>
    <w:p w:rsidR="00FC0E98" w:rsidRDefault="00FC0E98" w:rsidP="00C3464B">
      <w:pPr>
        <w:tabs>
          <w:tab w:val="left" w:pos="3486"/>
          <w:tab w:val="left" w:pos="4353"/>
        </w:tabs>
        <w:spacing w:line="360" w:lineRule="auto"/>
        <w:jc w:val="left"/>
        <w:rPr>
          <w:sz w:val="24"/>
          <w:rtl/>
        </w:rPr>
      </w:pPr>
      <w:bookmarkStart w:id="2" w:name="MainToEl"/>
      <w:bookmarkEnd w:id="2"/>
    </w:p>
    <w:p w:rsidR="00C3464B" w:rsidRDefault="00C3464B" w:rsidP="00C3464B">
      <w:pPr>
        <w:tabs>
          <w:tab w:val="left" w:pos="3486"/>
          <w:tab w:val="left" w:pos="5896"/>
        </w:tabs>
        <w:spacing w:line="360" w:lineRule="auto"/>
        <w:jc w:val="left"/>
        <w:rPr>
          <w:sz w:val="24"/>
          <w:rtl/>
        </w:rPr>
      </w:pPr>
    </w:p>
    <w:p w:rsidR="00C3464B" w:rsidRDefault="00C3464B" w:rsidP="00C3464B">
      <w:pPr>
        <w:tabs>
          <w:tab w:val="left" w:pos="3486"/>
          <w:tab w:val="left" w:pos="5896"/>
        </w:tabs>
        <w:spacing w:line="360" w:lineRule="auto"/>
        <w:jc w:val="left"/>
        <w:rPr>
          <w:sz w:val="24"/>
          <w:rtl/>
        </w:rPr>
      </w:pPr>
    </w:p>
    <w:p w:rsidR="00C3464B" w:rsidRDefault="00C3464B" w:rsidP="00FC0E98">
      <w:pPr>
        <w:spacing w:line="360" w:lineRule="auto"/>
        <w:ind w:left="651" w:hanging="651"/>
        <w:jc w:val="left"/>
        <w:rPr>
          <w:b/>
          <w:bCs/>
          <w:sz w:val="24"/>
          <w:u w:val="single"/>
          <w:rtl/>
        </w:rPr>
      </w:pPr>
      <w:r>
        <w:rPr>
          <w:sz w:val="24"/>
          <w:rtl/>
        </w:rPr>
        <w:t>הנדון:</w:t>
      </w:r>
      <w:r w:rsidRPr="002960DC">
        <w:rPr>
          <w:b/>
          <w:bCs/>
          <w:sz w:val="24"/>
          <w:u w:val="single"/>
          <w:rtl/>
        </w:rPr>
        <w:tab/>
      </w:r>
      <w:bookmarkStart w:id="3" w:name="About"/>
      <w:bookmarkEnd w:id="3"/>
      <w:r w:rsidR="00E10338">
        <w:rPr>
          <w:rFonts w:hint="cs"/>
          <w:b/>
          <w:bCs/>
          <w:sz w:val="24"/>
          <w:u w:val="single"/>
          <w:rtl/>
        </w:rPr>
        <w:t xml:space="preserve">התייחסות </w:t>
      </w:r>
      <w:r w:rsidR="00EC1489">
        <w:rPr>
          <w:rFonts w:hint="eastAsia"/>
          <w:b/>
          <w:bCs/>
          <w:sz w:val="24"/>
          <w:u w:val="single"/>
          <w:rtl/>
        </w:rPr>
        <w:t>גורמי</w:t>
      </w:r>
      <w:r w:rsidR="00EC1489">
        <w:rPr>
          <w:b/>
          <w:bCs/>
          <w:sz w:val="24"/>
          <w:u w:val="single"/>
          <w:rtl/>
        </w:rPr>
        <w:t xml:space="preserve"> </w:t>
      </w:r>
      <w:r w:rsidR="00EC1489">
        <w:rPr>
          <w:rFonts w:hint="eastAsia"/>
          <w:b/>
          <w:bCs/>
          <w:sz w:val="24"/>
          <w:u w:val="single"/>
          <w:rtl/>
        </w:rPr>
        <w:t>פיקוח</w:t>
      </w:r>
      <w:r w:rsidR="00EC1489">
        <w:rPr>
          <w:b/>
          <w:bCs/>
          <w:sz w:val="24"/>
          <w:u w:val="single"/>
          <w:rtl/>
        </w:rPr>
        <w:t xml:space="preserve"> </w:t>
      </w:r>
      <w:r w:rsidR="00EC1489">
        <w:rPr>
          <w:rFonts w:hint="eastAsia"/>
          <w:b/>
          <w:bCs/>
          <w:sz w:val="24"/>
          <w:u w:val="single"/>
          <w:rtl/>
        </w:rPr>
        <w:t>בינלאומיים</w:t>
      </w:r>
      <w:r w:rsidR="00B06795">
        <w:rPr>
          <w:rFonts w:hint="cs"/>
          <w:b/>
          <w:bCs/>
          <w:sz w:val="24"/>
          <w:u w:val="single"/>
          <w:rtl/>
        </w:rPr>
        <w:t xml:space="preserve">  </w:t>
      </w:r>
      <w:r w:rsidR="00E10338">
        <w:rPr>
          <w:rFonts w:hint="cs"/>
          <w:b/>
          <w:bCs/>
          <w:sz w:val="24"/>
          <w:u w:val="single"/>
          <w:rtl/>
        </w:rPr>
        <w:t>לפעילות אגף שוק ההון והשוואה בינלאומית רלבנטית</w:t>
      </w:r>
    </w:p>
    <w:p w:rsidR="00F0514E" w:rsidRDefault="00F0514E" w:rsidP="007319C4">
      <w:pPr>
        <w:pStyle w:val="a7"/>
        <w:spacing w:after="200"/>
        <w:ind w:left="0"/>
        <w:rPr>
          <w:rFonts w:ascii="DaunPenh" w:eastAsia="Times New Roman" w:hAnsi="DaunPenh"/>
          <w:rtl/>
        </w:rPr>
      </w:pPr>
      <w:bookmarkStart w:id="4" w:name="reference"/>
      <w:bookmarkStart w:id="5" w:name="start"/>
      <w:bookmarkEnd w:id="4"/>
      <w:bookmarkEnd w:id="5"/>
      <w:r>
        <w:rPr>
          <w:rFonts w:ascii="DaunPenh" w:eastAsia="Times New Roman" w:hAnsi="DaunPenh" w:hint="cs"/>
          <w:rtl/>
        </w:rPr>
        <w:t xml:space="preserve">מסגרת האסדרה של האגף </w:t>
      </w:r>
      <w:r w:rsidRPr="003625EA">
        <w:rPr>
          <w:rFonts w:ascii="DaunPenh" w:eastAsia="Times New Roman" w:hAnsi="DaunPenh" w:hint="eastAsia"/>
          <w:rtl/>
        </w:rPr>
        <w:t>נבחנת</w:t>
      </w:r>
      <w:r w:rsidRPr="003625EA">
        <w:rPr>
          <w:rFonts w:ascii="DaunPenh" w:eastAsia="Times New Roman" w:hAnsi="DaunPenh"/>
          <w:rtl/>
        </w:rPr>
        <w:t xml:space="preserve"> </w:t>
      </w:r>
      <w:r w:rsidRPr="003625EA">
        <w:rPr>
          <w:rFonts w:ascii="DaunPenh" w:eastAsia="Times New Roman" w:hAnsi="DaunPenh" w:hint="eastAsia"/>
          <w:rtl/>
        </w:rPr>
        <w:t>באופן</w:t>
      </w:r>
      <w:r w:rsidRPr="003625EA">
        <w:rPr>
          <w:rFonts w:ascii="DaunPenh" w:eastAsia="Times New Roman" w:hAnsi="DaunPenh"/>
          <w:rtl/>
        </w:rPr>
        <w:t xml:space="preserve"> </w:t>
      </w:r>
      <w:r w:rsidRPr="003625EA">
        <w:rPr>
          <w:rFonts w:ascii="DaunPenh" w:eastAsia="Times New Roman" w:hAnsi="DaunPenh" w:hint="eastAsia"/>
          <w:rtl/>
        </w:rPr>
        <w:t>תדיר</w:t>
      </w:r>
      <w:r w:rsidRPr="003625EA">
        <w:rPr>
          <w:rFonts w:ascii="DaunPenh" w:eastAsia="Times New Roman" w:hAnsi="DaunPenh"/>
          <w:rtl/>
        </w:rPr>
        <w:t xml:space="preserve"> </w:t>
      </w:r>
      <w:r w:rsidRPr="003625EA">
        <w:rPr>
          <w:rFonts w:ascii="DaunPenh" w:eastAsia="Times New Roman" w:hAnsi="DaunPenh" w:hint="eastAsia"/>
          <w:rtl/>
        </w:rPr>
        <w:t>גם</w:t>
      </w:r>
      <w:r w:rsidRPr="003625EA">
        <w:rPr>
          <w:rFonts w:ascii="DaunPenh" w:eastAsia="Times New Roman" w:hAnsi="DaunPenh"/>
          <w:rtl/>
        </w:rPr>
        <w:t xml:space="preserve"> </w:t>
      </w:r>
      <w:r w:rsidRPr="003625EA">
        <w:rPr>
          <w:rFonts w:ascii="DaunPenh" w:eastAsia="Times New Roman" w:hAnsi="DaunPenh" w:hint="eastAsia"/>
          <w:rtl/>
        </w:rPr>
        <w:t>על</w:t>
      </w:r>
      <w:r w:rsidRPr="003625EA">
        <w:rPr>
          <w:rFonts w:ascii="DaunPenh" w:eastAsia="Times New Roman" w:hAnsi="DaunPenh"/>
          <w:rtl/>
        </w:rPr>
        <w:t xml:space="preserve"> </w:t>
      </w:r>
      <w:r w:rsidRPr="003625EA">
        <w:rPr>
          <w:rFonts w:ascii="DaunPenh" w:eastAsia="Times New Roman" w:hAnsi="DaunPenh" w:hint="eastAsia"/>
          <w:rtl/>
        </w:rPr>
        <w:t>ידי</w:t>
      </w:r>
      <w:r w:rsidRPr="003625EA">
        <w:rPr>
          <w:rFonts w:ascii="DaunPenh" w:eastAsia="Times New Roman" w:hAnsi="DaunPenh"/>
          <w:rtl/>
        </w:rPr>
        <w:t xml:space="preserve"> </w:t>
      </w:r>
      <w:r w:rsidRPr="003625EA">
        <w:rPr>
          <w:rFonts w:ascii="DaunPenh" w:eastAsia="Times New Roman" w:hAnsi="DaunPenh" w:hint="eastAsia"/>
          <w:rtl/>
        </w:rPr>
        <w:t>גורמי</w:t>
      </w:r>
      <w:r>
        <w:rPr>
          <w:rFonts w:ascii="DaunPenh" w:eastAsia="Times New Roman" w:hAnsi="DaunPenh" w:hint="cs"/>
          <w:rtl/>
        </w:rPr>
        <w:t xml:space="preserve"> אסדרה</w:t>
      </w:r>
      <w:r w:rsidRPr="003625EA">
        <w:rPr>
          <w:rFonts w:ascii="DaunPenh" w:eastAsia="Times New Roman" w:hAnsi="DaunPenh"/>
          <w:rtl/>
        </w:rPr>
        <w:t xml:space="preserve"> </w:t>
      </w:r>
      <w:r w:rsidRPr="003625EA">
        <w:rPr>
          <w:rFonts w:ascii="DaunPenh" w:eastAsia="Times New Roman" w:hAnsi="DaunPenh" w:hint="eastAsia"/>
          <w:rtl/>
        </w:rPr>
        <w:t>בינלאומיים</w:t>
      </w:r>
      <w:r w:rsidRPr="003625EA">
        <w:rPr>
          <w:rFonts w:ascii="DaunPenh" w:eastAsia="Times New Roman" w:hAnsi="DaunPenh"/>
          <w:rtl/>
        </w:rPr>
        <w:t xml:space="preserve">, </w:t>
      </w:r>
      <w:r>
        <w:rPr>
          <w:rFonts w:ascii="DaunPenh" w:eastAsia="Times New Roman" w:hAnsi="DaunPenh" w:hint="cs"/>
          <w:rtl/>
        </w:rPr>
        <w:t>בכללם</w:t>
      </w:r>
      <w:r w:rsidRPr="003625EA">
        <w:rPr>
          <w:rFonts w:ascii="DaunPenh" w:eastAsia="Times New Roman" w:hAnsi="DaunPenh"/>
          <w:rtl/>
        </w:rPr>
        <w:t xml:space="preserve"> </w:t>
      </w:r>
      <w:r>
        <w:rPr>
          <w:rFonts w:ascii="DaunPenh" w:eastAsia="Times New Roman" w:hAnsi="DaunPenh" w:hint="cs"/>
          <w:rtl/>
        </w:rPr>
        <w:t xml:space="preserve">הארגון לשיתוף פעולה ולפיתוח כלכלי </w:t>
      </w:r>
      <w:r w:rsidRPr="003625EA">
        <w:rPr>
          <w:rFonts w:ascii="DaunPenh" w:eastAsia="Times New Roman" w:hAnsi="DaunPenh"/>
          <w:rtl/>
        </w:rPr>
        <w:t xml:space="preserve"> </w:t>
      </w:r>
      <w:r>
        <w:rPr>
          <w:rFonts w:ascii="DaunPenh" w:eastAsia="Times New Roman" w:hAnsi="DaunPenh" w:hint="cs"/>
          <w:rtl/>
        </w:rPr>
        <w:t>(</w:t>
      </w:r>
      <w:r>
        <w:rPr>
          <w:rFonts w:asciiTheme="minorBidi" w:eastAsia="Times New Roman" w:hAnsiTheme="minorBidi" w:cstheme="minorBidi"/>
        </w:rPr>
        <w:t>(</w:t>
      </w:r>
      <w:r w:rsidRPr="002F5047">
        <w:rPr>
          <w:rFonts w:asciiTheme="minorBidi" w:eastAsia="Times New Roman" w:hAnsiTheme="minorBidi" w:cstheme="minorBidi"/>
        </w:rPr>
        <w:t>OECD</w:t>
      </w:r>
      <w:r w:rsidRPr="003625EA">
        <w:rPr>
          <w:rFonts w:ascii="DaunPenh" w:eastAsia="Times New Roman" w:hAnsi="DaunPenh"/>
          <w:rtl/>
        </w:rPr>
        <w:t xml:space="preserve">, </w:t>
      </w:r>
      <w:r>
        <w:rPr>
          <w:rFonts w:ascii="DaunPenh" w:eastAsia="Times New Roman" w:hAnsi="DaunPenh" w:hint="cs"/>
          <w:rtl/>
        </w:rPr>
        <w:t>ארגון המפקחים הבינלאומי על הביטוח (</w:t>
      </w:r>
      <w:r>
        <w:rPr>
          <w:rFonts w:asciiTheme="minorBidi" w:eastAsia="Times New Roman" w:hAnsiTheme="minorBidi" w:cstheme="minorBidi"/>
        </w:rPr>
        <w:t>,(</w:t>
      </w:r>
      <w:r w:rsidRPr="002F5047">
        <w:rPr>
          <w:rFonts w:asciiTheme="minorBidi" w:eastAsia="Times New Roman" w:hAnsiTheme="minorBidi" w:cstheme="minorBidi"/>
        </w:rPr>
        <w:t>IAIS</w:t>
      </w:r>
      <w:r>
        <w:rPr>
          <w:rFonts w:ascii="DaunPenh" w:eastAsia="Times New Roman" w:hAnsi="DaunPenh" w:hint="cs"/>
          <w:rtl/>
        </w:rPr>
        <w:t xml:space="preserve"> בהם האגף חבר ומחויב לעקרונותיהם, </w:t>
      </w:r>
      <w:r w:rsidRPr="003625EA">
        <w:rPr>
          <w:rFonts w:ascii="DaunPenh" w:eastAsia="Times New Roman" w:hAnsi="DaunPenh" w:hint="eastAsia"/>
          <w:rtl/>
        </w:rPr>
        <w:t>קרן</w:t>
      </w:r>
      <w:r w:rsidRPr="003625EA">
        <w:rPr>
          <w:rFonts w:ascii="DaunPenh" w:eastAsia="Times New Roman" w:hAnsi="DaunPenh"/>
          <w:rtl/>
        </w:rPr>
        <w:t xml:space="preserve"> </w:t>
      </w:r>
      <w:r w:rsidRPr="003625EA">
        <w:rPr>
          <w:rFonts w:ascii="DaunPenh" w:eastAsia="Times New Roman" w:hAnsi="DaunPenh" w:hint="eastAsia"/>
          <w:rtl/>
        </w:rPr>
        <w:t>המטבע</w:t>
      </w:r>
      <w:r w:rsidRPr="003625EA">
        <w:rPr>
          <w:rFonts w:ascii="DaunPenh" w:eastAsia="Times New Roman" w:hAnsi="DaunPenh"/>
          <w:rtl/>
        </w:rPr>
        <w:t xml:space="preserve"> </w:t>
      </w:r>
      <w:r>
        <w:rPr>
          <w:rFonts w:ascii="DaunPenh" w:eastAsia="Times New Roman" w:hAnsi="DaunPenh" w:hint="cs"/>
          <w:rtl/>
        </w:rPr>
        <w:t xml:space="preserve">העולמית </w:t>
      </w:r>
      <w:r w:rsidRPr="002F5047">
        <w:rPr>
          <w:rFonts w:asciiTheme="minorBidi" w:eastAsia="Times New Roman" w:hAnsiTheme="minorBidi" w:cstheme="minorBidi"/>
          <w:rtl/>
        </w:rPr>
        <w:t>(</w:t>
      </w:r>
      <w:r w:rsidRPr="002F5047">
        <w:rPr>
          <w:rFonts w:asciiTheme="minorBidi" w:eastAsia="Times New Roman" w:hAnsiTheme="minorBidi" w:cstheme="minorBidi"/>
        </w:rPr>
        <w:t>IMF</w:t>
      </w:r>
      <w:r w:rsidR="007319C4">
        <w:rPr>
          <w:rFonts w:asciiTheme="minorBidi" w:eastAsia="Times New Roman" w:hAnsiTheme="minorBidi" w:cstheme="minorBidi" w:hint="cs"/>
          <w:rtl/>
        </w:rPr>
        <w:t>)</w:t>
      </w:r>
      <w:r>
        <w:rPr>
          <w:rFonts w:asciiTheme="minorBidi" w:eastAsia="Times New Roman" w:hAnsiTheme="minorBidi" w:cstheme="minorBidi" w:hint="cs"/>
          <w:rtl/>
        </w:rPr>
        <w:t xml:space="preserve"> </w:t>
      </w:r>
      <w:r>
        <w:rPr>
          <w:rFonts w:ascii="DaunPenh" w:eastAsia="Times New Roman" w:hAnsi="DaunPenh" w:hint="cs"/>
          <w:rtl/>
        </w:rPr>
        <w:t xml:space="preserve">ועוד. ארגונים אלו בוחנים את הלימות האסדרה בישראל לסטנדרטים הבינלאומיים, בין היתר, </w:t>
      </w:r>
      <w:r w:rsidRPr="002F5047">
        <w:rPr>
          <w:rFonts w:ascii="DaunPenh" w:eastAsia="Times New Roman" w:hAnsi="DaunPenh" w:hint="eastAsia"/>
          <w:rtl/>
        </w:rPr>
        <w:t>כדי</w:t>
      </w:r>
      <w:r w:rsidRPr="002F5047">
        <w:rPr>
          <w:rFonts w:ascii="DaunPenh" w:eastAsia="Times New Roman" w:hAnsi="DaunPenh"/>
          <w:rtl/>
        </w:rPr>
        <w:t xml:space="preserve"> </w:t>
      </w:r>
      <w:r w:rsidRPr="002F5047">
        <w:rPr>
          <w:rFonts w:ascii="DaunPenh" w:eastAsia="Times New Roman" w:hAnsi="DaunPenh" w:hint="eastAsia"/>
          <w:rtl/>
        </w:rPr>
        <w:t>לוודא</w:t>
      </w:r>
      <w:r w:rsidRPr="002F5047">
        <w:rPr>
          <w:rFonts w:ascii="DaunPenh" w:eastAsia="Times New Roman" w:hAnsi="DaunPenh"/>
          <w:rtl/>
        </w:rPr>
        <w:t xml:space="preserve"> </w:t>
      </w:r>
      <w:r w:rsidRPr="002F5047">
        <w:rPr>
          <w:rFonts w:ascii="DaunPenh" w:eastAsia="Times New Roman" w:hAnsi="DaunPenh" w:hint="eastAsia"/>
          <w:rtl/>
        </w:rPr>
        <w:t>שישראל</w:t>
      </w:r>
      <w:r w:rsidRPr="002F5047">
        <w:rPr>
          <w:rFonts w:ascii="DaunPenh" w:eastAsia="Times New Roman" w:hAnsi="DaunPenh"/>
          <w:rtl/>
        </w:rPr>
        <w:t xml:space="preserve"> </w:t>
      </w:r>
      <w:r>
        <w:rPr>
          <w:rFonts w:ascii="DaunPenh" w:eastAsia="Times New Roman" w:hAnsi="DaunPenh" w:hint="cs"/>
          <w:rtl/>
        </w:rPr>
        <w:t xml:space="preserve">ראויה </w:t>
      </w:r>
      <w:r w:rsidRPr="002F5047">
        <w:rPr>
          <w:rFonts w:ascii="DaunPenh" w:eastAsia="Times New Roman" w:hAnsi="DaunPenh" w:hint="eastAsia"/>
          <w:rtl/>
        </w:rPr>
        <w:t>להשתלב</w:t>
      </w:r>
      <w:r w:rsidRPr="002F5047">
        <w:rPr>
          <w:rFonts w:ascii="DaunPenh" w:eastAsia="Times New Roman" w:hAnsi="DaunPenh"/>
          <w:rtl/>
        </w:rPr>
        <w:t xml:space="preserve"> </w:t>
      </w:r>
      <w:r w:rsidRPr="002F5047">
        <w:rPr>
          <w:rFonts w:ascii="DaunPenh" w:eastAsia="Times New Roman" w:hAnsi="DaunPenh" w:hint="eastAsia"/>
          <w:rtl/>
        </w:rPr>
        <w:t>ב</w:t>
      </w:r>
      <w:r>
        <w:rPr>
          <w:rFonts w:ascii="DaunPenh" w:eastAsia="Times New Roman" w:hAnsi="DaunPenh" w:hint="cs"/>
          <w:rtl/>
        </w:rPr>
        <w:t xml:space="preserve">גופים הכלכליים </w:t>
      </w:r>
      <w:r w:rsidRPr="002F5047">
        <w:rPr>
          <w:rFonts w:ascii="DaunPenh" w:eastAsia="Times New Roman" w:hAnsi="DaunPenh" w:hint="eastAsia"/>
          <w:rtl/>
        </w:rPr>
        <w:t>ה</w:t>
      </w:r>
      <w:r>
        <w:rPr>
          <w:rFonts w:ascii="DaunPenh" w:eastAsia="Times New Roman" w:hAnsi="DaunPenh" w:hint="cs"/>
          <w:rtl/>
        </w:rPr>
        <w:t>עולמיים השונים,</w:t>
      </w:r>
      <w:r w:rsidRPr="002F5047">
        <w:rPr>
          <w:rFonts w:ascii="DaunPenh" w:eastAsia="Times New Roman" w:hAnsi="DaunPenh"/>
          <w:rtl/>
        </w:rPr>
        <w:t xml:space="preserve"> </w:t>
      </w:r>
      <w:r w:rsidRPr="002F5047">
        <w:rPr>
          <w:rFonts w:ascii="DaunPenh" w:eastAsia="Times New Roman" w:hAnsi="DaunPenh" w:hint="eastAsia"/>
          <w:rtl/>
        </w:rPr>
        <w:t>מבלי</w:t>
      </w:r>
      <w:r w:rsidRPr="002F5047">
        <w:rPr>
          <w:rFonts w:ascii="DaunPenh" w:eastAsia="Times New Roman" w:hAnsi="DaunPenh"/>
          <w:rtl/>
        </w:rPr>
        <w:t xml:space="preserve"> </w:t>
      </w:r>
      <w:r w:rsidRPr="002F5047">
        <w:rPr>
          <w:rFonts w:ascii="DaunPenh" w:eastAsia="Times New Roman" w:hAnsi="DaunPenh" w:hint="eastAsia"/>
          <w:rtl/>
        </w:rPr>
        <w:t>לסכן</w:t>
      </w:r>
      <w:r w:rsidRPr="002F5047">
        <w:rPr>
          <w:rFonts w:ascii="DaunPenh" w:eastAsia="Times New Roman" w:hAnsi="DaunPenh"/>
          <w:rtl/>
        </w:rPr>
        <w:t xml:space="preserve"> </w:t>
      </w:r>
      <w:r w:rsidRPr="002F5047">
        <w:rPr>
          <w:rFonts w:ascii="DaunPenh" w:eastAsia="Times New Roman" w:hAnsi="DaunPenh" w:hint="eastAsia"/>
          <w:rtl/>
        </w:rPr>
        <w:t>גופים</w:t>
      </w:r>
      <w:r>
        <w:rPr>
          <w:rFonts w:ascii="DaunPenh" w:eastAsia="Times New Roman" w:hAnsi="DaunPenh" w:hint="cs"/>
          <w:rtl/>
        </w:rPr>
        <w:t xml:space="preserve"> פיננסיים</w:t>
      </w:r>
      <w:r w:rsidRPr="002F5047">
        <w:rPr>
          <w:rFonts w:ascii="DaunPenh" w:eastAsia="Times New Roman" w:hAnsi="DaunPenh"/>
          <w:rtl/>
        </w:rPr>
        <w:t xml:space="preserve"> </w:t>
      </w:r>
      <w:r w:rsidRPr="002F5047">
        <w:rPr>
          <w:rFonts w:ascii="DaunPenh" w:eastAsia="Times New Roman" w:hAnsi="DaunPenh" w:hint="eastAsia"/>
          <w:rtl/>
        </w:rPr>
        <w:t>הפועלים</w:t>
      </w:r>
      <w:r w:rsidRPr="002F5047">
        <w:rPr>
          <w:rFonts w:ascii="DaunPenh" w:eastAsia="Times New Roman" w:hAnsi="DaunPenh"/>
          <w:rtl/>
        </w:rPr>
        <w:t xml:space="preserve"> </w:t>
      </w:r>
      <w:r w:rsidRPr="002F5047">
        <w:rPr>
          <w:rFonts w:ascii="DaunPenh" w:eastAsia="Times New Roman" w:hAnsi="DaunPenh" w:hint="eastAsia"/>
          <w:rtl/>
        </w:rPr>
        <w:t>בכלכלות</w:t>
      </w:r>
      <w:r w:rsidRPr="002F5047">
        <w:rPr>
          <w:rFonts w:ascii="DaunPenh" w:eastAsia="Times New Roman" w:hAnsi="DaunPenh"/>
          <w:rtl/>
        </w:rPr>
        <w:t xml:space="preserve"> </w:t>
      </w:r>
      <w:r w:rsidRPr="002F5047">
        <w:rPr>
          <w:rFonts w:ascii="DaunPenh" w:eastAsia="Times New Roman" w:hAnsi="DaunPenh" w:hint="eastAsia"/>
          <w:rtl/>
        </w:rPr>
        <w:t>אחרות</w:t>
      </w:r>
      <w:r>
        <w:rPr>
          <w:rFonts w:ascii="DaunPenh" w:eastAsia="Times New Roman" w:hAnsi="DaunPenh" w:hint="cs"/>
          <w:rtl/>
        </w:rPr>
        <w:t xml:space="preserve"> כמו למשל מבטחי משנה</w:t>
      </w:r>
      <w:r w:rsidRPr="002F5047">
        <w:rPr>
          <w:rFonts w:ascii="DaunPenh" w:eastAsia="Times New Roman" w:hAnsi="DaunPenh"/>
          <w:rtl/>
        </w:rPr>
        <w:t xml:space="preserve">. </w:t>
      </w:r>
      <w:r w:rsidRPr="002F5047">
        <w:rPr>
          <w:rFonts w:ascii="DaunPenh" w:eastAsia="Times New Roman" w:hAnsi="DaunPenh" w:hint="eastAsia"/>
          <w:rtl/>
        </w:rPr>
        <w:t>לפיכך</w:t>
      </w:r>
      <w:r w:rsidRPr="002F5047">
        <w:rPr>
          <w:rFonts w:ascii="DaunPenh" w:eastAsia="Times New Roman" w:hAnsi="DaunPenh"/>
          <w:rtl/>
        </w:rPr>
        <w:t xml:space="preserve">, </w:t>
      </w:r>
      <w:r>
        <w:rPr>
          <w:rFonts w:ascii="DaunPenh" w:eastAsia="Times New Roman" w:hAnsi="DaunPenh" w:hint="cs"/>
          <w:rtl/>
        </w:rPr>
        <w:t xml:space="preserve">פעילות </w:t>
      </w:r>
      <w:r w:rsidRPr="002F5047">
        <w:rPr>
          <w:rFonts w:ascii="DaunPenh" w:eastAsia="Times New Roman" w:hAnsi="DaunPenh" w:hint="eastAsia"/>
          <w:rtl/>
        </w:rPr>
        <w:t>אסדרה</w:t>
      </w:r>
      <w:r w:rsidRPr="002F5047">
        <w:rPr>
          <w:rFonts w:ascii="DaunPenh" w:eastAsia="Times New Roman" w:hAnsi="DaunPenh"/>
          <w:rtl/>
        </w:rPr>
        <w:t xml:space="preserve"> </w:t>
      </w:r>
      <w:r w:rsidRPr="002F5047">
        <w:rPr>
          <w:rFonts w:ascii="DaunPenh" w:eastAsia="Times New Roman" w:hAnsi="DaunPenh" w:hint="eastAsia"/>
          <w:rtl/>
        </w:rPr>
        <w:t>של</w:t>
      </w:r>
      <w:r w:rsidRPr="002F5047">
        <w:rPr>
          <w:rFonts w:ascii="DaunPenh" w:eastAsia="Times New Roman" w:hAnsi="DaunPenh"/>
          <w:rtl/>
        </w:rPr>
        <w:t xml:space="preserve"> </w:t>
      </w:r>
      <w:r w:rsidRPr="002F5047">
        <w:rPr>
          <w:rFonts w:ascii="DaunPenh" w:eastAsia="Times New Roman" w:hAnsi="DaunPenh" w:hint="eastAsia"/>
          <w:rtl/>
        </w:rPr>
        <w:t>האגף</w:t>
      </w:r>
      <w:r w:rsidRPr="002F5047">
        <w:rPr>
          <w:rFonts w:ascii="DaunPenh" w:eastAsia="Times New Roman" w:hAnsi="DaunPenh"/>
          <w:rtl/>
        </w:rPr>
        <w:t xml:space="preserve"> </w:t>
      </w:r>
      <w:r w:rsidRPr="002F5047">
        <w:rPr>
          <w:rFonts w:ascii="DaunPenh" w:eastAsia="Times New Roman" w:hAnsi="DaunPenh" w:hint="eastAsia"/>
          <w:rtl/>
        </w:rPr>
        <w:t>שאיננה</w:t>
      </w:r>
      <w:r w:rsidRPr="002F5047">
        <w:rPr>
          <w:rFonts w:ascii="DaunPenh" w:eastAsia="Times New Roman" w:hAnsi="DaunPenh"/>
          <w:rtl/>
        </w:rPr>
        <w:t xml:space="preserve"> </w:t>
      </w:r>
      <w:r w:rsidRPr="002F5047">
        <w:rPr>
          <w:rFonts w:ascii="DaunPenh" w:eastAsia="Times New Roman" w:hAnsi="DaunPenh" w:hint="eastAsia"/>
          <w:rtl/>
        </w:rPr>
        <w:t>בהתאם</w:t>
      </w:r>
      <w:r w:rsidRPr="002F5047">
        <w:rPr>
          <w:rFonts w:ascii="DaunPenh" w:eastAsia="Times New Roman" w:hAnsi="DaunPenh"/>
          <w:rtl/>
        </w:rPr>
        <w:t xml:space="preserve"> </w:t>
      </w:r>
      <w:r w:rsidRPr="002F5047">
        <w:rPr>
          <w:rFonts w:ascii="DaunPenh" w:eastAsia="Times New Roman" w:hAnsi="DaunPenh" w:hint="eastAsia"/>
          <w:rtl/>
        </w:rPr>
        <w:t>לסטנדרטים</w:t>
      </w:r>
      <w:r w:rsidRPr="002F5047">
        <w:rPr>
          <w:rFonts w:ascii="DaunPenh" w:eastAsia="Times New Roman" w:hAnsi="DaunPenh"/>
          <w:rtl/>
        </w:rPr>
        <w:t xml:space="preserve"> </w:t>
      </w:r>
      <w:r w:rsidRPr="002F5047">
        <w:rPr>
          <w:rFonts w:ascii="DaunPenh" w:eastAsia="Times New Roman" w:hAnsi="DaunPenh" w:hint="eastAsia"/>
          <w:rtl/>
        </w:rPr>
        <w:t>הבינלאומיים</w:t>
      </w:r>
      <w:r w:rsidRPr="002F5047">
        <w:rPr>
          <w:rFonts w:ascii="DaunPenh" w:eastAsia="Times New Roman" w:hAnsi="DaunPenh"/>
          <w:rtl/>
        </w:rPr>
        <w:t xml:space="preserve"> </w:t>
      </w:r>
      <w:r w:rsidRPr="002F5047">
        <w:rPr>
          <w:rFonts w:ascii="DaunPenh" w:eastAsia="Times New Roman" w:hAnsi="DaunPenh" w:hint="eastAsia"/>
          <w:rtl/>
        </w:rPr>
        <w:t>טומנת</w:t>
      </w:r>
      <w:r w:rsidRPr="002F5047">
        <w:rPr>
          <w:rFonts w:ascii="DaunPenh" w:eastAsia="Times New Roman" w:hAnsi="DaunPenh"/>
          <w:rtl/>
        </w:rPr>
        <w:t xml:space="preserve"> </w:t>
      </w:r>
      <w:r w:rsidRPr="002F5047">
        <w:rPr>
          <w:rFonts w:ascii="DaunPenh" w:eastAsia="Times New Roman" w:hAnsi="DaunPenh" w:hint="eastAsia"/>
          <w:rtl/>
        </w:rPr>
        <w:t>בחובה</w:t>
      </w:r>
      <w:r w:rsidRPr="002F5047">
        <w:rPr>
          <w:rFonts w:ascii="DaunPenh" w:eastAsia="Times New Roman" w:hAnsi="DaunPenh"/>
          <w:rtl/>
        </w:rPr>
        <w:t xml:space="preserve"> </w:t>
      </w:r>
      <w:r w:rsidRPr="002F5047">
        <w:rPr>
          <w:rFonts w:ascii="DaunPenh" w:eastAsia="Times New Roman" w:hAnsi="DaunPenh" w:hint="eastAsia"/>
          <w:rtl/>
        </w:rPr>
        <w:t>סכנה</w:t>
      </w:r>
      <w:r w:rsidRPr="002F5047">
        <w:rPr>
          <w:rFonts w:ascii="DaunPenh" w:eastAsia="Times New Roman" w:hAnsi="DaunPenh"/>
          <w:rtl/>
        </w:rPr>
        <w:t xml:space="preserve"> </w:t>
      </w:r>
      <w:r w:rsidRPr="002F5047">
        <w:rPr>
          <w:rFonts w:ascii="DaunPenh" w:eastAsia="Times New Roman" w:hAnsi="DaunPenh" w:hint="eastAsia"/>
          <w:rtl/>
        </w:rPr>
        <w:t>להשתלבות</w:t>
      </w:r>
      <w:r w:rsidRPr="002F5047">
        <w:rPr>
          <w:rFonts w:ascii="DaunPenh" w:eastAsia="Times New Roman" w:hAnsi="DaunPenh"/>
          <w:rtl/>
        </w:rPr>
        <w:t xml:space="preserve"> </w:t>
      </w:r>
      <w:r>
        <w:rPr>
          <w:rFonts w:ascii="DaunPenh" w:eastAsia="Times New Roman" w:hAnsi="DaunPenh" w:hint="cs"/>
          <w:rtl/>
        </w:rPr>
        <w:t xml:space="preserve">של </w:t>
      </w:r>
      <w:r w:rsidRPr="002F5047">
        <w:rPr>
          <w:rFonts w:ascii="DaunPenh" w:eastAsia="Times New Roman" w:hAnsi="DaunPenh" w:hint="eastAsia"/>
          <w:rtl/>
        </w:rPr>
        <w:t>ישראל</w:t>
      </w:r>
      <w:r w:rsidRPr="002F5047">
        <w:rPr>
          <w:rFonts w:ascii="DaunPenh" w:eastAsia="Times New Roman" w:hAnsi="DaunPenh"/>
          <w:rtl/>
        </w:rPr>
        <w:t xml:space="preserve"> </w:t>
      </w:r>
      <w:r w:rsidRPr="002F5047">
        <w:rPr>
          <w:rFonts w:ascii="DaunPenh" w:eastAsia="Times New Roman" w:hAnsi="DaunPenh" w:hint="eastAsia"/>
          <w:rtl/>
        </w:rPr>
        <w:t>בכלכלה</w:t>
      </w:r>
      <w:r w:rsidRPr="002F5047">
        <w:rPr>
          <w:rFonts w:ascii="DaunPenh" w:eastAsia="Times New Roman" w:hAnsi="DaunPenh"/>
          <w:rtl/>
        </w:rPr>
        <w:t xml:space="preserve"> </w:t>
      </w:r>
      <w:r w:rsidRPr="002F5047">
        <w:rPr>
          <w:rFonts w:ascii="DaunPenh" w:eastAsia="Times New Roman" w:hAnsi="DaunPenh" w:hint="eastAsia"/>
          <w:rtl/>
        </w:rPr>
        <w:t>ובמסחר</w:t>
      </w:r>
      <w:r w:rsidRPr="002F5047">
        <w:rPr>
          <w:rFonts w:ascii="DaunPenh" w:eastAsia="Times New Roman" w:hAnsi="DaunPenh"/>
          <w:rtl/>
        </w:rPr>
        <w:t xml:space="preserve"> </w:t>
      </w:r>
      <w:r w:rsidRPr="002F5047">
        <w:rPr>
          <w:rFonts w:ascii="DaunPenh" w:eastAsia="Times New Roman" w:hAnsi="DaunPenh" w:hint="eastAsia"/>
          <w:rtl/>
        </w:rPr>
        <w:t>הגלובליים</w:t>
      </w:r>
      <w:r w:rsidRPr="002F5047">
        <w:rPr>
          <w:rFonts w:ascii="DaunPenh" w:eastAsia="Times New Roman" w:hAnsi="DaunPenh"/>
          <w:rtl/>
        </w:rPr>
        <w:t xml:space="preserve"> </w:t>
      </w:r>
      <w:r w:rsidRPr="002F5047">
        <w:rPr>
          <w:rFonts w:ascii="DaunPenh" w:eastAsia="Times New Roman" w:hAnsi="DaunPenh" w:hint="eastAsia"/>
          <w:rtl/>
        </w:rPr>
        <w:t>על</w:t>
      </w:r>
      <w:r w:rsidRPr="002F5047">
        <w:rPr>
          <w:rFonts w:ascii="DaunPenh" w:eastAsia="Times New Roman" w:hAnsi="DaunPenh"/>
          <w:rtl/>
        </w:rPr>
        <w:t xml:space="preserve"> </w:t>
      </w:r>
      <w:r w:rsidRPr="002F5047">
        <w:rPr>
          <w:rFonts w:ascii="DaunPenh" w:eastAsia="Times New Roman" w:hAnsi="DaunPenh" w:hint="eastAsia"/>
          <w:rtl/>
        </w:rPr>
        <w:t>הנזק</w:t>
      </w:r>
      <w:r w:rsidRPr="002F5047">
        <w:rPr>
          <w:rFonts w:ascii="DaunPenh" w:eastAsia="Times New Roman" w:hAnsi="DaunPenh"/>
          <w:rtl/>
        </w:rPr>
        <w:t xml:space="preserve"> </w:t>
      </w:r>
      <w:r w:rsidRPr="002F5047">
        <w:rPr>
          <w:rFonts w:ascii="DaunPenh" w:eastAsia="Times New Roman" w:hAnsi="DaunPenh" w:hint="eastAsia"/>
          <w:rtl/>
        </w:rPr>
        <w:t>אשר</w:t>
      </w:r>
      <w:r w:rsidRPr="002F5047">
        <w:rPr>
          <w:rFonts w:ascii="DaunPenh" w:eastAsia="Times New Roman" w:hAnsi="DaunPenh"/>
          <w:rtl/>
        </w:rPr>
        <w:t xml:space="preserve"> </w:t>
      </w:r>
      <w:r w:rsidRPr="002F5047">
        <w:rPr>
          <w:rFonts w:ascii="DaunPenh" w:eastAsia="Times New Roman" w:hAnsi="DaunPenh" w:hint="eastAsia"/>
          <w:rtl/>
        </w:rPr>
        <w:t>עלול</w:t>
      </w:r>
      <w:r w:rsidRPr="002F5047">
        <w:rPr>
          <w:rFonts w:ascii="DaunPenh" w:eastAsia="Times New Roman" w:hAnsi="DaunPenh"/>
          <w:rtl/>
        </w:rPr>
        <w:t xml:space="preserve"> </w:t>
      </w:r>
      <w:r w:rsidRPr="002F5047">
        <w:rPr>
          <w:rFonts w:ascii="DaunPenh" w:eastAsia="Times New Roman" w:hAnsi="DaunPenh" w:hint="eastAsia"/>
          <w:rtl/>
        </w:rPr>
        <w:t>לה</w:t>
      </w:r>
      <w:r>
        <w:rPr>
          <w:rFonts w:ascii="DaunPenh" w:eastAsia="Times New Roman" w:hAnsi="DaunPenh" w:hint="cs"/>
          <w:rtl/>
        </w:rPr>
        <w:t>ת</w:t>
      </w:r>
      <w:r w:rsidRPr="002F5047">
        <w:rPr>
          <w:rFonts w:ascii="DaunPenh" w:eastAsia="Times New Roman" w:hAnsi="DaunPenh" w:hint="eastAsia"/>
          <w:rtl/>
        </w:rPr>
        <w:t>לוות</w:t>
      </w:r>
      <w:r w:rsidRPr="002F5047">
        <w:rPr>
          <w:rFonts w:ascii="DaunPenh" w:eastAsia="Times New Roman" w:hAnsi="DaunPenh"/>
          <w:rtl/>
        </w:rPr>
        <w:t xml:space="preserve"> </w:t>
      </w:r>
      <w:r w:rsidRPr="002F5047">
        <w:rPr>
          <w:rFonts w:ascii="DaunPenh" w:eastAsia="Times New Roman" w:hAnsi="DaunPenh" w:hint="eastAsia"/>
          <w:rtl/>
        </w:rPr>
        <w:t>לכך</w:t>
      </w:r>
      <w:r w:rsidRPr="002F5047">
        <w:rPr>
          <w:rFonts w:ascii="DaunPenh" w:eastAsia="Times New Roman" w:hAnsi="DaunPenh"/>
          <w:rtl/>
        </w:rPr>
        <w:t xml:space="preserve"> </w:t>
      </w:r>
      <w:r w:rsidRPr="002F5047">
        <w:rPr>
          <w:rFonts w:ascii="DaunPenh" w:eastAsia="Times New Roman" w:hAnsi="DaunPenh" w:hint="eastAsia"/>
          <w:rtl/>
        </w:rPr>
        <w:t>על</w:t>
      </w:r>
      <w:r w:rsidRPr="002F5047">
        <w:rPr>
          <w:rFonts w:ascii="DaunPenh" w:eastAsia="Times New Roman" w:hAnsi="DaunPenh"/>
          <w:rtl/>
        </w:rPr>
        <w:t xml:space="preserve"> </w:t>
      </w:r>
      <w:r w:rsidRPr="002F5047">
        <w:rPr>
          <w:rFonts w:ascii="DaunPenh" w:eastAsia="Times New Roman" w:hAnsi="DaunPenh" w:hint="eastAsia"/>
          <w:rtl/>
        </w:rPr>
        <w:t>כלכלת</w:t>
      </w:r>
      <w:r w:rsidRPr="002F5047">
        <w:rPr>
          <w:rFonts w:ascii="DaunPenh" w:eastAsia="Times New Roman" w:hAnsi="DaunPenh"/>
          <w:rtl/>
        </w:rPr>
        <w:t xml:space="preserve"> </w:t>
      </w:r>
      <w:r w:rsidRPr="002F5047">
        <w:rPr>
          <w:rFonts w:ascii="DaunPenh" w:eastAsia="Times New Roman" w:hAnsi="DaunPenh" w:hint="eastAsia"/>
          <w:rtl/>
        </w:rPr>
        <w:t>ישראל</w:t>
      </w:r>
      <w:r w:rsidRPr="002F5047">
        <w:rPr>
          <w:rFonts w:ascii="DaunPenh" w:eastAsia="Times New Roman" w:hAnsi="DaunPenh"/>
          <w:rtl/>
        </w:rPr>
        <w:t>.</w:t>
      </w:r>
      <w:r>
        <w:rPr>
          <w:rFonts w:ascii="DaunPenh" w:eastAsia="Times New Roman" w:hAnsi="DaunPenh"/>
          <w:rtl/>
        </w:rPr>
        <w:t xml:space="preserve"> </w:t>
      </w:r>
    </w:p>
    <w:p w:rsidR="00E10338" w:rsidRDefault="00E10338" w:rsidP="007319C4">
      <w:pPr>
        <w:pStyle w:val="a7"/>
        <w:spacing w:after="200"/>
        <w:ind w:left="0"/>
        <w:rPr>
          <w:rFonts w:ascii="DaunPenh" w:hAnsi="DaunPenh"/>
          <w:rtl/>
        </w:rPr>
      </w:pPr>
    </w:p>
    <w:p w:rsidR="00F0514E" w:rsidRDefault="00F0514E" w:rsidP="00FC0E98">
      <w:pPr>
        <w:pStyle w:val="a7"/>
        <w:spacing w:after="200"/>
        <w:ind w:left="0"/>
        <w:rPr>
          <w:rFonts w:ascii="DaunPenh" w:hAnsi="DaunPenh"/>
          <w:rtl/>
        </w:rPr>
      </w:pPr>
      <w:r>
        <w:rPr>
          <w:rFonts w:ascii="DaunPenh" w:hAnsi="DaunPenh" w:hint="cs"/>
          <w:rtl/>
        </w:rPr>
        <w:t xml:space="preserve">במסמך זה מובאות המלצות שניתנו על ידי ארגונים אלו במסגרת תהליכי הערכה לעניין עצמאות האגף ופיקוח על תאגידי אחזקה. כמו כן מובאים עקרונות היסוד של ארגון המפקחים הבינלאומי על הביטוח לעניינים אלו וחקיקה </w:t>
      </w:r>
      <w:r w:rsidR="007319C4">
        <w:rPr>
          <w:rFonts w:ascii="DaunPenh" w:hAnsi="DaunPenh" w:hint="cs"/>
          <w:rtl/>
        </w:rPr>
        <w:t xml:space="preserve">באנגליה. </w:t>
      </w:r>
    </w:p>
    <w:p w:rsidR="00E10338" w:rsidRDefault="00E10338" w:rsidP="007319C4">
      <w:pPr>
        <w:pStyle w:val="a7"/>
        <w:spacing w:after="200"/>
        <w:ind w:left="0"/>
        <w:rPr>
          <w:rFonts w:ascii="DaunPenh" w:hAnsi="DaunPenh"/>
          <w:rtl/>
        </w:rPr>
      </w:pPr>
    </w:p>
    <w:p w:rsidR="00C3464B" w:rsidRPr="00B06795" w:rsidRDefault="007319C4" w:rsidP="00B06795">
      <w:pPr>
        <w:pStyle w:val="a7"/>
        <w:numPr>
          <w:ilvl w:val="0"/>
          <w:numId w:val="8"/>
        </w:numPr>
        <w:spacing w:line="300" w:lineRule="auto"/>
        <w:rPr>
          <w:b/>
          <w:bCs/>
          <w:color w:val="0070C0"/>
          <w:u w:val="double"/>
        </w:rPr>
      </w:pPr>
      <w:r>
        <w:rPr>
          <w:rFonts w:hint="cs"/>
          <w:b/>
          <w:bCs/>
          <w:color w:val="0070C0"/>
          <w:u w:val="double"/>
          <w:rtl/>
        </w:rPr>
        <w:t xml:space="preserve">חלק 1 - </w:t>
      </w:r>
      <w:r w:rsidR="00EC1489" w:rsidRPr="00B06795">
        <w:rPr>
          <w:rFonts w:hint="cs"/>
          <w:b/>
          <w:bCs/>
          <w:color w:val="0070C0"/>
          <w:u w:val="double"/>
          <w:rtl/>
        </w:rPr>
        <w:t xml:space="preserve">עצמאות האגף </w:t>
      </w:r>
    </w:p>
    <w:p w:rsidR="00B06795" w:rsidRDefault="00EC1489" w:rsidP="007319C4">
      <w:pPr>
        <w:pStyle w:val="a7"/>
        <w:numPr>
          <w:ilvl w:val="1"/>
          <w:numId w:val="8"/>
        </w:numPr>
        <w:spacing w:line="300" w:lineRule="auto"/>
        <w:rPr>
          <w:b/>
          <w:bCs/>
        </w:rPr>
      </w:pPr>
      <w:r w:rsidRPr="00AF0647">
        <w:rPr>
          <w:rFonts w:hint="cs"/>
          <w:b/>
          <w:bCs/>
          <w:rtl/>
        </w:rPr>
        <w:t>המלצות</w:t>
      </w:r>
      <w:r w:rsidR="007319C4">
        <w:rPr>
          <w:rFonts w:hint="cs"/>
          <w:b/>
          <w:bCs/>
          <w:rtl/>
        </w:rPr>
        <w:t xml:space="preserve"> קרן המטבע העולמית</w:t>
      </w:r>
      <w:r w:rsidR="00F0514E">
        <w:rPr>
          <w:rFonts w:hint="cs"/>
          <w:b/>
          <w:bCs/>
          <w:rtl/>
        </w:rPr>
        <w:t xml:space="preserve"> </w:t>
      </w:r>
      <w:r w:rsidR="00F0514E">
        <w:rPr>
          <w:b/>
          <w:bCs/>
        </w:rPr>
        <w:t xml:space="preserve">FSA </w:t>
      </w:r>
      <w:r w:rsidR="007319C4">
        <w:rPr>
          <w:b/>
          <w:bCs/>
        </w:rPr>
        <w:t>(</w:t>
      </w:r>
      <w:r w:rsidR="00F0514E">
        <w:rPr>
          <w:b/>
          <w:bCs/>
        </w:rPr>
        <w:t>IMF</w:t>
      </w:r>
      <w:r w:rsidR="007319C4">
        <w:rPr>
          <w:b/>
          <w:bCs/>
        </w:rPr>
        <w:t>)</w:t>
      </w:r>
      <w:r w:rsidR="00F0514E">
        <w:rPr>
          <w:b/>
          <w:bCs/>
        </w:rPr>
        <w:t xml:space="preserve"> </w:t>
      </w:r>
      <w:r w:rsidRPr="00AF0647">
        <w:rPr>
          <w:rFonts w:hint="cs"/>
          <w:b/>
          <w:bCs/>
          <w:rtl/>
        </w:rPr>
        <w:t xml:space="preserve"> </w:t>
      </w:r>
      <w:r w:rsidR="007319C4">
        <w:rPr>
          <w:rFonts w:hint="cs"/>
          <w:b/>
          <w:bCs/>
          <w:rtl/>
        </w:rPr>
        <w:t xml:space="preserve">במסגרת תהליך הערכה משנת </w:t>
      </w:r>
      <w:r w:rsidR="007319C4" w:rsidRPr="00AF0647">
        <w:rPr>
          <w:rFonts w:hint="cs"/>
          <w:b/>
          <w:bCs/>
          <w:rtl/>
        </w:rPr>
        <w:t xml:space="preserve"> </w:t>
      </w:r>
      <w:r w:rsidRPr="00AF0647">
        <w:rPr>
          <w:rFonts w:hint="cs"/>
          <w:b/>
          <w:bCs/>
          <w:rtl/>
        </w:rPr>
        <w:t>(2007)</w:t>
      </w:r>
      <w:r w:rsidR="00077F0D" w:rsidRPr="00AF0647">
        <w:rPr>
          <w:rFonts w:hint="cs"/>
          <w:b/>
          <w:bCs/>
          <w:rtl/>
        </w:rPr>
        <w:t xml:space="preserve"> </w:t>
      </w:r>
      <w:r w:rsidR="00077F0D" w:rsidRPr="00AF0647">
        <w:rPr>
          <w:b/>
          <w:bCs/>
          <w:rtl/>
        </w:rPr>
        <w:t>–</w:t>
      </w:r>
      <w:r w:rsidR="00077F0D" w:rsidRPr="00AF0647">
        <w:rPr>
          <w:rFonts w:hint="cs"/>
          <w:b/>
          <w:bCs/>
          <w:rtl/>
        </w:rPr>
        <w:t xml:space="preserve"> </w:t>
      </w:r>
    </w:p>
    <w:p w:rsidR="00EC1489" w:rsidRDefault="007319C4" w:rsidP="00B06795">
      <w:pPr>
        <w:pStyle w:val="a7"/>
        <w:spacing w:line="300" w:lineRule="auto"/>
        <w:ind w:left="822"/>
        <w:rPr>
          <w:b/>
          <w:bCs/>
        </w:rPr>
      </w:pPr>
      <w:r>
        <w:rPr>
          <w:rFonts w:hint="cs"/>
          <w:b/>
          <w:bCs/>
          <w:rtl/>
        </w:rPr>
        <w:t xml:space="preserve">ראו </w:t>
      </w:r>
      <w:r w:rsidR="00077F0D" w:rsidRPr="00AF0647">
        <w:rPr>
          <w:rFonts w:hint="cs"/>
          <w:b/>
          <w:bCs/>
          <w:rtl/>
        </w:rPr>
        <w:t>סעיף 13</w:t>
      </w:r>
      <w:r w:rsidR="00EC1489" w:rsidRPr="00AF0647">
        <w:rPr>
          <w:rFonts w:hint="cs"/>
          <w:b/>
          <w:bCs/>
          <w:rtl/>
        </w:rPr>
        <w:t xml:space="preserve"> </w:t>
      </w:r>
      <w:r w:rsidR="0027726E" w:rsidRPr="00AF0647">
        <w:rPr>
          <w:rFonts w:hint="cs"/>
          <w:b/>
          <w:bCs/>
          <w:rtl/>
        </w:rPr>
        <w:t>(</w:t>
      </w:r>
      <w:r w:rsidR="00C75CDF" w:rsidRPr="00D70031">
        <w:rPr>
          <w:rStyle w:val="Hyperlink"/>
        </w:rPr>
        <w:t>https://www.imf.org/external/np/ms/2007/120907.htm</w:t>
      </w:r>
      <w:r w:rsidR="00C75CDF" w:rsidRPr="00D70031">
        <w:rPr>
          <w:rStyle w:val="Hyperlink"/>
          <w:rFonts w:hint="cs"/>
          <w:rtl/>
        </w:rPr>
        <w:t xml:space="preserve"> </w:t>
      </w:r>
      <w:r w:rsidR="0027726E" w:rsidRPr="00AF0647">
        <w:rPr>
          <w:rFonts w:hint="cs"/>
          <w:b/>
          <w:bCs/>
          <w:rtl/>
        </w:rPr>
        <w:t>)</w:t>
      </w:r>
    </w:p>
    <w:p w:rsidR="00C75CDF" w:rsidRPr="00AF0647" w:rsidRDefault="00C75CDF" w:rsidP="00C75CDF">
      <w:pPr>
        <w:pStyle w:val="a7"/>
        <w:spacing w:line="300" w:lineRule="auto"/>
        <w:ind w:left="822"/>
        <w:rPr>
          <w:b/>
          <w:bCs/>
        </w:rPr>
      </w:pPr>
    </w:p>
    <w:p w:rsidR="0027726E" w:rsidRDefault="00077F0D" w:rsidP="00B04760">
      <w:pPr>
        <w:bidi w:val="0"/>
        <w:spacing w:line="300" w:lineRule="auto"/>
        <w:ind w:right="425"/>
        <w:rPr>
          <w:rtl/>
        </w:rPr>
      </w:pPr>
      <w:r>
        <w:t xml:space="preserve">13. </w:t>
      </w:r>
      <w:r w:rsidR="0027726E" w:rsidRPr="00077F0D">
        <w:t>In line with good international practice, the insurance supervisor needs independence to</w:t>
      </w:r>
      <w:r w:rsidR="0027726E">
        <w:rPr>
          <w:rFonts w:ascii="Verdana" w:hAnsi="Verdana"/>
          <w:color w:val="505050"/>
          <w:sz w:val="19"/>
          <w:szCs w:val="19"/>
        </w:rPr>
        <w:t xml:space="preserve"> </w:t>
      </w:r>
      <w:r w:rsidR="0027726E" w:rsidRPr="00077F0D">
        <w:t>set solvency standards, enforce managerial changes in companies, resolve failing institutions, and powers to perform group-wide supervision</w:t>
      </w:r>
    </w:p>
    <w:p w:rsidR="00C3464B" w:rsidRDefault="00C3464B" w:rsidP="00077F0D">
      <w:pPr>
        <w:bidi w:val="0"/>
        <w:spacing w:line="300" w:lineRule="auto"/>
        <w:rPr>
          <w:sz w:val="24"/>
          <w:rtl/>
        </w:rPr>
      </w:pPr>
    </w:p>
    <w:p w:rsidR="00B06795" w:rsidRDefault="007319C4" w:rsidP="007319C4">
      <w:pPr>
        <w:pStyle w:val="a7"/>
        <w:numPr>
          <w:ilvl w:val="1"/>
          <w:numId w:val="8"/>
        </w:numPr>
        <w:spacing w:line="300" w:lineRule="auto"/>
        <w:rPr>
          <w:b/>
          <w:bCs/>
        </w:rPr>
      </w:pPr>
      <w:r w:rsidRPr="00AF0647">
        <w:rPr>
          <w:rFonts w:hint="cs"/>
          <w:b/>
          <w:bCs/>
          <w:rtl/>
        </w:rPr>
        <w:t>המלצות</w:t>
      </w:r>
      <w:r>
        <w:rPr>
          <w:rFonts w:hint="cs"/>
          <w:b/>
          <w:bCs/>
          <w:rtl/>
        </w:rPr>
        <w:t xml:space="preserve"> קרן המטבע העולמית </w:t>
      </w:r>
      <w:r>
        <w:rPr>
          <w:b/>
          <w:bCs/>
        </w:rPr>
        <w:t xml:space="preserve">(IMF) </w:t>
      </w:r>
      <w:r w:rsidRPr="00AF0647">
        <w:rPr>
          <w:rFonts w:hint="cs"/>
          <w:b/>
          <w:bCs/>
          <w:rtl/>
        </w:rPr>
        <w:t xml:space="preserve"> </w:t>
      </w:r>
      <w:r>
        <w:rPr>
          <w:rFonts w:hint="cs"/>
          <w:b/>
          <w:bCs/>
          <w:rtl/>
        </w:rPr>
        <w:t xml:space="preserve">במסגרת תהליך הערכה משנת </w:t>
      </w:r>
      <w:r w:rsidRPr="00AF0647">
        <w:rPr>
          <w:rFonts w:hint="cs"/>
          <w:b/>
          <w:bCs/>
          <w:rtl/>
        </w:rPr>
        <w:t xml:space="preserve"> </w:t>
      </w:r>
      <w:r w:rsidR="0027726E" w:rsidRPr="00AF0647">
        <w:rPr>
          <w:rFonts w:hint="cs"/>
          <w:b/>
          <w:bCs/>
          <w:rtl/>
        </w:rPr>
        <w:t xml:space="preserve">(2010) </w:t>
      </w:r>
      <w:r w:rsidR="0027726E" w:rsidRPr="00AF0647">
        <w:rPr>
          <w:b/>
          <w:bCs/>
          <w:rtl/>
        </w:rPr>
        <w:t>–</w:t>
      </w:r>
      <w:r w:rsidR="0027726E" w:rsidRPr="00AF0647">
        <w:rPr>
          <w:rFonts w:hint="cs"/>
          <w:b/>
          <w:bCs/>
          <w:rtl/>
        </w:rPr>
        <w:t xml:space="preserve"> </w:t>
      </w:r>
    </w:p>
    <w:p w:rsidR="0027726E" w:rsidRDefault="007319C4" w:rsidP="00B06795">
      <w:pPr>
        <w:pStyle w:val="a7"/>
        <w:spacing w:line="300" w:lineRule="auto"/>
        <w:ind w:left="822"/>
        <w:rPr>
          <w:b/>
          <w:bCs/>
        </w:rPr>
      </w:pPr>
      <w:r>
        <w:rPr>
          <w:rFonts w:hint="cs"/>
          <w:b/>
          <w:bCs/>
          <w:rtl/>
        </w:rPr>
        <w:t xml:space="preserve">ראו </w:t>
      </w:r>
      <w:r w:rsidR="0027726E" w:rsidRPr="00AF0647">
        <w:rPr>
          <w:rFonts w:hint="cs"/>
          <w:b/>
          <w:bCs/>
          <w:rtl/>
        </w:rPr>
        <w:t xml:space="preserve">סעיף 58 </w:t>
      </w:r>
      <w:r w:rsidR="0027726E" w:rsidRPr="00AF0647">
        <w:rPr>
          <w:b/>
          <w:bCs/>
        </w:rPr>
        <w:t xml:space="preserve"> </w:t>
      </w:r>
      <w:r w:rsidR="0027726E" w:rsidRPr="00AF0647">
        <w:rPr>
          <w:rFonts w:hint="cs"/>
          <w:b/>
          <w:bCs/>
          <w:rtl/>
        </w:rPr>
        <w:t xml:space="preserve"> (</w:t>
      </w:r>
      <w:r w:rsidR="00C75CDF">
        <w:rPr>
          <w:rFonts w:hint="cs"/>
          <w:b/>
          <w:bCs/>
          <w:rtl/>
        </w:rPr>
        <w:t xml:space="preserve"> </w:t>
      </w:r>
      <w:r w:rsidR="00C75CDF" w:rsidRPr="00D70031">
        <w:rPr>
          <w:rStyle w:val="Hyperlink"/>
        </w:rPr>
        <w:t>https://www.imf.org/external/pubs/ft/scr/2011/cr1121.pdf</w:t>
      </w:r>
      <w:r w:rsidR="0027726E" w:rsidRPr="00D70031">
        <w:rPr>
          <w:rStyle w:val="Hyperlink"/>
          <w:rFonts w:hint="cs"/>
          <w:rtl/>
        </w:rPr>
        <w:t xml:space="preserve"> </w:t>
      </w:r>
      <w:r w:rsidR="0027726E" w:rsidRPr="00AF0647">
        <w:rPr>
          <w:rFonts w:hint="cs"/>
          <w:b/>
          <w:bCs/>
          <w:rtl/>
        </w:rPr>
        <w:t>)</w:t>
      </w:r>
    </w:p>
    <w:p w:rsidR="00B06795" w:rsidRPr="00AF0647" w:rsidRDefault="00B06795" w:rsidP="00B06795">
      <w:pPr>
        <w:pStyle w:val="a7"/>
        <w:spacing w:line="300" w:lineRule="auto"/>
        <w:ind w:left="822"/>
        <w:rPr>
          <w:b/>
          <w:bCs/>
        </w:rPr>
      </w:pPr>
    </w:p>
    <w:p w:rsidR="0027726E" w:rsidRDefault="00077F0D" w:rsidP="0027726E">
      <w:pPr>
        <w:bidi w:val="0"/>
        <w:spacing w:line="300" w:lineRule="auto"/>
      </w:pPr>
      <w:r>
        <w:t>58</w:t>
      </w:r>
      <w:r w:rsidR="0027726E">
        <w:rPr>
          <w:rtl/>
        </w:rPr>
        <w:t xml:space="preserve">. </w:t>
      </w:r>
      <w:r w:rsidR="0027726E">
        <w:t>The adequacy of resources, capabilities, autonomy and accountability of the non-bank</w:t>
      </w:r>
    </w:p>
    <w:p w:rsidR="0027726E" w:rsidRDefault="0027726E" w:rsidP="0027726E">
      <w:pPr>
        <w:bidi w:val="0"/>
        <w:spacing w:line="300" w:lineRule="auto"/>
      </w:pPr>
      <w:proofErr w:type="gramStart"/>
      <w:r>
        <w:t>financial</w:t>
      </w:r>
      <w:proofErr w:type="gramEnd"/>
      <w:r>
        <w:t xml:space="preserve"> supervisors—the Israeli Securities Authority (ISA) and the Capital Markets</w:t>
      </w:r>
      <w:r>
        <w:rPr>
          <w:rtl/>
        </w:rPr>
        <w:t>,</w:t>
      </w:r>
    </w:p>
    <w:p w:rsidR="0027726E" w:rsidRDefault="0027726E" w:rsidP="0027726E">
      <w:pPr>
        <w:bidi w:val="0"/>
        <w:spacing w:line="300" w:lineRule="auto"/>
      </w:pPr>
      <w:r>
        <w:t>Insurance and Savings Division (CMISD) of the Ministry of Finance—should also be</w:t>
      </w:r>
    </w:p>
    <w:p w:rsidR="0027726E" w:rsidRPr="007319C4" w:rsidRDefault="0027726E" w:rsidP="0027726E">
      <w:pPr>
        <w:bidi w:val="0"/>
        <w:spacing w:line="300" w:lineRule="auto"/>
      </w:pPr>
      <w:proofErr w:type="gramStart"/>
      <w:r>
        <w:t>comprehensively</w:t>
      </w:r>
      <w:proofErr w:type="gramEnd"/>
      <w:r>
        <w:t xml:space="preserve"> reviewed. A series of recent Article IV consultations </w:t>
      </w:r>
      <w:r w:rsidRPr="007319C4">
        <w:t>have recommended</w:t>
      </w:r>
    </w:p>
    <w:p w:rsidR="0027726E" w:rsidRPr="007319C4" w:rsidRDefault="0027726E" w:rsidP="0027726E">
      <w:pPr>
        <w:bidi w:val="0"/>
        <w:spacing w:line="300" w:lineRule="auto"/>
      </w:pPr>
      <w:proofErr w:type="gramStart"/>
      <w:r w:rsidRPr="007319C4">
        <w:t>that</w:t>
      </w:r>
      <w:proofErr w:type="gramEnd"/>
      <w:r w:rsidRPr="007319C4">
        <w:t xml:space="preserve"> the CMISD be shifted out of the </w:t>
      </w:r>
      <w:proofErr w:type="spellStart"/>
      <w:r w:rsidRPr="007319C4">
        <w:t>MoF</w:t>
      </w:r>
      <w:proofErr w:type="spellEnd"/>
      <w:r w:rsidRPr="007319C4">
        <w:t xml:space="preserve"> in order to better address the resource and</w:t>
      </w:r>
    </w:p>
    <w:p w:rsidR="0027726E" w:rsidRPr="007319C4" w:rsidRDefault="0027726E" w:rsidP="0027726E">
      <w:pPr>
        <w:bidi w:val="0"/>
        <w:spacing w:line="300" w:lineRule="auto"/>
      </w:pPr>
      <w:proofErr w:type="gramStart"/>
      <w:r w:rsidRPr="007319C4">
        <w:t>accountability</w:t>
      </w:r>
      <w:proofErr w:type="gramEnd"/>
      <w:r w:rsidRPr="007319C4">
        <w:t xml:space="preserve"> issues, as well as to minimize potential conflicts of interest arising from</w:t>
      </w:r>
    </w:p>
    <w:p w:rsidR="0027726E" w:rsidRPr="007319C4" w:rsidRDefault="0027726E" w:rsidP="0027726E">
      <w:pPr>
        <w:bidi w:val="0"/>
        <w:spacing w:line="300" w:lineRule="auto"/>
      </w:pPr>
      <w:proofErr w:type="gramStart"/>
      <w:r w:rsidRPr="007319C4">
        <w:lastRenderedPageBreak/>
        <w:t>having</w:t>
      </w:r>
      <w:proofErr w:type="gramEnd"/>
      <w:r w:rsidRPr="007319C4">
        <w:t xml:space="preserve"> the regulator within the </w:t>
      </w:r>
      <w:proofErr w:type="spellStart"/>
      <w:r w:rsidRPr="007319C4">
        <w:t>MoF</w:t>
      </w:r>
      <w:proofErr w:type="spellEnd"/>
      <w:r w:rsidRPr="007319C4">
        <w:t>. In particular, there appears to be need to separate the</w:t>
      </w:r>
    </w:p>
    <w:p w:rsidR="0027726E" w:rsidRDefault="0027726E" w:rsidP="0027726E">
      <w:pPr>
        <w:bidi w:val="0"/>
        <w:spacing w:line="300" w:lineRule="auto"/>
      </w:pPr>
      <w:proofErr w:type="gramStart"/>
      <w:r>
        <w:t>roles</w:t>
      </w:r>
      <w:proofErr w:type="gramEnd"/>
      <w:r>
        <w:t xml:space="preserve"> of “supervisor” from that of “promoter of the sector.” This does not mean that the</w:t>
      </w:r>
    </w:p>
    <w:p w:rsidR="0027726E" w:rsidRDefault="0027726E" w:rsidP="0027726E">
      <w:pPr>
        <w:bidi w:val="0"/>
        <w:spacing w:line="300" w:lineRule="auto"/>
      </w:pPr>
      <w:r>
        <w:t xml:space="preserve">CMISD should necessarily gravitate toward the </w:t>
      </w:r>
      <w:proofErr w:type="spellStart"/>
      <w:r>
        <w:t>BoI</w:t>
      </w:r>
      <w:proofErr w:type="spellEnd"/>
      <w:r>
        <w:t>; that is only one option, and in most</w:t>
      </w:r>
    </w:p>
    <w:p w:rsidR="0027726E" w:rsidRDefault="0027726E" w:rsidP="0027726E">
      <w:pPr>
        <w:bidi w:val="0"/>
        <w:spacing w:line="300" w:lineRule="auto"/>
      </w:pPr>
      <w:r>
        <w:t>OECD countries, the pension and insurance regulators are housed outside the central bank</w:t>
      </w:r>
      <w:r>
        <w:rPr>
          <w:rtl/>
        </w:rPr>
        <w:t>,</w:t>
      </w:r>
    </w:p>
    <w:p w:rsidR="0027726E" w:rsidRDefault="0027726E" w:rsidP="0027726E">
      <w:pPr>
        <w:bidi w:val="0"/>
        <w:spacing w:line="300" w:lineRule="auto"/>
      </w:pPr>
      <w:proofErr w:type="gramStart"/>
      <w:r>
        <w:t>either</w:t>
      </w:r>
      <w:proofErr w:type="gramEnd"/>
      <w:r>
        <w:t xml:space="preserve"> in a fully independent position, or as part of a unified, but independent financial</w:t>
      </w:r>
    </w:p>
    <w:p w:rsidR="0027726E" w:rsidRDefault="0027726E" w:rsidP="0027726E">
      <w:pPr>
        <w:bidi w:val="0"/>
        <w:spacing w:line="300" w:lineRule="auto"/>
      </w:pPr>
      <w:proofErr w:type="gramStart"/>
      <w:r>
        <w:t>services</w:t>
      </w:r>
      <w:proofErr w:type="gramEnd"/>
      <w:r>
        <w:t xml:space="preserve"> authority</w:t>
      </w:r>
      <w:r>
        <w:rPr>
          <w:rtl/>
        </w:rPr>
        <w:t>.</w:t>
      </w:r>
    </w:p>
    <w:p w:rsidR="0027726E" w:rsidRDefault="0027726E" w:rsidP="0027726E">
      <w:pPr>
        <w:spacing w:line="300" w:lineRule="auto"/>
        <w:rPr>
          <w:rtl/>
        </w:rPr>
      </w:pPr>
    </w:p>
    <w:p w:rsidR="0027726E" w:rsidRDefault="00077F0D" w:rsidP="00FC0E98">
      <w:pPr>
        <w:pStyle w:val="a7"/>
        <w:numPr>
          <w:ilvl w:val="1"/>
          <w:numId w:val="8"/>
        </w:numPr>
        <w:spacing w:line="300" w:lineRule="auto"/>
        <w:rPr>
          <w:rFonts w:hint="cs"/>
          <w:b/>
          <w:bCs/>
        </w:rPr>
      </w:pPr>
      <w:r w:rsidRPr="00AF0647">
        <w:rPr>
          <w:rFonts w:hint="cs"/>
          <w:b/>
          <w:bCs/>
          <w:rtl/>
        </w:rPr>
        <w:t xml:space="preserve">המלצות </w:t>
      </w:r>
      <w:r w:rsidRPr="00AF0647">
        <w:rPr>
          <w:b/>
          <w:bCs/>
        </w:rPr>
        <w:t>OECD</w:t>
      </w:r>
      <w:r w:rsidR="00E10338">
        <w:rPr>
          <w:rFonts w:hint="cs"/>
          <w:b/>
          <w:bCs/>
          <w:rtl/>
        </w:rPr>
        <w:t xml:space="preserve"> (2016) </w:t>
      </w:r>
      <w:r w:rsidR="00AF0647">
        <w:rPr>
          <w:rFonts w:hint="cs"/>
          <w:b/>
          <w:bCs/>
          <w:rtl/>
        </w:rPr>
        <w:t xml:space="preserve"> </w:t>
      </w:r>
      <w:r w:rsidR="00AF0647">
        <w:rPr>
          <w:b/>
          <w:bCs/>
          <w:rtl/>
        </w:rPr>
        <w:t>–</w:t>
      </w:r>
      <w:r w:rsidR="00AF0647">
        <w:rPr>
          <w:rFonts w:hint="cs"/>
          <w:b/>
          <w:bCs/>
          <w:rtl/>
        </w:rPr>
        <w:t xml:space="preserve"> (</w:t>
      </w:r>
      <w:hyperlink r:id="rId9" w:history="1">
        <w:r w:rsidR="00C75CDF" w:rsidRPr="00C75CDF">
          <w:rPr>
            <w:rFonts w:ascii="Arial" w:eastAsia="Times New Roman" w:hAnsi="Arial"/>
            <w:color w:val="0000FF" w:themeColor="hyperlink"/>
            <w:sz w:val="20"/>
            <w:szCs w:val="20"/>
            <w:u w:val="single"/>
            <w:lang w:eastAsia="he-IL"/>
          </w:rPr>
          <w:t>http://www.oecd.org/eco/surveys/Israel-Overview-OECD-Economic-Survey-2016.pdf</w:t>
        </w:r>
      </w:hyperlink>
      <w:r w:rsidR="00AF0647">
        <w:rPr>
          <w:rFonts w:hint="cs"/>
          <w:b/>
          <w:bCs/>
          <w:rtl/>
        </w:rPr>
        <w:t>)</w:t>
      </w:r>
      <w:r w:rsidR="0079050D" w:rsidRPr="0079050D">
        <w:rPr>
          <w:b/>
          <w:bCs/>
          <w:rtl/>
        </w:rPr>
        <w:t xml:space="preserve"> </w:t>
      </w:r>
      <w:r w:rsidR="00C03E96">
        <w:rPr>
          <w:rFonts w:hint="cs"/>
          <w:b/>
          <w:bCs/>
          <w:rtl/>
        </w:rPr>
        <w:t xml:space="preserve"> </w:t>
      </w:r>
    </w:p>
    <w:p w:rsidR="00FC0E98" w:rsidRPr="00AF0647" w:rsidRDefault="00FC0E98" w:rsidP="00FC0E98">
      <w:pPr>
        <w:pStyle w:val="a7"/>
        <w:spacing w:line="300" w:lineRule="auto"/>
        <w:ind w:left="822"/>
        <w:rPr>
          <w:b/>
          <w:bCs/>
          <w:rtl/>
        </w:rPr>
      </w:pPr>
      <w:r>
        <w:rPr>
          <w:rFonts w:hint="cs"/>
          <w:b/>
          <w:bCs/>
          <w:rtl/>
        </w:rPr>
        <w:t>להלן ציטוט מתוך עמוד 46</w:t>
      </w:r>
    </w:p>
    <w:p w:rsidR="00D5670D" w:rsidRPr="00D5670D" w:rsidRDefault="00D5670D" w:rsidP="00FC0E98">
      <w:pPr>
        <w:bidi w:val="0"/>
        <w:spacing w:line="300" w:lineRule="auto"/>
        <w:rPr>
          <w:rtl/>
        </w:rPr>
      </w:pPr>
      <w:r w:rsidRPr="00D5670D">
        <w:t>2.</w:t>
      </w:r>
      <w:r>
        <w:rPr>
          <w:rFonts w:ascii="Helvetica-Condensed-Bold" w:eastAsiaTheme="minorHAnsi" w:hAnsi="Helvetica-Condensed-Bold" w:cs="Helvetica-Condensed-Bold"/>
          <w:b/>
          <w:bCs/>
          <w:sz w:val="14"/>
          <w:szCs w:val="14"/>
          <w:lang w:eastAsia="en-US"/>
        </w:rPr>
        <w:t xml:space="preserve"> </w:t>
      </w:r>
      <w:r w:rsidRPr="00D5670D">
        <w:t>Financial sector regulation and macro-prudential policy</w:t>
      </w:r>
      <w:r w:rsidR="00E10338">
        <w:t xml:space="preserve"> </w:t>
      </w:r>
    </w:p>
    <w:p w:rsidR="00D5670D" w:rsidRPr="00D5670D" w:rsidRDefault="00D5670D" w:rsidP="00AF0647">
      <w:pPr>
        <w:bidi w:val="0"/>
        <w:spacing w:line="300" w:lineRule="auto"/>
        <w:ind w:right="-142"/>
      </w:pPr>
      <w:r w:rsidRPr="00D5670D">
        <w:t>2.1. Remove the supervisory duties currently carried out by</w:t>
      </w:r>
    </w:p>
    <w:p w:rsidR="00D5670D" w:rsidRPr="00D5670D" w:rsidRDefault="00D5670D" w:rsidP="00AF0647">
      <w:pPr>
        <w:bidi w:val="0"/>
        <w:spacing w:line="300" w:lineRule="auto"/>
        <w:ind w:right="-142"/>
      </w:pPr>
      <w:proofErr w:type="gramStart"/>
      <w:r w:rsidRPr="00D5670D">
        <w:t>CMISD from the Ministry of Finance.</w:t>
      </w:r>
      <w:proofErr w:type="gramEnd"/>
      <w:r w:rsidRPr="00D5670D">
        <w:t xml:space="preserve"> Further strengthen oversight</w:t>
      </w:r>
    </w:p>
    <w:p w:rsidR="00D5670D" w:rsidRPr="00D5670D" w:rsidRDefault="00D5670D" w:rsidP="00AF0647">
      <w:pPr>
        <w:bidi w:val="0"/>
        <w:spacing w:line="300" w:lineRule="auto"/>
        <w:ind w:right="-142"/>
      </w:pPr>
      <w:proofErr w:type="gramStart"/>
      <w:r w:rsidRPr="00D5670D">
        <w:t>communication</w:t>
      </w:r>
      <w:proofErr w:type="gramEnd"/>
      <w:r w:rsidRPr="00D5670D">
        <w:t xml:space="preserve"> and co-ordination.</w:t>
      </w:r>
    </w:p>
    <w:p w:rsidR="00213284" w:rsidRDefault="00213284" w:rsidP="00C3464B">
      <w:pPr>
        <w:spacing w:line="300" w:lineRule="auto"/>
        <w:rPr>
          <w:sz w:val="24"/>
          <w:rtl/>
        </w:rPr>
      </w:pPr>
    </w:p>
    <w:p w:rsidR="0027726E" w:rsidRDefault="0027726E" w:rsidP="0022465D">
      <w:pPr>
        <w:pStyle w:val="a7"/>
        <w:numPr>
          <w:ilvl w:val="0"/>
          <w:numId w:val="8"/>
        </w:numPr>
        <w:spacing w:line="300" w:lineRule="auto"/>
        <w:rPr>
          <w:b/>
          <w:bCs/>
          <w:u w:val="double"/>
        </w:rPr>
      </w:pPr>
      <w:r>
        <w:rPr>
          <w:rFonts w:hint="cs"/>
          <w:rtl/>
        </w:rPr>
        <w:t xml:space="preserve"> </w:t>
      </w:r>
      <w:r w:rsidR="00A573D6">
        <w:rPr>
          <w:rFonts w:hint="cs"/>
          <w:b/>
          <w:bCs/>
          <w:color w:val="0070C0"/>
          <w:u w:val="double"/>
          <w:rtl/>
        </w:rPr>
        <w:t xml:space="preserve">חלק 2 - </w:t>
      </w:r>
      <w:r w:rsidR="00AF0647" w:rsidRPr="00B06795">
        <w:rPr>
          <w:rFonts w:hint="cs"/>
          <w:b/>
          <w:bCs/>
          <w:color w:val="0070C0"/>
          <w:u w:val="double"/>
          <w:rtl/>
        </w:rPr>
        <w:t xml:space="preserve">פיקוח על </w:t>
      </w:r>
      <w:r w:rsidR="0022465D" w:rsidRPr="00B06795">
        <w:rPr>
          <w:rFonts w:hint="cs"/>
          <w:b/>
          <w:bCs/>
          <w:color w:val="0070C0"/>
          <w:u w:val="double"/>
          <w:rtl/>
        </w:rPr>
        <w:t xml:space="preserve">תאגידי </w:t>
      </w:r>
      <w:r w:rsidR="00AF0647" w:rsidRPr="00B06795">
        <w:rPr>
          <w:rFonts w:hint="cs"/>
          <w:b/>
          <w:bCs/>
          <w:color w:val="0070C0"/>
          <w:u w:val="double"/>
          <w:rtl/>
        </w:rPr>
        <w:t xml:space="preserve"> אחזק</w:t>
      </w:r>
      <w:r w:rsidR="0022465D" w:rsidRPr="00B06795">
        <w:rPr>
          <w:rFonts w:hint="cs"/>
          <w:b/>
          <w:bCs/>
          <w:color w:val="0070C0"/>
          <w:u w:val="double"/>
          <w:rtl/>
        </w:rPr>
        <w:t xml:space="preserve">ה </w:t>
      </w:r>
      <w:r w:rsidR="00AF0647" w:rsidRPr="00B06795">
        <w:rPr>
          <w:rFonts w:hint="cs"/>
          <w:b/>
          <w:bCs/>
          <w:color w:val="0070C0"/>
          <w:u w:val="double"/>
          <w:rtl/>
        </w:rPr>
        <w:t xml:space="preserve"> </w:t>
      </w:r>
    </w:p>
    <w:p w:rsidR="00A00F7F" w:rsidRPr="00A573D6" w:rsidRDefault="00A00F7F" w:rsidP="008942F5">
      <w:pPr>
        <w:pStyle w:val="a7"/>
        <w:numPr>
          <w:ilvl w:val="1"/>
          <w:numId w:val="8"/>
        </w:numPr>
        <w:spacing w:line="300" w:lineRule="auto"/>
        <w:rPr>
          <w:rtl/>
        </w:rPr>
      </w:pPr>
      <w:r w:rsidRPr="00A573D6">
        <w:rPr>
          <w:rFonts w:hint="cs"/>
          <w:rtl/>
        </w:rPr>
        <w:t>קרן המטבע העולמית בחנה את הלימות הרגולציה בישראל בהתייחס לתאגידי אחזקה ביחס לעקרון יסוד של ה-</w:t>
      </w:r>
      <w:r w:rsidRPr="00A573D6">
        <w:t>IAIS</w:t>
      </w:r>
      <w:r w:rsidRPr="00A573D6">
        <w:rPr>
          <w:rFonts w:hint="cs"/>
          <w:rtl/>
        </w:rPr>
        <w:t xml:space="preserve"> הנוגע לפיקוח על קבוצות</w:t>
      </w:r>
      <w:r>
        <w:rPr>
          <w:rFonts w:hint="cs"/>
          <w:rtl/>
        </w:rPr>
        <w:t xml:space="preserve">, להלן </w:t>
      </w:r>
      <w:r w:rsidRPr="00A573D6">
        <w:rPr>
          <w:rFonts w:hint="cs"/>
          <w:rtl/>
        </w:rPr>
        <w:t xml:space="preserve"> </w:t>
      </w:r>
      <w:r>
        <w:rPr>
          <w:rFonts w:hint="cs"/>
          <w:rtl/>
        </w:rPr>
        <w:t xml:space="preserve">מובאות המלצות הקרן - </w:t>
      </w:r>
    </w:p>
    <w:p w:rsidR="00C03E96" w:rsidRDefault="00C03E96" w:rsidP="008942F5">
      <w:pPr>
        <w:pStyle w:val="a7"/>
        <w:numPr>
          <w:ilvl w:val="2"/>
          <w:numId w:val="8"/>
        </w:numPr>
        <w:spacing w:line="300" w:lineRule="auto"/>
        <w:rPr>
          <w:b/>
          <w:bCs/>
        </w:rPr>
      </w:pPr>
      <w:r>
        <w:rPr>
          <w:rFonts w:hint="cs"/>
          <w:b/>
          <w:bCs/>
          <w:rtl/>
        </w:rPr>
        <w:t xml:space="preserve">ראו המלצות המצורפות לסעיף 1א) בחלק 1 לעיל. </w:t>
      </w:r>
    </w:p>
    <w:p w:rsidR="00A573D6" w:rsidRDefault="00A573D6" w:rsidP="00C03E96">
      <w:pPr>
        <w:pStyle w:val="a7"/>
        <w:numPr>
          <w:ilvl w:val="2"/>
          <w:numId w:val="8"/>
        </w:numPr>
        <w:spacing w:line="300" w:lineRule="auto"/>
        <w:rPr>
          <w:b/>
          <w:bCs/>
        </w:rPr>
      </w:pPr>
      <w:r w:rsidRPr="00AF0647">
        <w:rPr>
          <w:rFonts w:hint="cs"/>
          <w:b/>
          <w:bCs/>
          <w:rtl/>
        </w:rPr>
        <w:t>המלצות</w:t>
      </w:r>
      <w:r>
        <w:rPr>
          <w:rFonts w:hint="cs"/>
          <w:b/>
          <w:bCs/>
          <w:rtl/>
        </w:rPr>
        <w:t xml:space="preserve"> קרן המטבע העולמית </w:t>
      </w:r>
      <w:r>
        <w:rPr>
          <w:b/>
          <w:bCs/>
        </w:rPr>
        <w:t xml:space="preserve">(IMF) </w:t>
      </w:r>
      <w:r w:rsidRPr="00AF0647">
        <w:rPr>
          <w:rFonts w:hint="cs"/>
          <w:b/>
          <w:bCs/>
          <w:rtl/>
        </w:rPr>
        <w:t xml:space="preserve"> </w:t>
      </w:r>
      <w:r>
        <w:rPr>
          <w:rFonts w:hint="cs"/>
          <w:b/>
          <w:bCs/>
          <w:rtl/>
        </w:rPr>
        <w:t xml:space="preserve">במסגרת תהליך הערכה משנת </w:t>
      </w:r>
      <w:r w:rsidR="0022465D">
        <w:rPr>
          <w:rFonts w:hint="cs"/>
          <w:b/>
          <w:bCs/>
          <w:rtl/>
        </w:rPr>
        <w:t>(2012)</w:t>
      </w:r>
      <w:r w:rsidR="009645CA">
        <w:rPr>
          <w:rFonts w:hint="cs"/>
          <w:b/>
          <w:bCs/>
          <w:rtl/>
        </w:rPr>
        <w:t xml:space="preserve"> </w:t>
      </w:r>
      <w:r w:rsidR="009645CA">
        <w:rPr>
          <w:b/>
          <w:bCs/>
          <w:rtl/>
        </w:rPr>
        <w:t>–</w:t>
      </w:r>
      <w:r w:rsidR="009645CA">
        <w:rPr>
          <w:rFonts w:hint="cs"/>
          <w:b/>
          <w:bCs/>
          <w:rtl/>
        </w:rPr>
        <w:t xml:space="preserve"> </w:t>
      </w:r>
      <w:r>
        <w:rPr>
          <w:rFonts w:hint="cs"/>
          <w:b/>
          <w:bCs/>
          <w:rtl/>
        </w:rPr>
        <w:t xml:space="preserve">ראו </w:t>
      </w:r>
      <w:r w:rsidR="009645CA">
        <w:rPr>
          <w:rFonts w:hint="cs"/>
          <w:b/>
          <w:bCs/>
          <w:rtl/>
        </w:rPr>
        <w:t xml:space="preserve">סעיף </w:t>
      </w:r>
      <w:r w:rsidR="00C03E96">
        <w:rPr>
          <w:rFonts w:hint="cs"/>
          <w:b/>
          <w:bCs/>
          <w:rtl/>
        </w:rPr>
        <w:t xml:space="preserve">35 </w:t>
      </w:r>
      <w:r w:rsidR="009645CA">
        <w:rPr>
          <w:rFonts w:hint="cs"/>
          <w:b/>
          <w:bCs/>
          <w:rtl/>
        </w:rPr>
        <w:t>וטבלה 1</w:t>
      </w:r>
      <w:r w:rsidR="0039412E">
        <w:rPr>
          <w:rFonts w:hint="cs"/>
          <w:b/>
          <w:bCs/>
          <w:rtl/>
        </w:rPr>
        <w:t xml:space="preserve"> </w:t>
      </w:r>
    </w:p>
    <w:p w:rsidR="0022465D" w:rsidRDefault="0039412E" w:rsidP="008942F5">
      <w:pPr>
        <w:pStyle w:val="a7"/>
        <w:spacing w:line="300" w:lineRule="auto"/>
        <w:ind w:left="1247"/>
        <w:rPr>
          <w:b/>
          <w:bCs/>
        </w:rPr>
      </w:pPr>
      <w:r>
        <w:rPr>
          <w:rFonts w:hint="cs"/>
          <w:b/>
          <w:bCs/>
          <w:rtl/>
        </w:rPr>
        <w:t>(</w:t>
      </w:r>
      <w:hyperlink r:id="rId10" w:history="1">
        <w:r w:rsidR="00B06795" w:rsidRPr="00D70031">
          <w:rPr>
            <w:rStyle w:val="Hyperlink"/>
          </w:rPr>
          <w:t>https://www.imf.org/external/pubs/ft/scr/2012/cr1269.pdf</w:t>
        </w:r>
      </w:hyperlink>
      <w:r>
        <w:rPr>
          <w:rFonts w:hint="cs"/>
          <w:b/>
          <w:bCs/>
          <w:rtl/>
        </w:rPr>
        <w:t>)</w:t>
      </w:r>
    </w:p>
    <w:p w:rsidR="0039412E" w:rsidRDefault="0039412E" w:rsidP="0039412E">
      <w:pPr>
        <w:autoSpaceDE w:val="0"/>
        <w:autoSpaceDN w:val="0"/>
        <w:bidi w:val="0"/>
        <w:adjustRightInd w:val="0"/>
        <w:jc w:val="left"/>
        <w:rPr>
          <w:rFonts w:ascii="Times New Roman" w:eastAsiaTheme="minorHAnsi" w:hAnsi="Times New Roman" w:cs="Times New Roman"/>
          <w:b/>
          <w:bCs/>
          <w:sz w:val="24"/>
          <w:lang w:eastAsia="en-US"/>
        </w:rPr>
      </w:pPr>
      <w:r>
        <w:rPr>
          <w:rFonts w:ascii="Times New Roman" w:eastAsiaTheme="minorHAnsi" w:hAnsi="Times New Roman" w:cs="Times New Roman"/>
          <w:sz w:val="24"/>
          <w:lang w:eastAsia="en-US"/>
        </w:rPr>
        <w:t xml:space="preserve">35. </w:t>
      </w:r>
      <w:r>
        <w:rPr>
          <w:rFonts w:ascii="Times New Roman" w:eastAsiaTheme="minorHAnsi" w:hAnsi="Times New Roman" w:cs="Times New Roman"/>
          <w:b/>
          <w:bCs/>
          <w:sz w:val="24"/>
          <w:lang w:eastAsia="en-US"/>
        </w:rPr>
        <w:t>Current regulation lacks sufficient tools to supervise groups effectively.</w:t>
      </w:r>
    </w:p>
    <w:p w:rsidR="0039412E" w:rsidRDefault="0039412E" w:rsidP="0039412E">
      <w:pPr>
        <w:autoSpaceDE w:val="0"/>
        <w:autoSpaceDN w:val="0"/>
        <w:bidi w:val="0"/>
        <w:adjustRightInd w:val="0"/>
        <w:jc w:val="left"/>
        <w:rPr>
          <w:rFonts w:ascii="Times New Roman" w:eastAsiaTheme="minorHAnsi" w:hAnsi="Times New Roman" w:cs="Times New Roman"/>
          <w:sz w:val="24"/>
          <w:lang w:eastAsia="en-US"/>
        </w:rPr>
      </w:pPr>
      <w:r>
        <w:rPr>
          <w:rFonts w:ascii="Times New Roman" w:eastAsiaTheme="minorHAnsi" w:hAnsi="Times New Roman" w:cs="Times New Roman"/>
          <w:b/>
          <w:bCs/>
          <w:sz w:val="24"/>
          <w:lang w:eastAsia="en-US"/>
        </w:rPr>
        <w:t xml:space="preserve"> </w:t>
      </w:r>
      <w:r>
        <w:rPr>
          <w:rFonts w:ascii="Times New Roman" w:eastAsiaTheme="minorHAnsi" w:hAnsi="Times New Roman" w:cs="Times New Roman"/>
          <w:sz w:val="24"/>
          <w:lang w:eastAsia="en-US"/>
        </w:rPr>
        <w:t>At present, the CMISD does not have formal policies with regard to group capital adequacy,</w:t>
      </w:r>
    </w:p>
    <w:p w:rsidR="0039412E" w:rsidRDefault="0039412E" w:rsidP="0039412E">
      <w:pPr>
        <w:autoSpaceDE w:val="0"/>
        <w:autoSpaceDN w:val="0"/>
        <w:bidi w:val="0"/>
        <w:adjustRightInd w:val="0"/>
        <w:jc w:val="left"/>
        <w:rPr>
          <w:rFonts w:ascii="Times New Roman" w:eastAsiaTheme="minorHAnsi" w:hAnsi="Times New Roman" w:cs="Times New Roman"/>
          <w:sz w:val="24"/>
          <w:lang w:eastAsia="en-US"/>
        </w:rPr>
      </w:pPr>
      <w:proofErr w:type="gramStart"/>
      <w:r>
        <w:rPr>
          <w:rFonts w:ascii="Times New Roman" w:eastAsiaTheme="minorHAnsi" w:hAnsi="Times New Roman" w:cs="Times New Roman"/>
          <w:sz w:val="24"/>
          <w:lang w:eastAsia="en-US"/>
        </w:rPr>
        <w:t>reinsurance</w:t>
      </w:r>
      <w:proofErr w:type="gramEnd"/>
      <w:r>
        <w:rPr>
          <w:rFonts w:ascii="Times New Roman" w:eastAsiaTheme="minorHAnsi" w:hAnsi="Times New Roman" w:cs="Times New Roman"/>
          <w:sz w:val="24"/>
          <w:lang w:eastAsia="en-US"/>
        </w:rPr>
        <w:t xml:space="preserve"> and risk concentration, internal control mechanisms, and risk management</w:t>
      </w:r>
    </w:p>
    <w:p w:rsidR="0039412E" w:rsidRDefault="0039412E" w:rsidP="0039412E">
      <w:pPr>
        <w:autoSpaceDE w:val="0"/>
        <w:autoSpaceDN w:val="0"/>
        <w:bidi w:val="0"/>
        <w:adjustRightInd w:val="0"/>
        <w:jc w:val="left"/>
        <w:rPr>
          <w:rFonts w:ascii="Times New Roman" w:eastAsiaTheme="minorHAnsi" w:hAnsi="Times New Roman" w:cs="Times New Roman"/>
          <w:sz w:val="24"/>
          <w:lang w:eastAsia="en-US"/>
        </w:rPr>
      </w:pPr>
      <w:proofErr w:type="gramStart"/>
      <w:r>
        <w:rPr>
          <w:rFonts w:ascii="Times New Roman" w:eastAsiaTheme="minorHAnsi" w:hAnsi="Times New Roman" w:cs="Times New Roman"/>
          <w:sz w:val="24"/>
          <w:lang w:eastAsia="en-US"/>
        </w:rPr>
        <w:t>systems</w:t>
      </w:r>
      <w:proofErr w:type="gramEnd"/>
      <w:r>
        <w:rPr>
          <w:rFonts w:ascii="Times New Roman" w:eastAsiaTheme="minorHAnsi" w:hAnsi="Times New Roman" w:cs="Times New Roman"/>
          <w:sz w:val="24"/>
          <w:lang w:eastAsia="en-US"/>
        </w:rPr>
        <w:t>, nor are there specific requirements for group-wide reporting, and the holding</w:t>
      </w:r>
    </w:p>
    <w:p w:rsidR="0039412E" w:rsidRDefault="0039412E" w:rsidP="0039412E">
      <w:pPr>
        <w:autoSpaceDE w:val="0"/>
        <w:autoSpaceDN w:val="0"/>
        <w:bidi w:val="0"/>
        <w:adjustRightInd w:val="0"/>
        <w:jc w:val="left"/>
        <w:rPr>
          <w:rFonts w:ascii="Times New Roman" w:eastAsiaTheme="minorHAnsi" w:hAnsi="Times New Roman" w:cs="Times New Roman"/>
          <w:sz w:val="24"/>
          <w:lang w:eastAsia="en-US"/>
        </w:rPr>
      </w:pPr>
      <w:proofErr w:type="gramStart"/>
      <w:r>
        <w:rPr>
          <w:rFonts w:ascii="Times New Roman" w:eastAsiaTheme="minorHAnsi" w:hAnsi="Times New Roman" w:cs="Times New Roman"/>
          <w:sz w:val="24"/>
          <w:lang w:eastAsia="en-US"/>
        </w:rPr>
        <w:t>companies</w:t>
      </w:r>
      <w:proofErr w:type="gramEnd"/>
      <w:r>
        <w:rPr>
          <w:rFonts w:ascii="Times New Roman" w:eastAsiaTheme="minorHAnsi" w:hAnsi="Times New Roman" w:cs="Times New Roman"/>
          <w:sz w:val="24"/>
          <w:lang w:eastAsia="en-US"/>
        </w:rPr>
        <w:t xml:space="preserve"> escape supervision. Work is already underway to strengthen this aspect of the</w:t>
      </w:r>
    </w:p>
    <w:p w:rsidR="0039412E" w:rsidRPr="0039412E" w:rsidRDefault="0039412E" w:rsidP="0039412E">
      <w:pPr>
        <w:pStyle w:val="a7"/>
        <w:bidi w:val="0"/>
        <w:spacing w:line="300" w:lineRule="auto"/>
        <w:ind w:left="0"/>
        <w:jc w:val="left"/>
        <w:rPr>
          <w:b/>
          <w:bCs/>
          <w:rtl/>
        </w:rPr>
      </w:pPr>
      <w:proofErr w:type="gramStart"/>
      <w:r>
        <w:rPr>
          <w:rFonts w:cs="Times New Roman"/>
        </w:rPr>
        <w:t>insurance</w:t>
      </w:r>
      <w:proofErr w:type="gramEnd"/>
      <w:r>
        <w:rPr>
          <w:rFonts w:cs="Times New Roman"/>
        </w:rPr>
        <w:t xml:space="preserve"> supervisory system (in line with evolving international best practice).</w:t>
      </w:r>
    </w:p>
    <w:p w:rsidR="0039412E" w:rsidRDefault="0039412E" w:rsidP="009645CA">
      <w:pPr>
        <w:pStyle w:val="a7"/>
        <w:spacing w:line="300" w:lineRule="auto"/>
        <w:ind w:left="794"/>
        <w:rPr>
          <w:b/>
          <w:bCs/>
          <w:rtl/>
        </w:rPr>
      </w:pPr>
    </w:p>
    <w:p w:rsidR="0039412E" w:rsidRDefault="0039412E" w:rsidP="009645CA">
      <w:pPr>
        <w:pStyle w:val="a7"/>
        <w:spacing w:line="300" w:lineRule="auto"/>
        <w:ind w:left="794"/>
        <w:rPr>
          <w:b/>
          <w:bCs/>
          <w:rtl/>
        </w:rPr>
      </w:pPr>
    </w:p>
    <w:p w:rsidR="0039412E" w:rsidRDefault="0039412E" w:rsidP="00C03E96">
      <w:pPr>
        <w:pStyle w:val="a7"/>
        <w:spacing w:line="300" w:lineRule="auto"/>
        <w:ind w:left="794"/>
        <w:rPr>
          <w:b/>
          <w:bCs/>
          <w:rtl/>
        </w:rPr>
      </w:pPr>
      <w:r>
        <w:rPr>
          <w:rFonts w:hint="cs"/>
          <w:b/>
          <w:bCs/>
          <w:rtl/>
        </w:rPr>
        <w:t xml:space="preserve">טבלה 1 - </w:t>
      </w:r>
      <w:r w:rsidR="00C03E96">
        <w:rPr>
          <w:rFonts w:hint="cs"/>
          <w:b/>
          <w:bCs/>
          <w:rtl/>
        </w:rPr>
        <w:t xml:space="preserve"> </w:t>
      </w:r>
    </w:p>
    <w:p w:rsidR="009645CA" w:rsidRPr="0039412E" w:rsidRDefault="009645CA" w:rsidP="009645CA">
      <w:pPr>
        <w:autoSpaceDE w:val="0"/>
        <w:autoSpaceDN w:val="0"/>
        <w:bidi w:val="0"/>
        <w:adjustRightInd w:val="0"/>
        <w:jc w:val="left"/>
        <w:rPr>
          <w:rFonts w:ascii="Times New Roman" w:eastAsiaTheme="minorHAnsi" w:hAnsi="Times New Roman" w:cs="Times New Roman"/>
          <w:b/>
          <w:bCs/>
          <w:sz w:val="24"/>
          <w:lang w:eastAsia="en-US"/>
        </w:rPr>
      </w:pPr>
      <w:r w:rsidRPr="0039412E">
        <w:rPr>
          <w:rFonts w:ascii="Times New Roman" w:eastAsiaTheme="minorHAnsi" w:hAnsi="Times New Roman" w:cs="Times New Roman"/>
          <w:b/>
          <w:bCs/>
          <w:sz w:val="24"/>
          <w:lang w:eastAsia="en-US"/>
        </w:rPr>
        <w:t>Insurance Sector Oversight</w:t>
      </w:r>
    </w:p>
    <w:p w:rsidR="009645CA" w:rsidRPr="0039412E" w:rsidRDefault="00A00F7F" w:rsidP="009645CA">
      <w:pPr>
        <w:autoSpaceDE w:val="0"/>
        <w:autoSpaceDN w:val="0"/>
        <w:bidi w:val="0"/>
        <w:adjustRightInd w:val="0"/>
        <w:jc w:val="left"/>
        <w:rPr>
          <w:rFonts w:ascii="Times New Roman" w:eastAsiaTheme="minorHAnsi" w:hAnsi="Times New Roman" w:cs="Times New Roman"/>
          <w:sz w:val="24"/>
          <w:lang w:eastAsia="en-US"/>
        </w:rPr>
      </w:pPr>
      <w:r>
        <w:rPr>
          <w:rFonts w:ascii="Times New Roman" w:eastAsiaTheme="minorHAnsi" w:hAnsi="Times New Roman" w:cs="Times New Roman"/>
          <w:sz w:val="24"/>
          <w:lang w:eastAsia="en-US"/>
        </w:rPr>
        <w:t>"</w:t>
      </w:r>
      <w:r w:rsidR="009645CA" w:rsidRPr="0039412E">
        <w:rPr>
          <w:rFonts w:ascii="Times New Roman" w:eastAsiaTheme="minorHAnsi" w:hAnsi="Times New Roman" w:cs="Times New Roman"/>
          <w:sz w:val="24"/>
          <w:lang w:eastAsia="en-US"/>
        </w:rPr>
        <w:t>Widen powers to supervise groups connected to insurance companies,</w:t>
      </w:r>
    </w:p>
    <w:p w:rsidR="009645CA" w:rsidRPr="0039412E" w:rsidRDefault="009645CA" w:rsidP="009645CA">
      <w:pPr>
        <w:autoSpaceDE w:val="0"/>
        <w:autoSpaceDN w:val="0"/>
        <w:bidi w:val="0"/>
        <w:adjustRightInd w:val="0"/>
        <w:jc w:val="left"/>
        <w:rPr>
          <w:rFonts w:ascii="Times New Roman" w:eastAsiaTheme="minorHAnsi" w:hAnsi="Times New Roman" w:cs="Times New Roman"/>
          <w:sz w:val="24"/>
          <w:lang w:eastAsia="en-US"/>
        </w:rPr>
      </w:pPr>
      <w:proofErr w:type="gramStart"/>
      <w:r w:rsidRPr="0039412E">
        <w:rPr>
          <w:rFonts w:ascii="Times New Roman" w:eastAsiaTheme="minorHAnsi" w:hAnsi="Times New Roman" w:cs="Times New Roman"/>
          <w:sz w:val="24"/>
          <w:lang w:eastAsia="en-US"/>
        </w:rPr>
        <w:t>and</w:t>
      </w:r>
      <w:proofErr w:type="gramEnd"/>
      <w:r w:rsidRPr="0039412E">
        <w:rPr>
          <w:rFonts w:ascii="Times New Roman" w:eastAsiaTheme="minorHAnsi" w:hAnsi="Times New Roman" w:cs="Times New Roman"/>
          <w:sz w:val="24"/>
          <w:lang w:eastAsia="en-US"/>
        </w:rPr>
        <w:t xml:space="preserve"> in particular related holding companies</w:t>
      </w:r>
      <w:r w:rsidR="00A00F7F">
        <w:rPr>
          <w:rFonts w:ascii="Times New Roman" w:eastAsiaTheme="minorHAnsi" w:hAnsi="Times New Roman" w:cs="Times New Roman"/>
          <w:sz w:val="24"/>
          <w:lang w:eastAsia="en-US"/>
        </w:rPr>
        <w:t>"</w:t>
      </w:r>
    </w:p>
    <w:p w:rsidR="009645CA" w:rsidRPr="0039412E" w:rsidRDefault="009645CA" w:rsidP="0039412E">
      <w:pPr>
        <w:autoSpaceDE w:val="0"/>
        <w:autoSpaceDN w:val="0"/>
        <w:bidi w:val="0"/>
        <w:adjustRightInd w:val="0"/>
        <w:jc w:val="left"/>
        <w:rPr>
          <w:rFonts w:ascii="Times New Roman" w:eastAsiaTheme="minorHAnsi" w:hAnsi="Times New Roman" w:cs="Times New Roman"/>
          <w:sz w:val="24"/>
          <w:lang w:eastAsia="en-US"/>
        </w:rPr>
      </w:pPr>
    </w:p>
    <w:p w:rsidR="00213284" w:rsidRDefault="00213284" w:rsidP="00C3464B">
      <w:pPr>
        <w:spacing w:line="300" w:lineRule="auto"/>
        <w:rPr>
          <w:sz w:val="24"/>
          <w:rtl/>
        </w:rPr>
      </w:pPr>
    </w:p>
    <w:p w:rsidR="00A573D6" w:rsidRPr="00A573D6" w:rsidRDefault="00A573D6" w:rsidP="008942F5">
      <w:pPr>
        <w:pStyle w:val="a7"/>
        <w:numPr>
          <w:ilvl w:val="2"/>
          <w:numId w:val="8"/>
        </w:numPr>
        <w:spacing w:line="300" w:lineRule="auto"/>
        <w:rPr>
          <w:b/>
          <w:bCs/>
          <w:rtl/>
        </w:rPr>
      </w:pPr>
      <w:r w:rsidRPr="00A573D6">
        <w:rPr>
          <w:rFonts w:hint="eastAsia"/>
          <w:b/>
          <w:bCs/>
          <w:rtl/>
        </w:rPr>
        <w:t>המלצות</w:t>
      </w:r>
      <w:r w:rsidRPr="00A573D6">
        <w:rPr>
          <w:b/>
          <w:bCs/>
          <w:rtl/>
        </w:rPr>
        <w:t xml:space="preserve"> </w:t>
      </w:r>
      <w:r w:rsidRPr="00A573D6">
        <w:rPr>
          <w:rFonts w:hint="eastAsia"/>
          <w:b/>
          <w:bCs/>
          <w:rtl/>
        </w:rPr>
        <w:t>קרן</w:t>
      </w:r>
      <w:r w:rsidRPr="00A573D6">
        <w:rPr>
          <w:b/>
          <w:bCs/>
          <w:rtl/>
        </w:rPr>
        <w:t xml:space="preserve"> </w:t>
      </w:r>
      <w:r w:rsidRPr="00A573D6">
        <w:rPr>
          <w:rFonts w:hint="eastAsia"/>
          <w:b/>
          <w:bCs/>
          <w:rtl/>
        </w:rPr>
        <w:t>המטבע</w:t>
      </w:r>
      <w:r w:rsidRPr="00A573D6">
        <w:rPr>
          <w:b/>
          <w:bCs/>
          <w:rtl/>
        </w:rPr>
        <w:t xml:space="preserve"> </w:t>
      </w:r>
      <w:r w:rsidRPr="00A573D6">
        <w:rPr>
          <w:rFonts w:hint="eastAsia"/>
          <w:b/>
          <w:bCs/>
          <w:rtl/>
        </w:rPr>
        <w:t>העולמית</w:t>
      </w:r>
      <w:r w:rsidRPr="00A573D6">
        <w:rPr>
          <w:b/>
          <w:bCs/>
          <w:rtl/>
        </w:rPr>
        <w:t xml:space="preserve"> (</w:t>
      </w:r>
      <w:r w:rsidRPr="00A573D6">
        <w:rPr>
          <w:b/>
          <w:bCs/>
        </w:rPr>
        <w:t>IMF</w:t>
      </w:r>
      <w:r w:rsidRPr="00A573D6">
        <w:rPr>
          <w:b/>
          <w:bCs/>
          <w:rtl/>
        </w:rPr>
        <w:t xml:space="preserve">)  </w:t>
      </w:r>
      <w:r w:rsidRPr="00A573D6">
        <w:rPr>
          <w:rFonts w:hint="eastAsia"/>
          <w:b/>
          <w:bCs/>
          <w:rtl/>
        </w:rPr>
        <w:t>במסגרת</w:t>
      </w:r>
      <w:r w:rsidRPr="00A573D6">
        <w:rPr>
          <w:b/>
          <w:bCs/>
          <w:rtl/>
        </w:rPr>
        <w:t xml:space="preserve"> </w:t>
      </w:r>
      <w:r w:rsidRPr="00A573D6">
        <w:rPr>
          <w:rFonts w:hint="eastAsia"/>
          <w:b/>
          <w:bCs/>
          <w:rtl/>
        </w:rPr>
        <w:t>תהליך</w:t>
      </w:r>
      <w:r w:rsidRPr="00A573D6">
        <w:rPr>
          <w:b/>
          <w:bCs/>
          <w:rtl/>
        </w:rPr>
        <w:t xml:space="preserve"> </w:t>
      </w:r>
      <w:r w:rsidRPr="00A573D6">
        <w:rPr>
          <w:rFonts w:hint="eastAsia"/>
          <w:b/>
          <w:bCs/>
          <w:rtl/>
        </w:rPr>
        <w:t>הערכה</w:t>
      </w:r>
      <w:r w:rsidRPr="00A573D6">
        <w:rPr>
          <w:b/>
          <w:bCs/>
          <w:rtl/>
        </w:rPr>
        <w:t xml:space="preserve"> </w:t>
      </w:r>
      <w:r w:rsidRPr="00A573D6">
        <w:rPr>
          <w:rFonts w:hint="eastAsia"/>
          <w:b/>
          <w:bCs/>
          <w:rtl/>
        </w:rPr>
        <w:t>משנת</w:t>
      </w:r>
      <w:r w:rsidRPr="00A573D6">
        <w:rPr>
          <w:b/>
          <w:bCs/>
          <w:rtl/>
        </w:rPr>
        <w:t xml:space="preserve"> (2012)</w:t>
      </w:r>
      <w:r w:rsidR="008942F5">
        <w:rPr>
          <w:rFonts w:hint="cs"/>
          <w:b/>
          <w:bCs/>
          <w:rtl/>
        </w:rPr>
        <w:t xml:space="preserve"> </w:t>
      </w:r>
      <w:r w:rsidR="008942F5">
        <w:rPr>
          <w:b/>
          <w:bCs/>
          <w:rtl/>
        </w:rPr>
        <w:t>–</w:t>
      </w:r>
      <w:r w:rsidR="008942F5">
        <w:rPr>
          <w:rFonts w:hint="cs"/>
          <w:b/>
          <w:bCs/>
          <w:rtl/>
        </w:rPr>
        <w:t xml:space="preserve"> דוח הבוחן את הלימות הרגולציה בישראל לעקרונות ה-</w:t>
      </w:r>
      <w:r w:rsidR="008942F5">
        <w:rPr>
          <w:b/>
          <w:bCs/>
        </w:rPr>
        <w:t>IAIS</w:t>
      </w:r>
      <w:r w:rsidRPr="00A573D6">
        <w:rPr>
          <w:b/>
          <w:bCs/>
          <w:rtl/>
        </w:rPr>
        <w:t xml:space="preserve">– </w:t>
      </w:r>
      <w:r w:rsidRPr="00A573D6">
        <w:rPr>
          <w:rFonts w:hint="eastAsia"/>
          <w:b/>
          <w:bCs/>
          <w:rtl/>
        </w:rPr>
        <w:t>ראו</w:t>
      </w:r>
      <w:r w:rsidRPr="00A573D6">
        <w:rPr>
          <w:b/>
          <w:bCs/>
          <w:rtl/>
        </w:rPr>
        <w:t xml:space="preserve"> </w:t>
      </w:r>
      <w:r w:rsidRPr="00A573D6">
        <w:rPr>
          <w:rFonts w:hint="eastAsia"/>
          <w:b/>
          <w:bCs/>
          <w:rtl/>
        </w:rPr>
        <w:t>סעיף</w:t>
      </w:r>
      <w:r w:rsidRPr="00A573D6">
        <w:rPr>
          <w:b/>
          <w:bCs/>
          <w:rtl/>
        </w:rPr>
        <w:t xml:space="preserve"> </w:t>
      </w:r>
      <w:r w:rsidR="00A00F7F">
        <w:rPr>
          <w:b/>
          <w:bCs/>
        </w:rPr>
        <w:t>14</w:t>
      </w:r>
      <w:r w:rsidRPr="00A573D6">
        <w:rPr>
          <w:b/>
          <w:bCs/>
          <w:rtl/>
        </w:rPr>
        <w:t xml:space="preserve"> </w:t>
      </w:r>
    </w:p>
    <w:p w:rsidR="00834C91" w:rsidRDefault="00551567" w:rsidP="00A00F7F">
      <w:pPr>
        <w:pStyle w:val="a7"/>
        <w:tabs>
          <w:tab w:val="center" w:pos="3093"/>
          <w:tab w:val="center" w:pos="7654"/>
        </w:tabs>
        <w:ind w:left="822"/>
      </w:pPr>
      <w:r w:rsidRPr="00B06795">
        <w:rPr>
          <w:rFonts w:hint="cs"/>
          <w:b/>
          <w:bCs/>
          <w:rtl/>
        </w:rPr>
        <w:t xml:space="preserve"> </w:t>
      </w:r>
      <w:r w:rsidR="00577FFC">
        <w:rPr>
          <w:rFonts w:hint="cs"/>
          <w:rtl/>
        </w:rPr>
        <w:t>(2012) (</w:t>
      </w:r>
      <w:r w:rsidR="00520C1B" w:rsidRPr="00D70031">
        <w:rPr>
          <w:rStyle w:val="Hyperlink"/>
        </w:rPr>
        <w:t>https://www.imf.org/external/pubs/ft/scr/2012/cr1284.pdf</w:t>
      </w:r>
      <w:r w:rsidR="00AE64FC" w:rsidRPr="00D70031">
        <w:t xml:space="preserve"> </w:t>
      </w:r>
      <w:r w:rsidR="00520C1B">
        <w:rPr>
          <w:rFonts w:hint="cs"/>
          <w:rtl/>
        </w:rPr>
        <w:t>)</w:t>
      </w:r>
    </w:p>
    <w:p w:rsidR="00520C1B" w:rsidRDefault="00520C1B" w:rsidP="00520C1B">
      <w:pPr>
        <w:tabs>
          <w:tab w:val="center" w:pos="3093"/>
          <w:tab w:val="center" w:pos="7654"/>
        </w:tabs>
        <w:rPr>
          <w:rtl/>
        </w:rPr>
      </w:pPr>
    </w:p>
    <w:p w:rsidR="00520C1B" w:rsidRDefault="00520C1B" w:rsidP="00520C1B">
      <w:pPr>
        <w:autoSpaceDE w:val="0"/>
        <w:autoSpaceDN w:val="0"/>
        <w:bidi w:val="0"/>
        <w:adjustRightInd w:val="0"/>
        <w:jc w:val="left"/>
        <w:rPr>
          <w:rFonts w:ascii="Times New Roman" w:eastAsiaTheme="minorHAnsi" w:hAnsi="Times New Roman" w:cs="Times New Roman"/>
          <w:sz w:val="24"/>
          <w:lang w:eastAsia="en-US"/>
        </w:rPr>
      </w:pPr>
      <w:r>
        <w:rPr>
          <w:rFonts w:ascii="Times New Roman" w:eastAsiaTheme="minorHAnsi" w:hAnsi="Times New Roman" w:cs="Times New Roman"/>
          <w:sz w:val="24"/>
          <w:lang w:eastAsia="en-US"/>
        </w:rPr>
        <w:t xml:space="preserve">14. </w:t>
      </w:r>
      <w:r>
        <w:rPr>
          <w:rFonts w:ascii="Times New Roman" w:eastAsiaTheme="minorHAnsi" w:hAnsi="Times New Roman" w:cs="Times New Roman"/>
          <w:b/>
          <w:bCs/>
          <w:sz w:val="24"/>
          <w:lang w:eastAsia="en-US"/>
        </w:rPr>
        <w:t xml:space="preserve">Current regulations provide insufficient tools to supervise groups effectively. </w:t>
      </w:r>
      <w:r>
        <w:rPr>
          <w:rFonts w:ascii="Times New Roman" w:eastAsiaTheme="minorHAnsi" w:hAnsi="Times New Roman" w:cs="Times New Roman"/>
          <w:sz w:val="24"/>
          <w:lang w:eastAsia="en-US"/>
        </w:rPr>
        <w:t>The</w:t>
      </w:r>
    </w:p>
    <w:p w:rsidR="00520C1B" w:rsidRDefault="00520C1B" w:rsidP="00520C1B">
      <w:pPr>
        <w:autoSpaceDE w:val="0"/>
        <w:autoSpaceDN w:val="0"/>
        <w:bidi w:val="0"/>
        <w:adjustRightInd w:val="0"/>
        <w:jc w:val="left"/>
        <w:rPr>
          <w:rFonts w:ascii="Times New Roman" w:eastAsiaTheme="minorHAnsi" w:hAnsi="Times New Roman" w:cs="Times New Roman"/>
          <w:sz w:val="24"/>
          <w:lang w:eastAsia="en-US"/>
        </w:rPr>
      </w:pPr>
      <w:proofErr w:type="gramStart"/>
      <w:r>
        <w:rPr>
          <w:rFonts w:ascii="Times New Roman" w:eastAsiaTheme="minorHAnsi" w:hAnsi="Times New Roman" w:cs="Times New Roman"/>
          <w:sz w:val="24"/>
          <w:lang w:eastAsia="en-US"/>
        </w:rPr>
        <w:t>importance</w:t>
      </w:r>
      <w:proofErr w:type="gramEnd"/>
      <w:r>
        <w:rPr>
          <w:rFonts w:ascii="Times New Roman" w:eastAsiaTheme="minorHAnsi" w:hAnsi="Times New Roman" w:cs="Times New Roman"/>
          <w:sz w:val="24"/>
          <w:lang w:eastAsia="en-US"/>
        </w:rPr>
        <w:t xml:space="preserve"> of groups in the Israeli financial sector is a </w:t>
      </w:r>
      <w:r w:rsidR="00B06795">
        <w:rPr>
          <w:rFonts w:ascii="Times New Roman" w:eastAsiaTheme="minorHAnsi" w:hAnsi="Times New Roman" w:cs="Times New Roman"/>
          <w:sz w:val="24"/>
          <w:lang w:eastAsia="en-US"/>
        </w:rPr>
        <w:t>well-known</w:t>
      </w:r>
      <w:r>
        <w:rPr>
          <w:rFonts w:ascii="Times New Roman" w:eastAsiaTheme="minorHAnsi" w:hAnsi="Times New Roman" w:cs="Times New Roman"/>
          <w:sz w:val="24"/>
          <w:lang w:eastAsia="en-US"/>
        </w:rPr>
        <w:t xml:space="preserve"> fact, as is the complex</w:t>
      </w:r>
    </w:p>
    <w:p w:rsidR="00520C1B" w:rsidRDefault="00520C1B" w:rsidP="00520C1B">
      <w:pPr>
        <w:autoSpaceDE w:val="0"/>
        <w:autoSpaceDN w:val="0"/>
        <w:bidi w:val="0"/>
        <w:adjustRightInd w:val="0"/>
        <w:jc w:val="left"/>
        <w:rPr>
          <w:rFonts w:ascii="Times New Roman" w:eastAsiaTheme="minorHAnsi" w:hAnsi="Times New Roman" w:cs="Times New Roman"/>
          <w:sz w:val="24"/>
          <w:lang w:eastAsia="en-US"/>
        </w:rPr>
      </w:pPr>
      <w:proofErr w:type="gramStart"/>
      <w:r>
        <w:rPr>
          <w:rFonts w:ascii="Times New Roman" w:eastAsiaTheme="minorHAnsi" w:hAnsi="Times New Roman" w:cs="Times New Roman"/>
          <w:sz w:val="24"/>
          <w:lang w:eastAsia="en-US"/>
        </w:rPr>
        <w:t>structure</w:t>
      </w:r>
      <w:proofErr w:type="gramEnd"/>
      <w:r>
        <w:rPr>
          <w:rFonts w:ascii="Times New Roman" w:eastAsiaTheme="minorHAnsi" w:hAnsi="Times New Roman" w:cs="Times New Roman"/>
          <w:sz w:val="24"/>
          <w:lang w:eastAsia="en-US"/>
        </w:rPr>
        <w:t xml:space="preserve"> of some of the larger groups. At present, the CMISD does not have formal policies with</w:t>
      </w:r>
    </w:p>
    <w:p w:rsidR="00520C1B" w:rsidRDefault="00520C1B" w:rsidP="00520C1B">
      <w:pPr>
        <w:autoSpaceDE w:val="0"/>
        <w:autoSpaceDN w:val="0"/>
        <w:bidi w:val="0"/>
        <w:adjustRightInd w:val="0"/>
        <w:jc w:val="left"/>
        <w:rPr>
          <w:rFonts w:ascii="Times New Roman" w:eastAsiaTheme="minorHAnsi" w:hAnsi="Times New Roman" w:cs="Times New Roman"/>
          <w:sz w:val="24"/>
          <w:lang w:eastAsia="en-US"/>
        </w:rPr>
      </w:pPr>
      <w:proofErr w:type="gramStart"/>
      <w:r>
        <w:rPr>
          <w:rFonts w:ascii="Times New Roman" w:eastAsiaTheme="minorHAnsi" w:hAnsi="Times New Roman" w:cs="Times New Roman"/>
          <w:sz w:val="24"/>
          <w:lang w:eastAsia="en-US"/>
        </w:rPr>
        <w:t>regard</w:t>
      </w:r>
      <w:proofErr w:type="gramEnd"/>
      <w:r>
        <w:rPr>
          <w:rFonts w:ascii="Times New Roman" w:eastAsiaTheme="minorHAnsi" w:hAnsi="Times New Roman" w:cs="Times New Roman"/>
          <w:sz w:val="24"/>
          <w:lang w:eastAsia="en-US"/>
        </w:rPr>
        <w:t xml:space="preserve"> to group capital adequacy, reinsurance and risk concentration, internal control</w:t>
      </w:r>
    </w:p>
    <w:p w:rsidR="00520C1B" w:rsidRDefault="00520C1B" w:rsidP="00520C1B">
      <w:pPr>
        <w:autoSpaceDE w:val="0"/>
        <w:autoSpaceDN w:val="0"/>
        <w:bidi w:val="0"/>
        <w:adjustRightInd w:val="0"/>
        <w:jc w:val="left"/>
        <w:rPr>
          <w:rFonts w:ascii="Times New Roman" w:eastAsiaTheme="minorHAnsi" w:hAnsi="Times New Roman" w:cs="Times New Roman"/>
          <w:sz w:val="24"/>
          <w:lang w:eastAsia="en-US"/>
        </w:rPr>
      </w:pPr>
      <w:proofErr w:type="gramStart"/>
      <w:r>
        <w:rPr>
          <w:rFonts w:ascii="Times New Roman" w:eastAsiaTheme="minorHAnsi" w:hAnsi="Times New Roman" w:cs="Times New Roman"/>
          <w:sz w:val="24"/>
          <w:lang w:eastAsia="en-US"/>
        </w:rPr>
        <w:t>mechanisms</w:t>
      </w:r>
      <w:proofErr w:type="gramEnd"/>
      <w:r>
        <w:rPr>
          <w:rFonts w:ascii="Times New Roman" w:eastAsiaTheme="minorHAnsi" w:hAnsi="Times New Roman" w:cs="Times New Roman"/>
          <w:sz w:val="24"/>
          <w:lang w:eastAsia="en-US"/>
        </w:rPr>
        <w:t xml:space="preserve"> and risk management systems, nor are there specific requirements for group wide</w:t>
      </w:r>
    </w:p>
    <w:p w:rsidR="00520C1B" w:rsidRDefault="00520C1B" w:rsidP="00520C1B">
      <w:pPr>
        <w:autoSpaceDE w:val="0"/>
        <w:autoSpaceDN w:val="0"/>
        <w:bidi w:val="0"/>
        <w:adjustRightInd w:val="0"/>
        <w:jc w:val="left"/>
        <w:rPr>
          <w:rFonts w:ascii="Times New Roman" w:eastAsiaTheme="minorHAnsi" w:hAnsi="Times New Roman" w:cs="Times New Roman"/>
          <w:sz w:val="24"/>
          <w:lang w:eastAsia="en-US"/>
        </w:rPr>
      </w:pPr>
      <w:proofErr w:type="gramStart"/>
      <w:r>
        <w:rPr>
          <w:rFonts w:ascii="Times New Roman" w:eastAsiaTheme="minorHAnsi" w:hAnsi="Times New Roman" w:cs="Times New Roman"/>
          <w:sz w:val="24"/>
          <w:lang w:eastAsia="en-US"/>
        </w:rPr>
        <w:t>reporting</w:t>
      </w:r>
      <w:proofErr w:type="gramEnd"/>
      <w:r>
        <w:rPr>
          <w:rFonts w:ascii="Times New Roman" w:eastAsiaTheme="minorHAnsi" w:hAnsi="Times New Roman" w:cs="Times New Roman"/>
          <w:sz w:val="24"/>
          <w:lang w:eastAsia="en-US"/>
        </w:rPr>
        <w:t>. Work is already underway to strengthen this aspect of the insurance supervisory</w:t>
      </w:r>
    </w:p>
    <w:p w:rsidR="00520C1B" w:rsidRDefault="00520C1B" w:rsidP="00520C1B">
      <w:pPr>
        <w:autoSpaceDE w:val="0"/>
        <w:autoSpaceDN w:val="0"/>
        <w:bidi w:val="0"/>
        <w:adjustRightInd w:val="0"/>
        <w:jc w:val="left"/>
        <w:rPr>
          <w:rFonts w:ascii="Times New Roman" w:eastAsiaTheme="minorHAnsi" w:hAnsi="Times New Roman" w:cs="Times New Roman"/>
          <w:sz w:val="24"/>
          <w:lang w:eastAsia="en-US"/>
        </w:rPr>
      </w:pPr>
      <w:proofErr w:type="gramStart"/>
      <w:r>
        <w:rPr>
          <w:rFonts w:ascii="Times New Roman" w:eastAsiaTheme="minorHAnsi" w:hAnsi="Times New Roman" w:cs="Times New Roman"/>
          <w:sz w:val="24"/>
          <w:lang w:eastAsia="en-US"/>
        </w:rPr>
        <w:t>system</w:t>
      </w:r>
      <w:proofErr w:type="gramEnd"/>
      <w:r>
        <w:rPr>
          <w:rFonts w:ascii="Times New Roman" w:eastAsiaTheme="minorHAnsi" w:hAnsi="Times New Roman" w:cs="Times New Roman"/>
          <w:sz w:val="24"/>
          <w:lang w:eastAsia="en-US"/>
        </w:rPr>
        <w:t xml:space="preserve"> but we recommend that high priority be given to continuing these efforts. This will help</w:t>
      </w:r>
    </w:p>
    <w:p w:rsidR="00520C1B" w:rsidRDefault="00520C1B" w:rsidP="00520C1B">
      <w:pPr>
        <w:autoSpaceDE w:val="0"/>
        <w:autoSpaceDN w:val="0"/>
        <w:bidi w:val="0"/>
        <w:adjustRightInd w:val="0"/>
        <w:jc w:val="left"/>
        <w:rPr>
          <w:rFonts w:ascii="Times New Roman" w:eastAsiaTheme="minorHAnsi" w:hAnsi="Times New Roman" w:cs="Times New Roman"/>
          <w:sz w:val="24"/>
          <w:lang w:eastAsia="en-US"/>
        </w:rPr>
      </w:pPr>
      <w:proofErr w:type="gramStart"/>
      <w:r>
        <w:rPr>
          <w:rFonts w:ascii="Times New Roman" w:eastAsiaTheme="minorHAnsi" w:hAnsi="Times New Roman" w:cs="Times New Roman"/>
          <w:sz w:val="24"/>
          <w:lang w:eastAsia="en-US"/>
        </w:rPr>
        <w:t>to</w:t>
      </w:r>
      <w:proofErr w:type="gramEnd"/>
      <w:r>
        <w:rPr>
          <w:rFonts w:ascii="Times New Roman" w:eastAsiaTheme="minorHAnsi" w:hAnsi="Times New Roman" w:cs="Times New Roman"/>
          <w:sz w:val="24"/>
          <w:lang w:eastAsia="en-US"/>
        </w:rPr>
        <w:t xml:space="preserve"> ensure that the supervisor is in a position to know with a high degree of certainty how risks</w:t>
      </w:r>
    </w:p>
    <w:p w:rsidR="00520C1B" w:rsidRDefault="00520C1B" w:rsidP="00520C1B">
      <w:pPr>
        <w:autoSpaceDE w:val="0"/>
        <w:autoSpaceDN w:val="0"/>
        <w:bidi w:val="0"/>
        <w:adjustRightInd w:val="0"/>
        <w:jc w:val="left"/>
        <w:rPr>
          <w:rFonts w:ascii="Times New Roman" w:eastAsiaTheme="minorHAnsi" w:hAnsi="Times New Roman" w:cs="Times New Roman"/>
          <w:sz w:val="24"/>
          <w:lang w:eastAsia="en-US"/>
        </w:rPr>
      </w:pPr>
      <w:proofErr w:type="gramStart"/>
      <w:r>
        <w:rPr>
          <w:rFonts w:ascii="Times New Roman" w:eastAsiaTheme="minorHAnsi" w:hAnsi="Times New Roman" w:cs="Times New Roman"/>
          <w:sz w:val="24"/>
          <w:lang w:eastAsia="en-US"/>
        </w:rPr>
        <w:t>may</w:t>
      </w:r>
      <w:proofErr w:type="gramEnd"/>
      <w:r>
        <w:rPr>
          <w:rFonts w:ascii="Times New Roman" w:eastAsiaTheme="minorHAnsi" w:hAnsi="Times New Roman" w:cs="Times New Roman"/>
          <w:sz w:val="24"/>
          <w:lang w:eastAsia="en-US"/>
        </w:rPr>
        <w:t xml:space="preserve"> be developing throughout the ownership groups that include Israeli insurers. The law should</w:t>
      </w:r>
    </w:p>
    <w:p w:rsidR="00520C1B" w:rsidRDefault="00520C1B" w:rsidP="00520C1B">
      <w:pPr>
        <w:autoSpaceDE w:val="0"/>
        <w:autoSpaceDN w:val="0"/>
        <w:bidi w:val="0"/>
        <w:adjustRightInd w:val="0"/>
        <w:jc w:val="left"/>
        <w:rPr>
          <w:rFonts w:ascii="Times New Roman" w:eastAsiaTheme="minorHAnsi" w:hAnsi="Times New Roman" w:cs="Times New Roman"/>
          <w:sz w:val="24"/>
          <w:lang w:eastAsia="en-US"/>
        </w:rPr>
      </w:pPr>
      <w:proofErr w:type="gramStart"/>
      <w:r>
        <w:rPr>
          <w:rFonts w:ascii="Times New Roman" w:eastAsiaTheme="minorHAnsi" w:hAnsi="Times New Roman" w:cs="Times New Roman"/>
          <w:sz w:val="24"/>
          <w:lang w:eastAsia="en-US"/>
        </w:rPr>
        <w:t>be</w:t>
      </w:r>
      <w:proofErr w:type="gramEnd"/>
      <w:r>
        <w:rPr>
          <w:rFonts w:ascii="Times New Roman" w:eastAsiaTheme="minorHAnsi" w:hAnsi="Times New Roman" w:cs="Times New Roman"/>
          <w:sz w:val="24"/>
          <w:lang w:eastAsia="en-US"/>
        </w:rPr>
        <w:t xml:space="preserve"> amended to provide CMISD with greater authority to access the holding companies and</w:t>
      </w:r>
    </w:p>
    <w:p w:rsidR="00520C1B" w:rsidRDefault="00520C1B" w:rsidP="00520C1B">
      <w:pPr>
        <w:tabs>
          <w:tab w:val="center" w:pos="3093"/>
          <w:tab w:val="center" w:pos="7654"/>
        </w:tabs>
      </w:pPr>
      <w:proofErr w:type="gramStart"/>
      <w:r>
        <w:rPr>
          <w:rFonts w:ascii="Times New Roman" w:eastAsiaTheme="minorHAnsi" w:hAnsi="Times New Roman" w:cs="Times New Roman"/>
          <w:sz w:val="24"/>
          <w:lang w:eastAsia="en-US"/>
        </w:rPr>
        <w:t>generally</w:t>
      </w:r>
      <w:proofErr w:type="gramEnd"/>
      <w:r>
        <w:rPr>
          <w:rFonts w:ascii="Times New Roman" w:eastAsiaTheme="minorHAnsi" w:hAnsi="Times New Roman" w:cs="Times New Roman"/>
          <w:sz w:val="24"/>
          <w:lang w:eastAsia="en-US"/>
        </w:rPr>
        <w:t xml:space="preserve"> to more closely adhere to international standards relating to group-wide supervision</w:t>
      </w:r>
    </w:p>
    <w:p w:rsidR="0039412E" w:rsidRPr="00AE64FC" w:rsidRDefault="0039412E" w:rsidP="00551567">
      <w:pPr>
        <w:pStyle w:val="a7"/>
        <w:tabs>
          <w:tab w:val="center" w:pos="3093"/>
          <w:tab w:val="center" w:pos="7654"/>
        </w:tabs>
        <w:ind w:left="822"/>
        <w:jc w:val="left"/>
        <w:rPr>
          <w:rtl/>
        </w:rPr>
      </w:pPr>
    </w:p>
    <w:tbl>
      <w:tblPr>
        <w:tblW w:w="9333" w:type="dxa"/>
        <w:tblInd w:w="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6" w:type="dxa"/>
          <w:right w:w="58" w:type="dxa"/>
        </w:tblCellMar>
        <w:tblLook w:val="01E0" w:firstRow="1" w:lastRow="1" w:firstColumn="1" w:lastColumn="1" w:noHBand="0" w:noVBand="0"/>
      </w:tblPr>
      <w:tblGrid>
        <w:gridCol w:w="1748"/>
        <w:gridCol w:w="990"/>
        <w:gridCol w:w="6595"/>
      </w:tblGrid>
      <w:tr w:rsidR="0039412E" w:rsidRPr="0039412E" w:rsidTr="002123CA">
        <w:trPr>
          <w:trHeight w:val="24"/>
        </w:trPr>
        <w:tc>
          <w:tcPr>
            <w:tcW w:w="1748" w:type="dxa"/>
          </w:tcPr>
          <w:p w:rsidR="0039412E" w:rsidRPr="0039412E" w:rsidRDefault="0039412E" w:rsidP="0039412E">
            <w:pPr>
              <w:tabs>
                <w:tab w:val="left" w:pos="452"/>
              </w:tabs>
              <w:bidi w:val="0"/>
              <w:spacing w:after="240" w:line="264" w:lineRule="auto"/>
              <w:ind w:left="193" w:hanging="180"/>
              <w:jc w:val="left"/>
              <w:rPr>
                <w:rFonts w:ascii="Times New Roman" w:eastAsia="SimSun" w:hAnsi="Times New Roman" w:cs="Times New Roman"/>
                <w:bCs/>
                <w:color w:val="000000"/>
                <w:sz w:val="24"/>
                <w:lang w:val="en-SG" w:eastAsia="zh-CN" w:bidi="ar-SA"/>
              </w:rPr>
            </w:pPr>
            <w:r w:rsidRPr="0039412E">
              <w:rPr>
                <w:rFonts w:ascii="Times New Roman" w:eastAsia="SimSun" w:hAnsi="Times New Roman" w:cs="Times New Roman"/>
                <w:bCs/>
                <w:color w:val="000000"/>
                <w:sz w:val="22"/>
                <w:szCs w:val="22"/>
                <w:lang w:val="en-SG" w:eastAsia="zh-CN" w:bidi="ar-SA"/>
              </w:rPr>
              <w:t>17 Group-wide supervision</w:t>
            </w:r>
          </w:p>
        </w:tc>
        <w:tc>
          <w:tcPr>
            <w:tcW w:w="990" w:type="dxa"/>
          </w:tcPr>
          <w:p w:rsidR="0039412E" w:rsidRPr="0039412E" w:rsidRDefault="0039412E" w:rsidP="0039412E">
            <w:pPr>
              <w:bidi w:val="0"/>
              <w:spacing w:after="240" w:line="264" w:lineRule="auto"/>
              <w:jc w:val="center"/>
              <w:rPr>
                <w:rFonts w:ascii="Times New Roman" w:hAnsi="Times New Roman" w:cs="Times New Roman"/>
                <w:sz w:val="24"/>
                <w:lang w:eastAsia="en-US" w:bidi="ar-SA"/>
              </w:rPr>
            </w:pPr>
            <w:r w:rsidRPr="0039412E">
              <w:rPr>
                <w:rFonts w:ascii="Times New Roman" w:hAnsi="Times New Roman" w:cs="Times New Roman"/>
                <w:sz w:val="22"/>
                <w:szCs w:val="22"/>
                <w:lang w:eastAsia="en-US" w:bidi="ar-SA"/>
              </w:rPr>
              <w:br/>
              <w:t>PO</w:t>
            </w:r>
          </w:p>
        </w:tc>
        <w:tc>
          <w:tcPr>
            <w:tcW w:w="6595" w:type="dxa"/>
          </w:tcPr>
          <w:p w:rsidR="0039412E" w:rsidRPr="0039412E" w:rsidRDefault="0039412E" w:rsidP="0039412E">
            <w:pPr>
              <w:bidi w:val="0"/>
              <w:spacing w:after="240" w:line="264" w:lineRule="auto"/>
              <w:jc w:val="left"/>
              <w:rPr>
                <w:rFonts w:ascii="Times New Roman" w:hAnsi="Times New Roman" w:cs="Times New Roman"/>
                <w:sz w:val="24"/>
                <w:lang w:val="en-CA" w:eastAsia="en-US" w:bidi="ar-SA"/>
              </w:rPr>
            </w:pPr>
            <w:r w:rsidRPr="0039412E">
              <w:rPr>
                <w:rFonts w:ascii="Times New Roman" w:hAnsi="Times New Roman" w:cs="Times New Roman"/>
                <w:sz w:val="22"/>
                <w:szCs w:val="22"/>
                <w:lang w:val="en-CA" w:eastAsia="en-US" w:bidi="ar-SA"/>
              </w:rPr>
              <w:t>There are reasonable arguments why group wide supervision may be of less significance in Israel than is the case in many other markets. Nevertheless, one cannot know with any certainty that the issue of group interconnectedness will not suddenly become important in a particular case. At present there are a number of the Essential Criteria that are not satisfied with regard to this ICP. It appears that the situation will be rectified in the relatively near future as new laws and regulations are put in place to facilitate the Solvency II regime. However, there should be some level of supervisory authority with regard to holding companies, at least to the extent of providing CMISD with detailed financial and ownership information.</w:t>
            </w:r>
          </w:p>
          <w:p w:rsidR="0039412E" w:rsidRPr="0039412E" w:rsidRDefault="0039412E" w:rsidP="0039412E">
            <w:pPr>
              <w:bidi w:val="0"/>
              <w:spacing w:after="240" w:line="264" w:lineRule="auto"/>
              <w:jc w:val="left"/>
              <w:rPr>
                <w:rFonts w:ascii="Times New Roman" w:hAnsi="Times New Roman" w:cs="Times New Roman"/>
                <w:sz w:val="24"/>
                <w:lang w:eastAsia="en-US" w:bidi="ar-SA"/>
              </w:rPr>
            </w:pPr>
            <w:r w:rsidRPr="0039412E">
              <w:rPr>
                <w:rFonts w:ascii="Times New Roman" w:hAnsi="Times New Roman" w:cs="Times New Roman"/>
                <w:sz w:val="22"/>
                <w:szCs w:val="22"/>
                <w:lang w:val="en-CA" w:eastAsia="en-US" w:bidi="ar-SA"/>
              </w:rPr>
              <w:t>It is suggested that in the future, CMISD require each of its supervised institutions to file a complete organizational chart for the group, showing every entity controlled by the institution’s controlling shareholder, including both direct and indirect interests. This should form a part of the information that is sworn to by the company’s signing officers in the affidavit that accompanies the filing. The receipt of this annual document would provide CMISD with an authoritative source for all corporate inter-relationships and would help it to more effectively pursue the principles of group-wide supervision.</w:t>
            </w:r>
          </w:p>
        </w:tc>
      </w:tr>
    </w:tbl>
    <w:p w:rsidR="0039412E" w:rsidRPr="0039412E" w:rsidRDefault="0039412E" w:rsidP="00344163">
      <w:pPr>
        <w:tabs>
          <w:tab w:val="center" w:pos="3093"/>
          <w:tab w:val="center" w:pos="7654"/>
        </w:tabs>
        <w:spacing w:line="360" w:lineRule="auto"/>
        <w:jc w:val="left"/>
        <w:rPr>
          <w:sz w:val="24"/>
          <w:rtl/>
        </w:rPr>
      </w:pPr>
    </w:p>
    <w:p w:rsidR="008942F5" w:rsidRDefault="008942F5" w:rsidP="008942F5">
      <w:pPr>
        <w:pStyle w:val="a7"/>
        <w:numPr>
          <w:ilvl w:val="1"/>
          <w:numId w:val="8"/>
        </w:numPr>
        <w:tabs>
          <w:tab w:val="center" w:pos="3093"/>
          <w:tab w:val="center" w:pos="7654"/>
        </w:tabs>
        <w:rPr>
          <w:b/>
          <w:bCs/>
        </w:rPr>
      </w:pPr>
      <w:r>
        <w:rPr>
          <w:rFonts w:hint="cs"/>
          <w:b/>
          <w:bCs/>
          <w:rtl/>
        </w:rPr>
        <w:t>עקרונות ארגון המפקחים הבינלאומי (</w:t>
      </w:r>
      <w:r>
        <w:rPr>
          <w:b/>
          <w:bCs/>
        </w:rPr>
        <w:t>IAIS</w:t>
      </w:r>
      <w:r>
        <w:rPr>
          <w:rFonts w:hint="cs"/>
          <w:b/>
          <w:bCs/>
          <w:rtl/>
        </w:rPr>
        <w:t>) לעניין פיקוח על קבוצות</w:t>
      </w:r>
      <w:r w:rsidR="00520C1B">
        <w:rPr>
          <w:rFonts w:hint="cs"/>
          <w:b/>
          <w:bCs/>
          <w:rtl/>
        </w:rPr>
        <w:t xml:space="preserve"> </w:t>
      </w:r>
      <w:r>
        <w:rPr>
          <w:rFonts w:hint="cs"/>
          <w:b/>
          <w:bCs/>
          <w:rtl/>
        </w:rPr>
        <w:t>23</w:t>
      </w:r>
      <w:r w:rsidR="00520C1B">
        <w:rPr>
          <w:b/>
          <w:bCs/>
        </w:rPr>
        <w:t xml:space="preserve">ICP </w:t>
      </w:r>
    </w:p>
    <w:p w:rsidR="008942F5" w:rsidRDefault="008942F5" w:rsidP="008942F5">
      <w:pPr>
        <w:pStyle w:val="a7"/>
        <w:tabs>
          <w:tab w:val="center" w:pos="3093"/>
          <w:tab w:val="center" w:pos="7654"/>
        </w:tabs>
        <w:ind w:left="822"/>
        <w:rPr>
          <w:b/>
          <w:bCs/>
          <w:rtl/>
        </w:rPr>
      </w:pPr>
    </w:p>
    <w:p w:rsidR="0039412E" w:rsidRDefault="00520C1B" w:rsidP="008942F5">
      <w:pPr>
        <w:pStyle w:val="a7"/>
        <w:tabs>
          <w:tab w:val="center" w:pos="3093"/>
          <w:tab w:val="center" w:pos="7654"/>
        </w:tabs>
        <w:ind w:left="822"/>
        <w:rPr>
          <w:b/>
          <w:bCs/>
        </w:rPr>
      </w:pPr>
      <w:r>
        <w:rPr>
          <w:rFonts w:hint="cs"/>
          <w:b/>
          <w:bCs/>
          <w:rtl/>
        </w:rPr>
        <w:t xml:space="preserve"> </w:t>
      </w:r>
      <w:r>
        <w:rPr>
          <w:b/>
          <w:bCs/>
        </w:rPr>
        <w:t xml:space="preserve"> </w:t>
      </w:r>
      <w:r>
        <w:rPr>
          <w:rFonts w:hint="cs"/>
          <w:b/>
          <w:bCs/>
          <w:rtl/>
        </w:rPr>
        <w:t xml:space="preserve">  </w:t>
      </w:r>
      <w:hyperlink r:id="rId11" w:history="1">
        <w:r w:rsidRPr="00D70031">
          <w:rPr>
            <w:rStyle w:val="Hyperlink"/>
          </w:rPr>
          <w:t>http://www.iaisweb.org/page/supervisory-material/icp-on-line-tool</w:t>
        </w:r>
      </w:hyperlink>
    </w:p>
    <w:p w:rsidR="00520C1B" w:rsidRPr="00520C1B" w:rsidRDefault="00520C1B" w:rsidP="00520C1B">
      <w:pPr>
        <w:pStyle w:val="a7"/>
        <w:numPr>
          <w:ilvl w:val="1"/>
          <w:numId w:val="8"/>
        </w:numPr>
        <w:tabs>
          <w:tab w:val="center" w:pos="3093"/>
          <w:tab w:val="center" w:pos="7654"/>
        </w:tabs>
        <w:rPr>
          <w:b/>
          <w:bCs/>
          <w:rtl/>
        </w:rPr>
      </w:pPr>
      <w:r>
        <w:rPr>
          <w:rFonts w:hint="cs"/>
          <w:b/>
          <w:bCs/>
          <w:rtl/>
        </w:rPr>
        <w:t xml:space="preserve">החוק האנגלי - </w:t>
      </w:r>
      <w:hyperlink r:id="rId12" w:history="1">
        <w:r w:rsidRPr="00520C1B">
          <w:rPr>
            <w:rFonts w:ascii="Arial Narrow" w:eastAsia="Times New Roman" w:hAnsi="Arial Narrow"/>
            <w:color w:val="0000FF"/>
            <w:sz w:val="26"/>
            <w:u w:val="single"/>
            <w:lang w:eastAsia="he-IL"/>
          </w:rPr>
          <w:t>http://www.legislation.gov.uk/ukpga/2012/21/pdfs/ukpga_20120021_en.pdf</w:t>
        </w:r>
      </w:hyperlink>
    </w:p>
    <w:p w:rsidR="00B06795" w:rsidRDefault="00B06795" w:rsidP="00720644">
      <w:pPr>
        <w:spacing w:line="360" w:lineRule="auto"/>
        <w:ind w:left="822"/>
        <w:rPr>
          <w:sz w:val="24"/>
          <w:rtl/>
        </w:rPr>
      </w:pPr>
      <w:r>
        <w:rPr>
          <w:rFonts w:hint="cs"/>
          <w:sz w:val="24"/>
          <w:rtl/>
        </w:rPr>
        <w:t xml:space="preserve">סעיף 27 בחוק </w:t>
      </w:r>
      <w:r>
        <w:rPr>
          <w:sz w:val="24"/>
        </w:rPr>
        <w:t>Financial Services</w:t>
      </w:r>
      <w:r>
        <w:rPr>
          <w:rFonts w:hint="cs"/>
          <w:sz w:val="24"/>
          <w:rtl/>
        </w:rPr>
        <w:t xml:space="preserve"> משנת 2012 מעניק </w:t>
      </w:r>
      <w:r w:rsidR="00414680">
        <w:rPr>
          <w:rFonts w:hint="cs"/>
          <w:sz w:val="24"/>
          <w:rtl/>
        </w:rPr>
        <w:t>לרשות הפיקוח</w:t>
      </w:r>
      <w:r>
        <w:rPr>
          <w:rFonts w:hint="cs"/>
          <w:sz w:val="24"/>
          <w:rtl/>
        </w:rPr>
        <w:t xml:space="preserve"> סמכויות פיקוח על חברות החזקה של מבטח. </w:t>
      </w:r>
      <w:r w:rsidR="00414680">
        <w:rPr>
          <w:rFonts w:hint="cs"/>
          <w:sz w:val="24"/>
          <w:rtl/>
        </w:rPr>
        <w:t xml:space="preserve">רשות הפיקוח </w:t>
      </w:r>
      <w:r>
        <w:rPr>
          <w:rFonts w:hint="cs"/>
          <w:sz w:val="24"/>
          <w:rtl/>
        </w:rPr>
        <w:t>רשאי</w:t>
      </w:r>
      <w:r w:rsidR="00414680">
        <w:rPr>
          <w:rFonts w:hint="cs"/>
          <w:sz w:val="24"/>
          <w:rtl/>
        </w:rPr>
        <w:t>ת</w:t>
      </w:r>
      <w:r>
        <w:rPr>
          <w:rFonts w:hint="cs"/>
          <w:sz w:val="24"/>
          <w:rtl/>
        </w:rPr>
        <w:t xml:space="preserve"> להורות לחברת אם של מבטח לפעול באופן מסוים, בהתקיים אחד מהתנאים הבאים:</w:t>
      </w:r>
    </w:p>
    <w:p w:rsidR="00B06795" w:rsidRDefault="00B06795" w:rsidP="00720644">
      <w:pPr>
        <w:pStyle w:val="a7"/>
        <w:numPr>
          <w:ilvl w:val="0"/>
          <w:numId w:val="10"/>
        </w:numPr>
        <w:ind w:left="1542"/>
      </w:pPr>
      <w:r>
        <w:rPr>
          <w:rFonts w:hint="cs"/>
          <w:rtl/>
        </w:rPr>
        <w:t>אם</w:t>
      </w:r>
      <w:r w:rsidRPr="004A6AFF">
        <w:rPr>
          <w:rFonts w:hint="cs"/>
          <w:rtl/>
        </w:rPr>
        <w:t xml:space="preserve"> ההוראה נועדה לקדם </w:t>
      </w:r>
      <w:r w:rsidR="00414680">
        <w:rPr>
          <w:rFonts w:hint="cs"/>
          <w:rtl/>
        </w:rPr>
        <w:t xml:space="preserve">את </w:t>
      </w:r>
      <w:r w:rsidRPr="004A6AFF">
        <w:rPr>
          <w:rFonts w:hint="cs"/>
          <w:rtl/>
        </w:rPr>
        <w:t>יעד</w:t>
      </w:r>
      <w:r w:rsidR="00414680">
        <w:rPr>
          <w:rFonts w:hint="cs"/>
          <w:rtl/>
        </w:rPr>
        <w:t xml:space="preserve">יה. </w:t>
      </w:r>
      <w:r w:rsidRPr="004A6AFF">
        <w:rPr>
          <w:rFonts w:hint="cs"/>
          <w:rtl/>
        </w:rPr>
        <w:t xml:space="preserve"> </w:t>
      </w:r>
      <w:r w:rsidR="00414680">
        <w:rPr>
          <w:rFonts w:hint="cs"/>
          <w:rtl/>
        </w:rPr>
        <w:t xml:space="preserve"> </w:t>
      </w:r>
    </w:p>
    <w:p w:rsidR="00B06795" w:rsidRDefault="00B06795" w:rsidP="00720644">
      <w:pPr>
        <w:pStyle w:val="a7"/>
        <w:numPr>
          <w:ilvl w:val="0"/>
          <w:numId w:val="10"/>
        </w:numPr>
        <w:ind w:left="1542"/>
      </w:pPr>
      <w:r>
        <w:rPr>
          <w:rFonts w:hint="cs"/>
          <w:rtl/>
        </w:rPr>
        <w:lastRenderedPageBreak/>
        <w:t xml:space="preserve">אם </w:t>
      </w:r>
      <w:r w:rsidR="00414680">
        <w:rPr>
          <w:rFonts w:hint="cs"/>
          <w:rtl/>
        </w:rPr>
        <w:t>הרשות</w:t>
      </w:r>
      <w:r>
        <w:rPr>
          <w:rFonts w:hint="cs"/>
          <w:rtl/>
        </w:rPr>
        <w:t xml:space="preserve"> סבור</w:t>
      </w:r>
      <w:r w:rsidR="00414680">
        <w:rPr>
          <w:rFonts w:hint="cs"/>
          <w:rtl/>
        </w:rPr>
        <w:t>ה</w:t>
      </w:r>
      <w:r>
        <w:rPr>
          <w:rFonts w:hint="cs"/>
          <w:rtl/>
        </w:rPr>
        <w:t xml:space="preserve"> שההוראה רצויה לצורך אפקטיביות הפיקוח המאוחד של הקבוצה.</w:t>
      </w:r>
    </w:p>
    <w:p w:rsidR="00B06795" w:rsidRDefault="00414680" w:rsidP="00414680">
      <w:pPr>
        <w:spacing w:line="360" w:lineRule="auto"/>
        <w:rPr>
          <w:sz w:val="24"/>
          <w:rtl/>
        </w:rPr>
      </w:pPr>
      <w:r>
        <w:rPr>
          <w:rFonts w:hint="cs"/>
          <w:sz w:val="24"/>
          <w:rtl/>
        </w:rPr>
        <w:t>לרשות</w:t>
      </w:r>
      <w:r w:rsidR="00B06795" w:rsidRPr="004A6AFF">
        <w:rPr>
          <w:rFonts w:hint="cs"/>
          <w:sz w:val="24"/>
          <w:rtl/>
        </w:rPr>
        <w:t xml:space="preserve">, יש את הסמכות להטיל </w:t>
      </w:r>
      <w:r w:rsidR="00B06795">
        <w:rPr>
          <w:rFonts w:hint="cs"/>
          <w:sz w:val="24"/>
          <w:rtl/>
        </w:rPr>
        <w:t>עונש (</w:t>
      </w:r>
      <w:r w:rsidR="00B06795">
        <w:rPr>
          <w:sz w:val="24"/>
        </w:rPr>
        <w:t>Impose Penalty</w:t>
      </w:r>
      <w:r w:rsidR="00B06795">
        <w:rPr>
          <w:rFonts w:hint="cs"/>
          <w:sz w:val="24"/>
          <w:rtl/>
        </w:rPr>
        <w:t>)</w:t>
      </w:r>
      <w:r w:rsidR="00B06795" w:rsidRPr="004A6AFF">
        <w:rPr>
          <w:rFonts w:hint="cs"/>
          <w:sz w:val="24"/>
          <w:rtl/>
        </w:rPr>
        <w:t xml:space="preserve"> או לנזוף</w:t>
      </w:r>
      <w:r w:rsidR="00B06795">
        <w:rPr>
          <w:rFonts w:hint="cs"/>
          <w:sz w:val="24"/>
          <w:rtl/>
        </w:rPr>
        <w:t xml:space="preserve"> (</w:t>
      </w:r>
      <w:r w:rsidR="00B06795">
        <w:rPr>
          <w:sz w:val="24"/>
        </w:rPr>
        <w:t>Issue Censure</w:t>
      </w:r>
      <w:r w:rsidR="00B06795">
        <w:rPr>
          <w:rFonts w:hint="cs"/>
          <w:sz w:val="24"/>
          <w:rtl/>
        </w:rPr>
        <w:t>)</w:t>
      </w:r>
      <w:r w:rsidR="00B06795" w:rsidRPr="004A6AFF">
        <w:rPr>
          <w:rFonts w:hint="cs"/>
          <w:sz w:val="24"/>
          <w:rtl/>
        </w:rPr>
        <w:t xml:space="preserve"> בחברת אם של מבטח, אם זו הפרה הוראה שניתנה לה על </w:t>
      </w:r>
      <w:r>
        <w:rPr>
          <w:rFonts w:hint="cs"/>
          <w:sz w:val="24"/>
          <w:rtl/>
        </w:rPr>
        <w:t>ידה.</w:t>
      </w:r>
    </w:p>
    <w:p w:rsidR="00B06795" w:rsidRDefault="00B06795" w:rsidP="00B06795">
      <w:pPr>
        <w:spacing w:line="360" w:lineRule="auto"/>
        <w:rPr>
          <w:sz w:val="24"/>
          <w:rtl/>
        </w:rPr>
      </w:pPr>
      <w:r>
        <w:rPr>
          <w:rFonts w:hint="cs"/>
          <w:sz w:val="24"/>
          <w:rtl/>
        </w:rPr>
        <w:t xml:space="preserve">דוגמה: </w:t>
      </w:r>
    </w:p>
    <w:p w:rsidR="00B06795" w:rsidRDefault="00B06795" w:rsidP="00414680">
      <w:pPr>
        <w:spacing w:line="360" w:lineRule="auto"/>
        <w:rPr>
          <w:sz w:val="24"/>
          <w:rtl/>
        </w:rPr>
      </w:pPr>
      <w:r>
        <w:rPr>
          <w:sz w:val="24"/>
        </w:rPr>
        <w:t>Aviva Plc</w:t>
      </w:r>
      <w:r>
        <w:rPr>
          <w:rFonts w:hint="cs"/>
          <w:sz w:val="24"/>
          <w:rtl/>
        </w:rPr>
        <w:t>, שהיא בעלת השליטה במספר גופים מפוקחים, מציינת בדו"ח השנתי את הפיקוח שחל עליה מעצם היותה חברת החזקות של חברת ביטוח ולמרות שאינה מחזיקה ברישיון כלשהו בעצמה.</w:t>
      </w:r>
    </w:p>
    <w:p w:rsidR="00B06795" w:rsidRDefault="00B06795" w:rsidP="00B06795">
      <w:pPr>
        <w:spacing w:line="360" w:lineRule="auto"/>
        <w:rPr>
          <w:sz w:val="24"/>
          <w:rtl/>
        </w:rPr>
      </w:pPr>
    </w:p>
    <w:p w:rsidR="00B06795" w:rsidRPr="004A6AFF" w:rsidRDefault="00B06795" w:rsidP="00B06795">
      <w:pPr>
        <w:spacing w:line="360" w:lineRule="auto"/>
        <w:jc w:val="center"/>
        <w:rPr>
          <w:sz w:val="24"/>
          <w:rtl/>
        </w:rPr>
      </w:pPr>
      <w:r>
        <w:rPr>
          <w:rFonts w:hint="cs"/>
          <w:noProof/>
          <w:sz w:val="24"/>
          <w:lang w:eastAsia="en-US"/>
        </w:rPr>
        <w:drawing>
          <wp:inline distT="0" distB="0" distL="0" distR="0" wp14:anchorId="1ADDFB3A" wp14:editId="50FBA527">
            <wp:extent cx="4274975" cy="6222380"/>
            <wp:effectExtent l="19050" t="19050" r="11430" b="260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81565" cy="6231972"/>
                    </a:xfrm>
                    <a:prstGeom prst="rect">
                      <a:avLst/>
                    </a:prstGeom>
                    <a:noFill/>
                    <a:ln>
                      <a:solidFill>
                        <a:schemeClr val="tx1"/>
                      </a:solidFill>
                    </a:ln>
                  </pic:spPr>
                </pic:pic>
              </a:graphicData>
            </a:graphic>
          </wp:inline>
        </w:drawing>
      </w:r>
    </w:p>
    <w:p w:rsidR="00520C1B" w:rsidRDefault="00C3464B" w:rsidP="00344163">
      <w:pPr>
        <w:tabs>
          <w:tab w:val="center" w:pos="3093"/>
          <w:tab w:val="center" w:pos="7654"/>
        </w:tabs>
        <w:spacing w:line="360" w:lineRule="auto"/>
        <w:jc w:val="left"/>
        <w:rPr>
          <w:sz w:val="24"/>
          <w:rtl/>
        </w:rPr>
      </w:pPr>
      <w:r>
        <w:rPr>
          <w:sz w:val="24"/>
          <w:rtl/>
        </w:rPr>
        <w:tab/>
      </w:r>
      <w:r>
        <w:rPr>
          <w:sz w:val="24"/>
          <w:rtl/>
        </w:rPr>
        <w:tab/>
      </w:r>
    </w:p>
    <w:p w:rsidR="00213284" w:rsidRPr="00C3464B" w:rsidRDefault="00213284" w:rsidP="00FC0E98">
      <w:pPr>
        <w:spacing w:line="300" w:lineRule="auto"/>
        <w:rPr>
          <w:rFonts w:hint="cs"/>
        </w:rPr>
      </w:pPr>
      <w:bookmarkStart w:id="6" w:name="OtherTo"/>
      <w:bookmarkStart w:id="7" w:name="_GoBack"/>
      <w:bookmarkEnd w:id="6"/>
      <w:bookmarkEnd w:id="7"/>
    </w:p>
    <w:sectPr w:rsidR="00213284" w:rsidRPr="00C3464B" w:rsidSect="00213284">
      <w:headerReference w:type="even" r:id="rId14"/>
      <w:headerReference w:type="default" r:id="rId15"/>
      <w:footerReference w:type="default" r:id="rId16"/>
      <w:headerReference w:type="first" r:id="rId17"/>
      <w:footerReference w:type="first" r:id="rId18"/>
      <w:pgSz w:w="11907" w:h="16840" w:code="9"/>
      <w:pgMar w:top="1418" w:right="1134" w:bottom="1418" w:left="1134" w:header="720" w:footer="414"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6A0" w:rsidRDefault="004F76A0">
      <w:r>
        <w:separator/>
      </w:r>
    </w:p>
  </w:endnote>
  <w:endnote w:type="continuationSeparator" w:id="0">
    <w:p w:rsidR="004F76A0" w:rsidRDefault="004F7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DaunPenh">
    <w:panose1 w:val="01010101010101010101"/>
    <w:charset w:val="00"/>
    <w:family w:val="auto"/>
    <w:pitch w:val="variable"/>
    <w:sig w:usb0="00000003" w:usb1="00000000" w:usb2="00010000" w:usb3="00000000" w:csb0="00000001" w:csb1="00000000"/>
  </w:font>
  <w:font w:name="Verdana">
    <w:panose1 w:val="020B0604030504040204"/>
    <w:charset w:val="00"/>
    <w:family w:val="swiss"/>
    <w:pitch w:val="variable"/>
    <w:sig w:usb0="A10006FF" w:usb1="4000205B" w:usb2="00000010" w:usb3="00000000" w:csb0="0000019F" w:csb1="00000000"/>
  </w:font>
  <w:font w:name="Helvetica-Condensed-Bold">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904" w:rsidRPr="00213284" w:rsidRDefault="00213284" w:rsidP="00213284">
    <w:pPr>
      <w:pStyle w:val="aa"/>
      <w:pBdr>
        <w:top w:val="single" w:sz="6" w:space="1" w:color="auto"/>
      </w:pBdr>
      <w:tabs>
        <w:tab w:val="clear" w:pos="8640"/>
        <w:tab w:val="right" w:pos="9611"/>
      </w:tabs>
      <w:spacing w:line="240" w:lineRule="auto"/>
      <w:rPr>
        <w:rStyle w:val="Hyperlink"/>
        <w:color w:val="auto"/>
        <w:u w:val="none"/>
        <w:rtl/>
      </w:rPr>
    </w:pPr>
    <w:r>
      <w:rPr>
        <w:rFonts w:hint="cs"/>
        <w:sz w:val="24"/>
        <w:rtl/>
      </w:rPr>
      <w:t xml:space="preserve">רח' קפלן 1 ירושלים </w:t>
    </w:r>
    <w:r w:rsidR="000C1905">
      <w:rPr>
        <w:rFonts w:hint="cs"/>
        <w:sz w:val="24"/>
        <w:rtl/>
      </w:rPr>
      <w:t>9103002</w:t>
    </w:r>
    <w:r>
      <w:rPr>
        <w:rFonts w:hint="cs"/>
        <w:sz w:val="24"/>
        <w:rtl/>
      </w:rPr>
      <w:t xml:space="preserve"> ת.ד 3100 טל': 02-5317111 פקס': 02-5695342</w:t>
    </w:r>
    <w:r>
      <w:rPr>
        <w:sz w:val="24"/>
        <w:rtl/>
      </w:rPr>
      <w:br/>
      <w:t xml:space="preserve">אוצר ברשת : </w:t>
    </w:r>
    <w:r w:rsidRPr="00C9799A">
      <w:rPr>
        <w:sz w:val="24"/>
        <w:u w:val="single"/>
      </w:rPr>
      <w:t>www.mof.gov.il</w:t>
    </w:r>
    <w:r>
      <w:rPr>
        <w:rFonts w:hint="cs"/>
        <w:sz w:val="24"/>
        <w:rtl/>
      </w:rPr>
      <w:tab/>
    </w:r>
    <w:r>
      <w:rPr>
        <w:rFonts w:hint="cs"/>
        <w:noProof/>
        <w:sz w:val="24"/>
        <w:rtl/>
        <w:lang w:eastAsia="en-US"/>
      </w:rPr>
      <w:drawing>
        <wp:inline distT="0" distB="0" distL="0" distR="0" wp14:anchorId="67CCC8DB" wp14:editId="36426049">
          <wp:extent cx="444500" cy="283210"/>
          <wp:effectExtent l="0" t="0" r="0" b="2540"/>
          <wp:docPr id="3" name="תמונה 3" descr="מוקטן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מוקטן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283210"/>
                  </a:xfrm>
                  <a:prstGeom prst="rect">
                    <a:avLst/>
                  </a:prstGeom>
                  <a:noFill/>
                  <a:ln>
                    <a:noFill/>
                  </a:ln>
                </pic:spPr>
              </pic:pic>
            </a:graphicData>
          </a:graphic>
        </wp:inline>
      </w:drawing>
    </w:r>
    <w:r>
      <w:rPr>
        <w:rFonts w:hint="cs"/>
        <w:sz w:val="24"/>
        <w:rtl/>
      </w:rPr>
      <w:tab/>
      <w:t xml:space="preserve">שער הממשלה : </w:t>
    </w:r>
    <w:r w:rsidRPr="00C9799A">
      <w:rPr>
        <w:sz w:val="24"/>
        <w:u w:val="single"/>
      </w:rPr>
      <w:t>www.gov.il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FFD" w:rsidRDefault="00C3464B" w:rsidP="00213284">
    <w:pPr>
      <w:pStyle w:val="aa"/>
      <w:pBdr>
        <w:top w:val="single" w:sz="6" w:space="1" w:color="auto"/>
      </w:pBdr>
      <w:tabs>
        <w:tab w:val="clear" w:pos="8640"/>
        <w:tab w:val="right" w:pos="9611"/>
      </w:tabs>
      <w:spacing w:line="240" w:lineRule="auto"/>
    </w:pPr>
    <w:r>
      <w:rPr>
        <w:rFonts w:hint="cs"/>
        <w:sz w:val="24"/>
        <w:rtl/>
      </w:rPr>
      <w:t xml:space="preserve">רח' קפלן 1 ירושלים </w:t>
    </w:r>
    <w:r w:rsidR="000C1905">
      <w:rPr>
        <w:rFonts w:hint="cs"/>
        <w:sz w:val="24"/>
        <w:rtl/>
      </w:rPr>
      <w:t>9103002</w:t>
    </w:r>
    <w:r>
      <w:rPr>
        <w:rFonts w:hint="cs"/>
        <w:sz w:val="24"/>
        <w:rtl/>
      </w:rPr>
      <w:t xml:space="preserve"> ת.ד 3100 טל': 02-5317111 פקס': 02-5695342</w:t>
    </w:r>
    <w:r>
      <w:rPr>
        <w:sz w:val="24"/>
        <w:rtl/>
      </w:rPr>
      <w:br/>
      <w:t xml:space="preserve">אוצר ברשת : </w:t>
    </w:r>
    <w:r w:rsidRPr="00C9799A">
      <w:rPr>
        <w:sz w:val="24"/>
        <w:u w:val="single"/>
      </w:rPr>
      <w:t>www.mof.gov.il</w:t>
    </w:r>
    <w:r>
      <w:rPr>
        <w:rFonts w:hint="cs"/>
        <w:sz w:val="24"/>
        <w:rtl/>
      </w:rPr>
      <w:tab/>
    </w:r>
    <w:r>
      <w:rPr>
        <w:rFonts w:hint="cs"/>
        <w:noProof/>
        <w:sz w:val="24"/>
        <w:rtl/>
        <w:lang w:eastAsia="en-US"/>
      </w:rPr>
      <w:drawing>
        <wp:inline distT="0" distB="0" distL="0" distR="0" wp14:anchorId="6AF01740" wp14:editId="17B8F561">
          <wp:extent cx="444500" cy="283210"/>
          <wp:effectExtent l="0" t="0" r="0" b="2540"/>
          <wp:docPr id="1" name="תמונה 1" descr="מוקטן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מוקטן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283210"/>
                  </a:xfrm>
                  <a:prstGeom prst="rect">
                    <a:avLst/>
                  </a:prstGeom>
                  <a:noFill/>
                  <a:ln>
                    <a:noFill/>
                  </a:ln>
                </pic:spPr>
              </pic:pic>
            </a:graphicData>
          </a:graphic>
        </wp:inline>
      </w:drawing>
    </w:r>
    <w:r>
      <w:rPr>
        <w:rFonts w:hint="cs"/>
        <w:sz w:val="24"/>
        <w:rtl/>
      </w:rPr>
      <w:tab/>
      <w:t xml:space="preserve">שער הממשלה : </w:t>
    </w:r>
    <w:r w:rsidRPr="00C9799A">
      <w:rPr>
        <w:sz w:val="24"/>
        <w:u w:val="single"/>
      </w:rPr>
      <w:t>www.gov.il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6A0" w:rsidRDefault="004F76A0">
      <w:r>
        <w:separator/>
      </w:r>
    </w:p>
  </w:footnote>
  <w:footnote w:type="continuationSeparator" w:id="0">
    <w:p w:rsidR="004F76A0" w:rsidRDefault="004F76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FFD" w:rsidRDefault="00C3464B">
    <w:pPr>
      <w:pStyle w:val="a8"/>
      <w:framePr w:wrap="around" w:vAnchor="text" w:hAnchor="margin" w:xAlign="center" w:y="1"/>
      <w:rPr>
        <w:rStyle w:val="ac"/>
        <w:rtl/>
      </w:rPr>
    </w:pPr>
    <w:r>
      <w:rPr>
        <w:rStyle w:val="ac"/>
        <w:rtl/>
      </w:rPr>
      <w:fldChar w:fldCharType="begin"/>
    </w:r>
    <w:r>
      <w:rPr>
        <w:rStyle w:val="ac"/>
      </w:rPr>
      <w:instrText xml:space="preserve">PAGE  </w:instrText>
    </w:r>
    <w:r>
      <w:rPr>
        <w:rStyle w:val="ac"/>
        <w:rtl/>
      </w:rPr>
      <w:fldChar w:fldCharType="end"/>
    </w:r>
  </w:p>
  <w:p w:rsidR="00624FFD" w:rsidRDefault="00FC0E98">
    <w:pPr>
      <w:pStyle w:val="a8"/>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196233379"/>
      <w:docPartObj>
        <w:docPartGallery w:val="Page Numbers (Top of Page)"/>
        <w:docPartUnique/>
      </w:docPartObj>
    </w:sdtPr>
    <w:sdtEndPr>
      <w:rPr>
        <w:cs/>
      </w:rPr>
    </w:sdtEndPr>
    <w:sdtContent>
      <w:p w:rsidR="004C64D8" w:rsidRDefault="00C3464B">
        <w:pPr>
          <w:pStyle w:val="a8"/>
          <w:jc w:val="center"/>
          <w:rPr>
            <w:rtl/>
            <w:cs/>
          </w:rPr>
        </w:pPr>
        <w:r>
          <w:fldChar w:fldCharType="begin"/>
        </w:r>
        <w:r>
          <w:rPr>
            <w:rtl/>
            <w:cs/>
          </w:rPr>
          <w:instrText>PAGE   \* MERGEFORMAT</w:instrText>
        </w:r>
        <w:r>
          <w:fldChar w:fldCharType="separate"/>
        </w:r>
        <w:r w:rsidR="00FC0E98" w:rsidRPr="00FC0E98">
          <w:rPr>
            <w:noProof/>
            <w:rtl/>
            <w:lang w:val="he-IL"/>
          </w:rPr>
          <w:t>4</w:t>
        </w:r>
        <w: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904" w:rsidRDefault="00C3464B" w:rsidP="006F2904">
    <w:pPr>
      <w:pStyle w:val="a8"/>
      <w:jc w:val="center"/>
      <w:rPr>
        <w:b w:val="0"/>
        <w:bCs w:val="0"/>
        <w:szCs w:val="40"/>
        <w:rtl/>
      </w:rPr>
    </w:pPr>
    <w:r>
      <w:rPr>
        <w:b w:val="0"/>
        <w:bCs w:val="0"/>
        <w:szCs w:val="40"/>
        <w:rtl/>
      </w:rPr>
      <w:t>מדינת ישראל</w:t>
    </w:r>
  </w:p>
  <w:p w:rsidR="006F2904" w:rsidRDefault="00C3464B" w:rsidP="006F2904">
    <w:pPr>
      <w:pStyle w:val="a8"/>
      <w:jc w:val="center"/>
      <w:rPr>
        <w:b w:val="0"/>
        <w:bCs w:val="0"/>
        <w:szCs w:val="32"/>
        <w:rtl/>
      </w:rPr>
    </w:pPr>
    <w:r>
      <w:rPr>
        <w:b w:val="0"/>
        <w:bCs w:val="0"/>
        <w:szCs w:val="32"/>
        <w:rtl/>
      </w:rPr>
      <w:t>משרד האוצר - אגף שוק ההון, ביטוח וח</w:t>
    </w:r>
    <w:r>
      <w:rPr>
        <w:rFonts w:hint="cs"/>
        <w:b w:val="0"/>
        <w:bCs w:val="0"/>
        <w:szCs w:val="32"/>
        <w:rtl/>
      </w:rPr>
      <w:t>י</w:t>
    </w:r>
    <w:r>
      <w:rPr>
        <w:b w:val="0"/>
        <w:bCs w:val="0"/>
        <w:szCs w:val="32"/>
        <w:rtl/>
      </w:rPr>
      <w:t>סכון</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F5C3E"/>
    <w:multiLevelType w:val="hybridMultilevel"/>
    <w:tmpl w:val="D83E696C"/>
    <w:lvl w:ilvl="0" w:tplc="F29AC5C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B82797"/>
    <w:multiLevelType w:val="multilevel"/>
    <w:tmpl w:val="CB2CFB36"/>
    <w:numStyleLink w:val="-"/>
  </w:abstractNum>
  <w:abstractNum w:abstractNumId="2">
    <w:nsid w:val="11B87F5A"/>
    <w:multiLevelType w:val="multilevel"/>
    <w:tmpl w:val="2C7611E6"/>
    <w:styleLink w:val="-0"/>
    <w:lvl w:ilvl="0">
      <w:start w:val="1"/>
      <w:numFmt w:val="decimal"/>
      <w:lvlRestart w:val="0"/>
      <w:lvlText w:val="%1 ."/>
      <w:lvlJc w:val="left"/>
      <w:pPr>
        <w:tabs>
          <w:tab w:val="num" w:pos="397"/>
        </w:tabs>
        <w:ind w:left="397" w:hanging="397"/>
      </w:p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3">
    <w:nsid w:val="16240D29"/>
    <w:multiLevelType w:val="hybridMultilevel"/>
    <w:tmpl w:val="397230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4690D37"/>
    <w:multiLevelType w:val="multilevel"/>
    <w:tmpl w:val="2C7611E6"/>
    <w:numStyleLink w:val="-0"/>
  </w:abstractNum>
  <w:abstractNum w:abstractNumId="5">
    <w:nsid w:val="477D4CEE"/>
    <w:multiLevelType w:val="multilevel"/>
    <w:tmpl w:val="2C7611E6"/>
    <w:numStyleLink w:val="-0"/>
  </w:abstractNum>
  <w:abstractNum w:abstractNumId="6">
    <w:nsid w:val="52C63965"/>
    <w:multiLevelType w:val="multilevel"/>
    <w:tmpl w:val="CB2CFB36"/>
    <w:numStyleLink w:val="-"/>
  </w:abstractNum>
  <w:abstractNum w:abstractNumId="7">
    <w:nsid w:val="5C2D00DD"/>
    <w:multiLevelType w:val="multilevel"/>
    <w:tmpl w:val="CB2CFB36"/>
    <w:styleLink w:val="-"/>
    <w:lvl w:ilvl="0">
      <w:start w:val="1"/>
      <w:numFmt w:val="decimal"/>
      <w:lvlRestart w:val="0"/>
      <w:lvlText w:val="%1."/>
      <w:lvlJc w:val="left"/>
      <w:pPr>
        <w:tabs>
          <w:tab w:val="num" w:pos="357"/>
        </w:tabs>
        <w:ind w:left="357" w:hanging="357"/>
      </w:pPr>
    </w:lvl>
    <w:lvl w:ilvl="1">
      <w:start w:val="1"/>
      <w:numFmt w:val="decimal"/>
      <w:lvlText w:val="%1.%2."/>
      <w:lvlJc w:val="left"/>
      <w:pPr>
        <w:tabs>
          <w:tab w:val="num" w:pos="794"/>
        </w:tabs>
        <w:ind w:left="794" w:hanging="437"/>
      </w:pPr>
    </w:lvl>
    <w:lvl w:ilvl="2">
      <w:start w:val="1"/>
      <w:numFmt w:val="decimal"/>
      <w:lvlText w:val="%1.%2.%3."/>
      <w:lvlJc w:val="left"/>
      <w:pPr>
        <w:tabs>
          <w:tab w:val="num" w:pos="1440"/>
        </w:tabs>
        <w:ind w:left="1225" w:hanging="505"/>
      </w:pPr>
    </w:lvl>
    <w:lvl w:ilvl="3">
      <w:start w:val="1"/>
      <w:numFmt w:val="decimal"/>
      <w:lvlText w:val="%1.%2.%3.%4."/>
      <w:lvlJc w:val="left"/>
      <w:pPr>
        <w:tabs>
          <w:tab w:val="num" w:pos="1797"/>
        </w:tabs>
        <w:ind w:left="1729" w:hanging="652"/>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8">
    <w:nsid w:val="614E4231"/>
    <w:multiLevelType w:val="multilevel"/>
    <w:tmpl w:val="2C7611E6"/>
    <w:numStyleLink w:val="-0"/>
  </w:abstractNum>
  <w:num w:numId="1">
    <w:abstractNumId w:val="4"/>
  </w:num>
  <w:num w:numId="2">
    <w:abstractNumId w:val="7"/>
  </w:num>
  <w:num w:numId="3">
    <w:abstractNumId w:val="2"/>
  </w:num>
  <w:num w:numId="4">
    <w:abstractNumId w:val="3"/>
  </w:num>
  <w:num w:numId="5">
    <w:abstractNumId w:val="1"/>
  </w:num>
  <w:num w:numId="6">
    <w:abstractNumId w:val="5"/>
  </w:num>
  <w:num w:numId="7">
    <w:abstractNumId w:val="6"/>
  </w:num>
  <w:num w:numId="8">
    <w:abstractNumId w:val="8"/>
    <w:lvlOverride w:ilvl="0">
      <w:lvl w:ilvl="0">
        <w:start w:val="1"/>
        <w:numFmt w:val="decimal"/>
        <w:lvlRestart w:val="0"/>
        <w:lvlText w:val="%1 ."/>
        <w:lvlJc w:val="left"/>
        <w:pPr>
          <w:tabs>
            <w:tab w:val="num" w:pos="397"/>
          </w:tabs>
          <w:ind w:left="397" w:hanging="397"/>
        </w:pPr>
      </w:lvl>
    </w:lvlOverride>
    <w:lvlOverride w:ilvl="1">
      <w:lvl w:ilvl="1">
        <w:start w:val="1"/>
        <w:numFmt w:val="hebrew1"/>
        <w:lvlText w:val="%2."/>
        <w:lvlJc w:val="left"/>
        <w:pPr>
          <w:tabs>
            <w:tab w:val="num" w:pos="822"/>
          </w:tabs>
          <w:ind w:left="822" w:hanging="397"/>
        </w:pPr>
        <w:rPr>
          <w:b/>
          <w:bCs/>
        </w:rPr>
      </w:lvl>
    </w:lvlOverride>
    <w:lvlOverride w:ilvl="2">
      <w:lvl w:ilvl="2">
        <w:start w:val="1"/>
        <w:numFmt w:val="decimal"/>
        <w:lvlText w:val="%3)"/>
        <w:lvlJc w:val="left"/>
        <w:pPr>
          <w:tabs>
            <w:tab w:val="num" w:pos="1247"/>
          </w:tabs>
          <w:ind w:left="1247" w:hanging="453"/>
        </w:pPr>
      </w:lvl>
    </w:lvlOverride>
    <w:lvlOverride w:ilvl="3">
      <w:lvl w:ilvl="3">
        <w:start w:val="1"/>
        <w:numFmt w:val="hebrew1"/>
        <w:lvlText w:val="%4)"/>
        <w:lvlJc w:val="left"/>
        <w:pPr>
          <w:tabs>
            <w:tab w:val="num" w:pos="1701"/>
          </w:tabs>
          <w:ind w:left="1701" w:hanging="454"/>
        </w:pPr>
      </w:lvl>
    </w:lvlOverride>
    <w:lvlOverride w:ilvl="4">
      <w:lvl w:ilvl="4">
        <w:start w:val="1"/>
        <w:numFmt w:val="decimal"/>
        <w:lvlText w:val="(%5)"/>
        <w:lvlJc w:val="left"/>
        <w:pPr>
          <w:tabs>
            <w:tab w:val="num" w:pos="2211"/>
          </w:tabs>
          <w:ind w:left="2211" w:hanging="510"/>
        </w:pPr>
      </w:lvl>
    </w:lvlOverride>
    <w:lvlOverride w:ilvl="5">
      <w:lvl w:ilvl="5">
        <w:start w:val="1"/>
        <w:numFmt w:val="hebrew1"/>
        <w:lvlText w:val="(%6)"/>
        <w:lvlJc w:val="left"/>
        <w:pPr>
          <w:tabs>
            <w:tab w:val="num" w:pos="2721"/>
          </w:tabs>
          <w:ind w:left="2721" w:hanging="510"/>
        </w:pPr>
      </w:lvl>
    </w:lvlOverride>
    <w:lvlOverride w:ilvl="6">
      <w:lvl w:ilvl="6">
        <w:start w:val="1"/>
        <w:numFmt w:val="upperLetter"/>
        <w:lvlText w:val="%7."/>
        <w:lvlJc w:val="left"/>
        <w:pPr>
          <w:tabs>
            <w:tab w:val="num" w:pos="3118"/>
          </w:tabs>
          <w:ind w:left="3118" w:hanging="397"/>
        </w:pPr>
      </w:lvl>
    </w:lvlOverride>
    <w:lvlOverride w:ilvl="7">
      <w:lvl w:ilvl="7">
        <w:start w:val="1"/>
        <w:numFmt w:val="lowerLetter"/>
        <w:lvlText w:val="%8."/>
        <w:lvlJc w:val="left"/>
        <w:pPr>
          <w:tabs>
            <w:tab w:val="num" w:pos="3685"/>
          </w:tabs>
          <w:ind w:left="3685" w:hanging="567"/>
        </w:pPr>
      </w:lvl>
    </w:lvlOverride>
    <w:lvlOverride w:ilvl="8">
      <w:lvl w:ilvl="8">
        <w:start w:val="1"/>
        <w:numFmt w:val="lowerRoman"/>
        <w:lvlText w:val="%9."/>
        <w:lvlJc w:val="left"/>
        <w:pPr>
          <w:tabs>
            <w:tab w:val="num" w:pos="4252"/>
          </w:tabs>
          <w:ind w:left="4252" w:hanging="567"/>
        </w:pPr>
      </w:lvl>
    </w:lvlOverride>
  </w:num>
  <w:num w:numId="9">
    <w:abstractNumId w:val="8"/>
    <w:lvlOverride w:ilvl="0">
      <w:lvl w:ilvl="0">
        <w:start w:val="1"/>
        <w:numFmt w:val="decimal"/>
        <w:lvlRestart w:val="0"/>
        <w:lvlText w:val="%1 ."/>
        <w:lvlJc w:val="left"/>
        <w:pPr>
          <w:tabs>
            <w:tab w:val="num" w:pos="397"/>
          </w:tabs>
          <w:ind w:left="397" w:hanging="397"/>
        </w:pPr>
      </w:lvl>
    </w:lvlOverride>
    <w:lvlOverride w:ilvl="1">
      <w:lvl w:ilvl="1">
        <w:start w:val="1"/>
        <w:numFmt w:val="hebrew1"/>
        <w:lvlText w:val="%2."/>
        <w:lvlJc w:val="left"/>
        <w:pPr>
          <w:tabs>
            <w:tab w:val="num" w:pos="794"/>
          </w:tabs>
          <w:ind w:left="794" w:hanging="397"/>
        </w:pPr>
      </w:lvl>
    </w:lvlOverride>
    <w:lvlOverride w:ilvl="2">
      <w:lvl w:ilvl="2">
        <w:start w:val="1"/>
        <w:numFmt w:val="decimal"/>
        <w:lvlText w:val="%3)"/>
        <w:lvlJc w:val="left"/>
        <w:pPr>
          <w:tabs>
            <w:tab w:val="num" w:pos="1247"/>
          </w:tabs>
          <w:ind w:left="1247" w:hanging="453"/>
        </w:pPr>
      </w:lvl>
    </w:lvlOverride>
    <w:lvlOverride w:ilvl="3">
      <w:lvl w:ilvl="3">
        <w:start w:val="1"/>
        <w:numFmt w:val="hebrew1"/>
        <w:lvlText w:val="%4)"/>
        <w:lvlJc w:val="left"/>
        <w:pPr>
          <w:tabs>
            <w:tab w:val="num" w:pos="1701"/>
          </w:tabs>
          <w:ind w:left="1701" w:hanging="454"/>
        </w:pPr>
      </w:lvl>
    </w:lvlOverride>
    <w:lvlOverride w:ilvl="4">
      <w:lvl w:ilvl="4">
        <w:start w:val="1"/>
        <w:numFmt w:val="decimal"/>
        <w:lvlText w:val="(%5)"/>
        <w:lvlJc w:val="left"/>
        <w:pPr>
          <w:tabs>
            <w:tab w:val="num" w:pos="2211"/>
          </w:tabs>
          <w:ind w:left="2211" w:hanging="510"/>
        </w:pPr>
      </w:lvl>
    </w:lvlOverride>
    <w:lvlOverride w:ilvl="5">
      <w:lvl w:ilvl="5">
        <w:start w:val="1"/>
        <w:numFmt w:val="hebrew1"/>
        <w:lvlText w:val="(%6)"/>
        <w:lvlJc w:val="left"/>
        <w:pPr>
          <w:tabs>
            <w:tab w:val="num" w:pos="2721"/>
          </w:tabs>
          <w:ind w:left="2721" w:hanging="510"/>
        </w:pPr>
      </w:lvl>
    </w:lvlOverride>
    <w:lvlOverride w:ilvl="6">
      <w:lvl w:ilvl="6">
        <w:start w:val="1"/>
        <w:numFmt w:val="upperLetter"/>
        <w:lvlText w:val="%7."/>
        <w:lvlJc w:val="left"/>
        <w:pPr>
          <w:tabs>
            <w:tab w:val="num" w:pos="3118"/>
          </w:tabs>
          <w:ind w:left="3118" w:hanging="397"/>
        </w:pPr>
      </w:lvl>
    </w:lvlOverride>
    <w:lvlOverride w:ilvl="7">
      <w:lvl w:ilvl="7">
        <w:start w:val="1"/>
        <w:numFmt w:val="lowerLetter"/>
        <w:lvlText w:val="%8."/>
        <w:lvlJc w:val="left"/>
        <w:pPr>
          <w:tabs>
            <w:tab w:val="num" w:pos="3685"/>
          </w:tabs>
          <w:ind w:left="3685" w:hanging="567"/>
        </w:pPr>
      </w:lvl>
    </w:lvlOverride>
    <w:lvlOverride w:ilvl="8">
      <w:lvl w:ilvl="8">
        <w:start w:val="1"/>
        <w:numFmt w:val="lowerRoman"/>
        <w:lvlText w:val="%9."/>
        <w:lvlJc w:val="left"/>
        <w:pPr>
          <w:tabs>
            <w:tab w:val="num" w:pos="4252"/>
          </w:tabs>
          <w:ind w:left="4252" w:hanging="567"/>
        </w:pPr>
      </w:lvl>
    </w:lvlOverride>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64B"/>
    <w:rsid w:val="000066D6"/>
    <w:rsid w:val="00014182"/>
    <w:rsid w:val="00047C97"/>
    <w:rsid w:val="000520B7"/>
    <w:rsid w:val="000568CE"/>
    <w:rsid w:val="00066383"/>
    <w:rsid w:val="00077F0D"/>
    <w:rsid w:val="00093B9D"/>
    <w:rsid w:val="000C04AE"/>
    <w:rsid w:val="000C1905"/>
    <w:rsid w:val="000E6098"/>
    <w:rsid w:val="000E632C"/>
    <w:rsid w:val="0010326C"/>
    <w:rsid w:val="00152E58"/>
    <w:rsid w:val="001611C6"/>
    <w:rsid w:val="00164B30"/>
    <w:rsid w:val="0018292D"/>
    <w:rsid w:val="001A7C42"/>
    <w:rsid w:val="001C4F6D"/>
    <w:rsid w:val="001D55DD"/>
    <w:rsid w:val="001E548A"/>
    <w:rsid w:val="00213284"/>
    <w:rsid w:val="0022465D"/>
    <w:rsid w:val="00275887"/>
    <w:rsid w:val="0027726E"/>
    <w:rsid w:val="002A54A3"/>
    <w:rsid w:val="002A7FEA"/>
    <w:rsid w:val="002E38F4"/>
    <w:rsid w:val="002F197C"/>
    <w:rsid w:val="00302D89"/>
    <w:rsid w:val="00325E01"/>
    <w:rsid w:val="00344163"/>
    <w:rsid w:val="00361114"/>
    <w:rsid w:val="003840FE"/>
    <w:rsid w:val="00393C6A"/>
    <w:rsid w:val="0039412E"/>
    <w:rsid w:val="003A1D7A"/>
    <w:rsid w:val="003C3A5C"/>
    <w:rsid w:val="003F1396"/>
    <w:rsid w:val="0040055E"/>
    <w:rsid w:val="00414680"/>
    <w:rsid w:val="00422A0D"/>
    <w:rsid w:val="00423D6A"/>
    <w:rsid w:val="00426E0E"/>
    <w:rsid w:val="004323EF"/>
    <w:rsid w:val="004410DE"/>
    <w:rsid w:val="0044663B"/>
    <w:rsid w:val="00451F2E"/>
    <w:rsid w:val="004523EB"/>
    <w:rsid w:val="00452D7A"/>
    <w:rsid w:val="004C127D"/>
    <w:rsid w:val="004C5538"/>
    <w:rsid w:val="004D65A1"/>
    <w:rsid w:val="004E479D"/>
    <w:rsid w:val="004F3773"/>
    <w:rsid w:val="004F76A0"/>
    <w:rsid w:val="005028F9"/>
    <w:rsid w:val="00505D36"/>
    <w:rsid w:val="00515321"/>
    <w:rsid w:val="00515E5C"/>
    <w:rsid w:val="00520C1B"/>
    <w:rsid w:val="00532307"/>
    <w:rsid w:val="00534452"/>
    <w:rsid w:val="005371D8"/>
    <w:rsid w:val="00551567"/>
    <w:rsid w:val="00555180"/>
    <w:rsid w:val="00556BE2"/>
    <w:rsid w:val="00577FFC"/>
    <w:rsid w:val="005928B4"/>
    <w:rsid w:val="005D42E4"/>
    <w:rsid w:val="00600BFA"/>
    <w:rsid w:val="00600F1F"/>
    <w:rsid w:val="00602DAD"/>
    <w:rsid w:val="006309B0"/>
    <w:rsid w:val="0066664E"/>
    <w:rsid w:val="00692C69"/>
    <w:rsid w:val="006952CA"/>
    <w:rsid w:val="006A13C9"/>
    <w:rsid w:val="006A2503"/>
    <w:rsid w:val="006A5446"/>
    <w:rsid w:val="006B352E"/>
    <w:rsid w:val="006C55AF"/>
    <w:rsid w:val="006D0744"/>
    <w:rsid w:val="006D686D"/>
    <w:rsid w:val="006E5942"/>
    <w:rsid w:val="006F2DA7"/>
    <w:rsid w:val="00706164"/>
    <w:rsid w:val="00720644"/>
    <w:rsid w:val="00724743"/>
    <w:rsid w:val="007319C4"/>
    <w:rsid w:val="00735D55"/>
    <w:rsid w:val="00743847"/>
    <w:rsid w:val="00751B50"/>
    <w:rsid w:val="00757313"/>
    <w:rsid w:val="00757879"/>
    <w:rsid w:val="007611DA"/>
    <w:rsid w:val="0079050D"/>
    <w:rsid w:val="00793E5C"/>
    <w:rsid w:val="007A373A"/>
    <w:rsid w:val="007D4118"/>
    <w:rsid w:val="007E2692"/>
    <w:rsid w:val="0080160A"/>
    <w:rsid w:val="0082739B"/>
    <w:rsid w:val="00834C91"/>
    <w:rsid w:val="00864DB3"/>
    <w:rsid w:val="00867AE5"/>
    <w:rsid w:val="00870D8A"/>
    <w:rsid w:val="008942F5"/>
    <w:rsid w:val="008B39D7"/>
    <w:rsid w:val="008E557E"/>
    <w:rsid w:val="008E77BE"/>
    <w:rsid w:val="00910BC9"/>
    <w:rsid w:val="00915C9A"/>
    <w:rsid w:val="00935E81"/>
    <w:rsid w:val="009645CA"/>
    <w:rsid w:val="00986444"/>
    <w:rsid w:val="00990A24"/>
    <w:rsid w:val="009B64FE"/>
    <w:rsid w:val="009E52B5"/>
    <w:rsid w:val="009F7F7A"/>
    <w:rsid w:val="00A00F7F"/>
    <w:rsid w:val="00A15876"/>
    <w:rsid w:val="00A15D5D"/>
    <w:rsid w:val="00A30921"/>
    <w:rsid w:val="00A573D6"/>
    <w:rsid w:val="00A5751E"/>
    <w:rsid w:val="00A67A4F"/>
    <w:rsid w:val="00A7396A"/>
    <w:rsid w:val="00A73972"/>
    <w:rsid w:val="00A84333"/>
    <w:rsid w:val="00A84658"/>
    <w:rsid w:val="00AA4752"/>
    <w:rsid w:val="00AD0167"/>
    <w:rsid w:val="00AE64FC"/>
    <w:rsid w:val="00AF0647"/>
    <w:rsid w:val="00AF1C47"/>
    <w:rsid w:val="00B03E2B"/>
    <w:rsid w:val="00B041F7"/>
    <w:rsid w:val="00B04760"/>
    <w:rsid w:val="00B06795"/>
    <w:rsid w:val="00B311D4"/>
    <w:rsid w:val="00B429D7"/>
    <w:rsid w:val="00B60EE6"/>
    <w:rsid w:val="00B67385"/>
    <w:rsid w:val="00B93390"/>
    <w:rsid w:val="00B93A25"/>
    <w:rsid w:val="00BB393A"/>
    <w:rsid w:val="00BD67E7"/>
    <w:rsid w:val="00C01906"/>
    <w:rsid w:val="00C03E96"/>
    <w:rsid w:val="00C171DC"/>
    <w:rsid w:val="00C27AC8"/>
    <w:rsid w:val="00C3464B"/>
    <w:rsid w:val="00C37F33"/>
    <w:rsid w:val="00C75CDF"/>
    <w:rsid w:val="00C84ABA"/>
    <w:rsid w:val="00CA61AF"/>
    <w:rsid w:val="00CB40A4"/>
    <w:rsid w:val="00CC356E"/>
    <w:rsid w:val="00CD6DB8"/>
    <w:rsid w:val="00CE0517"/>
    <w:rsid w:val="00CF44BB"/>
    <w:rsid w:val="00D03DCE"/>
    <w:rsid w:val="00D33979"/>
    <w:rsid w:val="00D5670D"/>
    <w:rsid w:val="00D66453"/>
    <w:rsid w:val="00D70031"/>
    <w:rsid w:val="00D731DA"/>
    <w:rsid w:val="00D969C1"/>
    <w:rsid w:val="00DD5320"/>
    <w:rsid w:val="00DE069A"/>
    <w:rsid w:val="00DE7CC8"/>
    <w:rsid w:val="00DF73FF"/>
    <w:rsid w:val="00E078C5"/>
    <w:rsid w:val="00E10338"/>
    <w:rsid w:val="00E41B31"/>
    <w:rsid w:val="00E56588"/>
    <w:rsid w:val="00E95EEF"/>
    <w:rsid w:val="00EA6729"/>
    <w:rsid w:val="00EC1489"/>
    <w:rsid w:val="00EC303E"/>
    <w:rsid w:val="00EF71D7"/>
    <w:rsid w:val="00F00D41"/>
    <w:rsid w:val="00F0514E"/>
    <w:rsid w:val="00F0592A"/>
    <w:rsid w:val="00F25ABF"/>
    <w:rsid w:val="00F509E4"/>
    <w:rsid w:val="00F74EF7"/>
    <w:rsid w:val="00F80DA7"/>
    <w:rsid w:val="00F975CB"/>
    <w:rsid w:val="00FC0E98"/>
    <w:rsid w:val="00FC2F74"/>
    <w:rsid w:val="00FE3193"/>
    <w:rsid w:val="00FE3F3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C3464B"/>
    <w:pPr>
      <w:bidi/>
      <w:spacing w:before="0" w:after="0" w:line="240" w:lineRule="auto"/>
      <w:jc w:val="both"/>
    </w:pPr>
    <w:rPr>
      <w:rFonts w:ascii="Arial Narrow" w:eastAsia="Times New Roman" w:hAnsi="Arial Narrow" w:cs="David"/>
      <w:sz w:val="26"/>
      <w:szCs w:val="24"/>
      <w:lang w:eastAsia="he-IL"/>
    </w:rPr>
  </w:style>
  <w:style w:type="paragraph" w:styleId="1">
    <w:name w:val="heading 1"/>
    <w:basedOn w:val="a"/>
    <w:next w:val="a"/>
    <w:link w:val="10"/>
    <w:uiPriority w:val="9"/>
    <w:qFormat/>
    <w:rsid w:val="003A1D7A"/>
    <w:pPr>
      <w:widowControl w:val="0"/>
      <w:spacing w:before="120" w:line="360" w:lineRule="auto"/>
      <w:outlineLvl w:val="0"/>
    </w:pPr>
    <w:rPr>
      <w:rFonts w:ascii="Times New Roman" w:eastAsiaTheme="minorHAnsi" w:hAnsi="Times New Roman"/>
      <w:b/>
      <w:bCs/>
      <w:caps/>
      <w:spacing w:val="15"/>
      <w:sz w:val="36"/>
      <w:szCs w:val="36"/>
      <w:lang w:eastAsia="en-US"/>
    </w:rPr>
  </w:style>
  <w:style w:type="paragraph" w:styleId="2">
    <w:name w:val="heading 2"/>
    <w:basedOn w:val="a"/>
    <w:next w:val="a"/>
    <w:link w:val="20"/>
    <w:uiPriority w:val="9"/>
    <w:unhideWhenUsed/>
    <w:qFormat/>
    <w:rsid w:val="003A1D7A"/>
    <w:pPr>
      <w:widowControl w:val="0"/>
      <w:spacing w:before="120" w:line="360" w:lineRule="auto"/>
      <w:outlineLvl w:val="1"/>
    </w:pPr>
    <w:rPr>
      <w:rFonts w:ascii="Times New Roman" w:eastAsiaTheme="minorHAnsi" w:hAnsi="Times New Roman"/>
      <w:b/>
      <w:bCs/>
      <w:caps/>
      <w:spacing w:val="15"/>
      <w:sz w:val="32"/>
      <w:szCs w:val="32"/>
      <w:lang w:eastAsia="en-US"/>
    </w:rPr>
  </w:style>
  <w:style w:type="paragraph" w:styleId="3">
    <w:name w:val="heading 3"/>
    <w:basedOn w:val="a"/>
    <w:next w:val="a"/>
    <w:link w:val="30"/>
    <w:uiPriority w:val="9"/>
    <w:unhideWhenUsed/>
    <w:qFormat/>
    <w:rsid w:val="001611C6"/>
    <w:pPr>
      <w:widowControl w:val="0"/>
      <w:bidi w:val="0"/>
      <w:spacing w:before="300" w:line="360" w:lineRule="auto"/>
      <w:outlineLvl w:val="2"/>
    </w:pPr>
    <w:rPr>
      <w:rFonts w:ascii="Times New Roman" w:eastAsiaTheme="minorHAnsi" w:hAnsi="Times New Roman"/>
      <w:bCs/>
      <w:caps/>
      <w:spacing w:val="15"/>
      <w:sz w:val="28"/>
      <w:szCs w:val="28"/>
      <w:lang w:eastAsia="en-US"/>
    </w:rPr>
  </w:style>
  <w:style w:type="paragraph" w:styleId="4">
    <w:name w:val="heading 4"/>
    <w:basedOn w:val="a"/>
    <w:next w:val="a"/>
    <w:link w:val="40"/>
    <w:uiPriority w:val="9"/>
    <w:unhideWhenUsed/>
    <w:qFormat/>
    <w:rsid w:val="003A1D7A"/>
    <w:pPr>
      <w:bidi w:val="0"/>
      <w:spacing w:before="300" w:line="360" w:lineRule="auto"/>
      <w:outlineLvl w:val="3"/>
    </w:pPr>
    <w:rPr>
      <w:rFonts w:ascii="Times New Roman" w:eastAsiaTheme="minorHAnsi" w:hAnsi="Times New Roman"/>
      <w:b/>
      <w:bCs/>
      <w:caps/>
      <w:spacing w:val="10"/>
      <w:sz w:val="24"/>
      <w:lang w:eastAsia="en-US"/>
    </w:rPr>
  </w:style>
  <w:style w:type="paragraph" w:styleId="5">
    <w:name w:val="heading 5"/>
    <w:basedOn w:val="a"/>
    <w:next w:val="a"/>
    <w:link w:val="50"/>
    <w:uiPriority w:val="9"/>
    <w:unhideWhenUsed/>
    <w:qFormat/>
    <w:rsid w:val="003A1D7A"/>
    <w:pPr>
      <w:widowControl w:val="0"/>
      <w:bidi w:val="0"/>
      <w:spacing w:before="300" w:line="360" w:lineRule="auto"/>
      <w:outlineLvl w:val="4"/>
    </w:pPr>
    <w:rPr>
      <w:rFonts w:ascii="Times New Roman" w:eastAsiaTheme="minorHAnsi" w:hAnsi="Times New Roman"/>
      <w:b/>
      <w:bCs/>
      <w:caps/>
      <w:spacing w:val="10"/>
      <w:sz w:val="24"/>
      <w:lang w:eastAsia="en-US"/>
    </w:rPr>
  </w:style>
  <w:style w:type="paragraph" w:styleId="6">
    <w:name w:val="heading 6"/>
    <w:basedOn w:val="a"/>
    <w:next w:val="a"/>
    <w:link w:val="60"/>
    <w:uiPriority w:val="9"/>
    <w:unhideWhenUsed/>
    <w:qFormat/>
    <w:rsid w:val="00066383"/>
    <w:pPr>
      <w:widowControl w:val="0"/>
      <w:bidi w:val="0"/>
      <w:spacing w:before="300" w:line="360" w:lineRule="auto"/>
      <w:outlineLvl w:val="5"/>
    </w:pPr>
    <w:rPr>
      <w:rFonts w:ascii="Times New Roman" w:eastAsiaTheme="minorHAnsi" w:hAnsi="Times New Roman"/>
      <w:b/>
      <w:bCs/>
      <w:caps/>
      <w:spacing w:val="10"/>
      <w:sz w:val="24"/>
      <w:lang w:eastAsia="en-US"/>
    </w:rPr>
  </w:style>
  <w:style w:type="paragraph" w:styleId="7">
    <w:name w:val="heading 7"/>
    <w:basedOn w:val="a"/>
    <w:next w:val="a"/>
    <w:link w:val="70"/>
    <w:uiPriority w:val="9"/>
    <w:unhideWhenUsed/>
    <w:qFormat/>
    <w:rsid w:val="003A1D7A"/>
    <w:pPr>
      <w:widowControl w:val="0"/>
      <w:bidi w:val="0"/>
      <w:spacing w:before="300" w:line="360" w:lineRule="auto"/>
      <w:outlineLvl w:val="6"/>
    </w:pPr>
    <w:rPr>
      <w:rFonts w:ascii="Times New Roman" w:eastAsiaTheme="minorHAnsi" w:hAnsi="Times New Roman"/>
      <w:b/>
      <w:bCs/>
      <w:caps/>
      <w:spacing w:val="10"/>
      <w:sz w:val="24"/>
      <w:lang w:eastAsia="en-US"/>
    </w:rPr>
  </w:style>
  <w:style w:type="paragraph" w:styleId="8">
    <w:name w:val="heading 8"/>
    <w:basedOn w:val="a"/>
    <w:next w:val="a"/>
    <w:link w:val="80"/>
    <w:uiPriority w:val="9"/>
    <w:semiHidden/>
    <w:unhideWhenUsed/>
    <w:qFormat/>
    <w:rsid w:val="00014182"/>
    <w:pPr>
      <w:bidi w:val="0"/>
      <w:spacing w:before="300" w:line="360" w:lineRule="auto"/>
      <w:outlineLvl w:val="7"/>
    </w:pPr>
    <w:rPr>
      <w:rFonts w:ascii="Times New Roman" w:eastAsiaTheme="minorHAnsi" w:hAnsi="Times New Roman"/>
      <w:caps/>
      <w:spacing w:val="10"/>
      <w:sz w:val="18"/>
      <w:szCs w:val="18"/>
      <w:lang w:eastAsia="en-US"/>
    </w:rPr>
  </w:style>
  <w:style w:type="paragraph" w:styleId="9">
    <w:name w:val="heading 9"/>
    <w:basedOn w:val="a"/>
    <w:next w:val="a"/>
    <w:link w:val="90"/>
    <w:uiPriority w:val="9"/>
    <w:semiHidden/>
    <w:unhideWhenUsed/>
    <w:qFormat/>
    <w:rsid w:val="00014182"/>
    <w:pPr>
      <w:bidi w:val="0"/>
      <w:spacing w:before="300" w:line="360" w:lineRule="auto"/>
      <w:outlineLvl w:val="8"/>
    </w:pPr>
    <w:rPr>
      <w:rFonts w:ascii="Times New Roman" w:eastAsiaTheme="minorHAnsi" w:hAnsi="Times New Roman"/>
      <w:i/>
      <w:caps/>
      <w:spacing w:val="10"/>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A1D7A"/>
    <w:rPr>
      <w:rFonts w:ascii="Times New Roman" w:hAnsi="Times New Roman" w:cs="David"/>
      <w:b/>
      <w:bCs/>
      <w:caps/>
      <w:spacing w:val="15"/>
      <w:sz w:val="36"/>
      <w:szCs w:val="36"/>
    </w:rPr>
  </w:style>
  <w:style w:type="paragraph" w:styleId="a3">
    <w:name w:val="Quote"/>
    <w:basedOn w:val="a"/>
    <w:next w:val="a"/>
    <w:link w:val="a4"/>
    <w:uiPriority w:val="29"/>
    <w:qFormat/>
    <w:rsid w:val="003A1D7A"/>
    <w:pPr>
      <w:widowControl w:val="0"/>
      <w:spacing w:before="120" w:after="120" w:line="360" w:lineRule="auto"/>
      <w:ind w:left="567" w:right="567"/>
    </w:pPr>
    <w:rPr>
      <w:rFonts w:ascii="Times New Roman" w:eastAsiaTheme="minorHAnsi" w:hAnsi="Times New Roman"/>
      <w:i/>
      <w:iCs/>
      <w:sz w:val="24"/>
      <w:lang w:eastAsia="en-US"/>
    </w:rPr>
  </w:style>
  <w:style w:type="character" w:customStyle="1" w:styleId="a4">
    <w:name w:val="ציטוט תו"/>
    <w:basedOn w:val="a0"/>
    <w:link w:val="a3"/>
    <w:uiPriority w:val="29"/>
    <w:rsid w:val="003A1D7A"/>
    <w:rPr>
      <w:rFonts w:ascii="Times New Roman" w:hAnsi="Times New Roman" w:cs="David"/>
      <w:i/>
      <w:iCs/>
      <w:sz w:val="24"/>
      <w:szCs w:val="24"/>
    </w:rPr>
  </w:style>
  <w:style w:type="character" w:customStyle="1" w:styleId="20">
    <w:name w:val="כותרת 2 תו"/>
    <w:basedOn w:val="a0"/>
    <w:link w:val="2"/>
    <w:uiPriority w:val="9"/>
    <w:rsid w:val="003A1D7A"/>
    <w:rPr>
      <w:rFonts w:ascii="Times New Roman" w:hAnsi="Times New Roman" w:cs="David"/>
      <w:b/>
      <w:bCs/>
      <w:caps/>
      <w:spacing w:val="15"/>
      <w:sz w:val="32"/>
      <w:szCs w:val="32"/>
    </w:rPr>
  </w:style>
  <w:style w:type="character" w:customStyle="1" w:styleId="30">
    <w:name w:val="כותרת 3 תו"/>
    <w:basedOn w:val="a0"/>
    <w:link w:val="3"/>
    <w:uiPriority w:val="9"/>
    <w:rsid w:val="001611C6"/>
    <w:rPr>
      <w:rFonts w:ascii="Times New Roman" w:hAnsi="Times New Roman" w:cs="David"/>
      <w:bCs/>
      <w:caps/>
      <w:spacing w:val="15"/>
      <w:sz w:val="28"/>
      <w:szCs w:val="28"/>
    </w:rPr>
  </w:style>
  <w:style w:type="character" w:customStyle="1" w:styleId="40">
    <w:name w:val="כותרת 4 תו"/>
    <w:basedOn w:val="a0"/>
    <w:link w:val="4"/>
    <w:uiPriority w:val="9"/>
    <w:rsid w:val="003A1D7A"/>
    <w:rPr>
      <w:rFonts w:ascii="Times New Roman" w:hAnsi="Times New Roman" w:cs="David"/>
      <w:b/>
      <w:bCs/>
      <w:caps/>
      <w:spacing w:val="10"/>
      <w:sz w:val="24"/>
      <w:szCs w:val="24"/>
    </w:rPr>
  </w:style>
  <w:style w:type="character" w:customStyle="1" w:styleId="50">
    <w:name w:val="כותרת 5 תו"/>
    <w:basedOn w:val="a0"/>
    <w:link w:val="5"/>
    <w:uiPriority w:val="9"/>
    <w:rsid w:val="003A1D7A"/>
    <w:rPr>
      <w:rFonts w:ascii="Times New Roman" w:hAnsi="Times New Roman" w:cs="David"/>
      <w:b/>
      <w:bCs/>
      <w:caps/>
      <w:spacing w:val="10"/>
      <w:sz w:val="24"/>
      <w:szCs w:val="24"/>
    </w:rPr>
  </w:style>
  <w:style w:type="character" w:customStyle="1" w:styleId="60">
    <w:name w:val="כותרת 6 תו"/>
    <w:basedOn w:val="a0"/>
    <w:link w:val="6"/>
    <w:uiPriority w:val="9"/>
    <w:rsid w:val="00066383"/>
    <w:rPr>
      <w:rFonts w:ascii="Times New Roman" w:hAnsi="Times New Roman" w:cs="David"/>
      <w:b/>
      <w:bCs/>
      <w:caps/>
      <w:spacing w:val="10"/>
      <w:sz w:val="24"/>
      <w:szCs w:val="24"/>
    </w:rPr>
  </w:style>
  <w:style w:type="character" w:customStyle="1" w:styleId="70">
    <w:name w:val="כותרת 7 תו"/>
    <w:basedOn w:val="a0"/>
    <w:link w:val="7"/>
    <w:uiPriority w:val="9"/>
    <w:rsid w:val="003A1D7A"/>
    <w:rPr>
      <w:rFonts w:ascii="Times New Roman" w:hAnsi="Times New Roman" w:cs="David"/>
      <w:b/>
      <w:bCs/>
      <w:caps/>
      <w:spacing w:val="10"/>
      <w:sz w:val="24"/>
      <w:szCs w:val="24"/>
    </w:rPr>
  </w:style>
  <w:style w:type="character" w:customStyle="1" w:styleId="80">
    <w:name w:val="כותרת 8 תו"/>
    <w:basedOn w:val="a0"/>
    <w:link w:val="8"/>
    <w:uiPriority w:val="9"/>
    <w:semiHidden/>
    <w:rsid w:val="00014182"/>
    <w:rPr>
      <w:caps/>
      <w:spacing w:val="10"/>
      <w:sz w:val="18"/>
      <w:szCs w:val="18"/>
    </w:rPr>
  </w:style>
  <w:style w:type="character" w:customStyle="1" w:styleId="90">
    <w:name w:val="כותרת 9 תו"/>
    <w:basedOn w:val="a0"/>
    <w:link w:val="9"/>
    <w:uiPriority w:val="9"/>
    <w:semiHidden/>
    <w:rsid w:val="00014182"/>
    <w:rPr>
      <w:i/>
      <w:caps/>
      <w:spacing w:val="10"/>
      <w:sz w:val="18"/>
      <w:szCs w:val="18"/>
    </w:rPr>
  </w:style>
  <w:style w:type="paragraph" w:styleId="a5">
    <w:name w:val="caption"/>
    <w:basedOn w:val="a"/>
    <w:next w:val="a"/>
    <w:uiPriority w:val="35"/>
    <w:semiHidden/>
    <w:unhideWhenUsed/>
    <w:qFormat/>
    <w:rsid w:val="00014182"/>
    <w:pPr>
      <w:bidi w:val="0"/>
      <w:spacing w:before="120" w:after="120" w:line="360" w:lineRule="auto"/>
    </w:pPr>
    <w:rPr>
      <w:rFonts w:ascii="Times New Roman" w:eastAsiaTheme="minorHAnsi" w:hAnsi="Times New Roman"/>
      <w:b/>
      <w:bCs/>
      <w:color w:val="365F91" w:themeColor="accent1" w:themeShade="BF"/>
      <w:sz w:val="16"/>
      <w:szCs w:val="16"/>
      <w:lang w:eastAsia="en-US"/>
    </w:rPr>
  </w:style>
  <w:style w:type="paragraph" w:styleId="a6">
    <w:name w:val="TOC Heading"/>
    <w:basedOn w:val="1"/>
    <w:next w:val="a"/>
    <w:uiPriority w:val="39"/>
    <w:semiHidden/>
    <w:unhideWhenUsed/>
    <w:qFormat/>
    <w:rsid w:val="00014182"/>
    <w:pPr>
      <w:bidi w:val="0"/>
      <w:outlineLvl w:val="9"/>
    </w:pPr>
    <w:rPr>
      <w:lang w:bidi="en-US"/>
    </w:rPr>
  </w:style>
  <w:style w:type="paragraph" w:styleId="TOC3">
    <w:name w:val="toc 3"/>
    <w:basedOn w:val="a"/>
    <w:next w:val="a"/>
    <w:autoRedefine/>
    <w:uiPriority w:val="39"/>
    <w:unhideWhenUsed/>
    <w:rsid w:val="00600BFA"/>
    <w:pPr>
      <w:widowControl w:val="0"/>
      <w:tabs>
        <w:tab w:val="right" w:leader="dot" w:pos="8296"/>
      </w:tabs>
      <w:spacing w:before="100" w:after="100"/>
      <w:ind w:left="482"/>
    </w:pPr>
    <w:rPr>
      <w:rFonts w:ascii="Times New Roman" w:eastAsiaTheme="minorHAnsi" w:hAnsi="Times New Roman"/>
      <w:sz w:val="24"/>
      <w:lang w:eastAsia="en-US"/>
    </w:rPr>
  </w:style>
  <w:style w:type="paragraph" w:styleId="TOC1">
    <w:name w:val="toc 1"/>
    <w:basedOn w:val="a"/>
    <w:next w:val="a"/>
    <w:autoRedefine/>
    <w:uiPriority w:val="39"/>
    <w:unhideWhenUsed/>
    <w:rsid w:val="00600BFA"/>
    <w:pPr>
      <w:widowControl w:val="0"/>
      <w:tabs>
        <w:tab w:val="right" w:leader="dot" w:pos="8296"/>
      </w:tabs>
      <w:spacing w:before="100" w:after="100"/>
    </w:pPr>
    <w:rPr>
      <w:rFonts w:ascii="Times New Roman" w:eastAsiaTheme="minorHAnsi" w:hAnsi="Times New Roman"/>
      <w:sz w:val="24"/>
      <w:lang w:eastAsia="en-US"/>
    </w:rPr>
  </w:style>
  <w:style w:type="paragraph" w:styleId="TOC2">
    <w:name w:val="toc 2"/>
    <w:basedOn w:val="a"/>
    <w:next w:val="a"/>
    <w:autoRedefine/>
    <w:uiPriority w:val="39"/>
    <w:unhideWhenUsed/>
    <w:rsid w:val="00600BFA"/>
    <w:pPr>
      <w:widowControl w:val="0"/>
      <w:tabs>
        <w:tab w:val="right" w:leader="dot" w:pos="8296"/>
      </w:tabs>
      <w:spacing w:before="100" w:after="100"/>
      <w:ind w:left="238"/>
    </w:pPr>
    <w:rPr>
      <w:rFonts w:ascii="Times New Roman" w:eastAsiaTheme="minorHAnsi" w:hAnsi="Times New Roman"/>
      <w:sz w:val="24"/>
      <w:lang w:eastAsia="en-US"/>
    </w:rPr>
  </w:style>
  <w:style w:type="paragraph" w:styleId="TOC7">
    <w:name w:val="toc 7"/>
    <w:basedOn w:val="a"/>
    <w:next w:val="a"/>
    <w:autoRedefine/>
    <w:uiPriority w:val="39"/>
    <w:unhideWhenUsed/>
    <w:rsid w:val="00600BFA"/>
    <w:pPr>
      <w:widowControl w:val="0"/>
      <w:tabs>
        <w:tab w:val="right" w:leader="dot" w:pos="8296"/>
      </w:tabs>
      <w:spacing w:before="100" w:after="100"/>
      <w:ind w:left="1440"/>
    </w:pPr>
    <w:rPr>
      <w:rFonts w:ascii="Times New Roman" w:eastAsiaTheme="minorHAnsi" w:hAnsi="Times New Roman"/>
      <w:sz w:val="24"/>
      <w:lang w:eastAsia="en-US"/>
    </w:rPr>
  </w:style>
  <w:style w:type="paragraph" w:styleId="TOC6">
    <w:name w:val="toc 6"/>
    <w:basedOn w:val="a"/>
    <w:next w:val="a"/>
    <w:autoRedefine/>
    <w:uiPriority w:val="39"/>
    <w:unhideWhenUsed/>
    <w:rsid w:val="00600BFA"/>
    <w:pPr>
      <w:widowControl w:val="0"/>
      <w:tabs>
        <w:tab w:val="right" w:leader="dot" w:pos="8296"/>
      </w:tabs>
      <w:spacing w:before="100" w:after="100"/>
      <w:ind w:left="1202"/>
      <w:contextualSpacing/>
    </w:pPr>
    <w:rPr>
      <w:rFonts w:ascii="Times New Roman" w:eastAsiaTheme="minorHAnsi" w:hAnsi="Times New Roman"/>
      <w:sz w:val="24"/>
      <w:lang w:eastAsia="en-US"/>
    </w:rPr>
  </w:style>
  <w:style w:type="paragraph" w:styleId="TOC5">
    <w:name w:val="toc 5"/>
    <w:basedOn w:val="a"/>
    <w:next w:val="a"/>
    <w:autoRedefine/>
    <w:uiPriority w:val="39"/>
    <w:unhideWhenUsed/>
    <w:rsid w:val="00600BFA"/>
    <w:pPr>
      <w:widowControl w:val="0"/>
      <w:tabs>
        <w:tab w:val="right" w:leader="dot" w:pos="8296"/>
      </w:tabs>
      <w:spacing w:before="100" w:after="100"/>
      <w:ind w:left="958"/>
    </w:pPr>
    <w:rPr>
      <w:rFonts w:ascii="Times New Roman" w:eastAsiaTheme="minorHAnsi" w:hAnsi="Times New Roman"/>
      <w:sz w:val="24"/>
      <w:lang w:eastAsia="en-US"/>
    </w:rPr>
  </w:style>
  <w:style w:type="paragraph" w:styleId="TOC4">
    <w:name w:val="toc 4"/>
    <w:basedOn w:val="a"/>
    <w:next w:val="a"/>
    <w:autoRedefine/>
    <w:uiPriority w:val="39"/>
    <w:unhideWhenUsed/>
    <w:rsid w:val="00600BFA"/>
    <w:pPr>
      <w:widowControl w:val="0"/>
      <w:spacing w:before="100" w:after="100"/>
      <w:ind w:left="720"/>
    </w:pPr>
    <w:rPr>
      <w:rFonts w:ascii="Times New Roman" w:eastAsiaTheme="minorHAnsi" w:hAnsi="Times New Roman"/>
      <w:sz w:val="24"/>
      <w:lang w:eastAsia="en-US"/>
    </w:rPr>
  </w:style>
  <w:style w:type="paragraph" w:styleId="a7">
    <w:name w:val="List Paragraph"/>
    <w:basedOn w:val="a"/>
    <w:uiPriority w:val="34"/>
    <w:rsid w:val="00FE3193"/>
    <w:pPr>
      <w:spacing w:before="120" w:after="120" w:line="360" w:lineRule="auto"/>
      <w:ind w:left="720"/>
      <w:contextualSpacing/>
    </w:pPr>
    <w:rPr>
      <w:rFonts w:ascii="Times New Roman" w:eastAsiaTheme="minorHAnsi" w:hAnsi="Times New Roman"/>
      <w:sz w:val="24"/>
      <w:lang w:eastAsia="en-US"/>
    </w:rPr>
  </w:style>
  <w:style w:type="numbering" w:customStyle="1" w:styleId="-">
    <w:name w:val="משרד האוצר - מדורג"/>
    <w:uiPriority w:val="99"/>
    <w:rsid w:val="00FE3193"/>
    <w:pPr>
      <w:numPr>
        <w:numId w:val="2"/>
      </w:numPr>
    </w:pPr>
  </w:style>
  <w:style w:type="numbering" w:customStyle="1" w:styleId="-0">
    <w:name w:val="משרד האוצר - מדורג קצר"/>
    <w:uiPriority w:val="99"/>
    <w:rsid w:val="00FE3193"/>
    <w:pPr>
      <w:numPr>
        <w:numId w:val="3"/>
      </w:numPr>
    </w:pPr>
  </w:style>
  <w:style w:type="paragraph" w:styleId="a8">
    <w:name w:val="header"/>
    <w:basedOn w:val="a"/>
    <w:link w:val="a9"/>
    <w:uiPriority w:val="99"/>
    <w:rsid w:val="00C3464B"/>
    <w:pPr>
      <w:tabs>
        <w:tab w:val="center" w:pos="4320"/>
        <w:tab w:val="right" w:pos="8640"/>
      </w:tabs>
      <w:overflowPunct w:val="0"/>
      <w:autoSpaceDE w:val="0"/>
      <w:autoSpaceDN w:val="0"/>
      <w:adjustRightInd w:val="0"/>
      <w:spacing w:line="360" w:lineRule="auto"/>
      <w:textAlignment w:val="baseline"/>
    </w:pPr>
    <w:rPr>
      <w:rFonts w:ascii="Times New Roman" w:hAnsi="Times New Roman"/>
      <w:b/>
      <w:bCs/>
      <w:sz w:val="22"/>
    </w:rPr>
  </w:style>
  <w:style w:type="character" w:customStyle="1" w:styleId="a9">
    <w:name w:val="כותרת עליונה תו"/>
    <w:basedOn w:val="a0"/>
    <w:link w:val="a8"/>
    <w:uiPriority w:val="99"/>
    <w:rsid w:val="00C3464B"/>
    <w:rPr>
      <w:rFonts w:ascii="Times New Roman" w:eastAsia="Times New Roman" w:hAnsi="Times New Roman" w:cs="David"/>
      <w:b/>
      <w:bCs/>
      <w:szCs w:val="24"/>
      <w:lang w:eastAsia="he-IL"/>
    </w:rPr>
  </w:style>
  <w:style w:type="paragraph" w:styleId="aa">
    <w:name w:val="footer"/>
    <w:basedOn w:val="a"/>
    <w:link w:val="ab"/>
    <w:rsid w:val="00C3464B"/>
    <w:pPr>
      <w:tabs>
        <w:tab w:val="center" w:pos="4320"/>
        <w:tab w:val="right" w:pos="8640"/>
      </w:tabs>
      <w:overflowPunct w:val="0"/>
      <w:autoSpaceDE w:val="0"/>
      <w:autoSpaceDN w:val="0"/>
      <w:adjustRightInd w:val="0"/>
      <w:spacing w:line="360" w:lineRule="auto"/>
      <w:textAlignment w:val="baseline"/>
    </w:pPr>
    <w:rPr>
      <w:rFonts w:ascii="Times New Roman" w:hAnsi="Times New Roman"/>
      <w:b/>
      <w:bCs/>
      <w:sz w:val="22"/>
    </w:rPr>
  </w:style>
  <w:style w:type="character" w:customStyle="1" w:styleId="ab">
    <w:name w:val="כותרת תחתונה תו"/>
    <w:basedOn w:val="a0"/>
    <w:link w:val="aa"/>
    <w:rsid w:val="00C3464B"/>
    <w:rPr>
      <w:rFonts w:ascii="Times New Roman" w:eastAsia="Times New Roman" w:hAnsi="Times New Roman" w:cs="David"/>
      <w:b/>
      <w:bCs/>
      <w:szCs w:val="24"/>
      <w:lang w:eastAsia="he-IL"/>
    </w:rPr>
  </w:style>
  <w:style w:type="character" w:styleId="ac">
    <w:name w:val="page number"/>
    <w:basedOn w:val="a0"/>
    <w:rsid w:val="00C3464B"/>
  </w:style>
  <w:style w:type="character" w:styleId="Hyperlink">
    <w:name w:val="Hyperlink"/>
    <w:rsid w:val="00C3464B"/>
    <w:rPr>
      <w:color w:val="0000FF"/>
      <w:u w:val="single"/>
    </w:rPr>
  </w:style>
  <w:style w:type="paragraph" w:styleId="ad">
    <w:name w:val="Balloon Text"/>
    <w:basedOn w:val="a"/>
    <w:link w:val="ae"/>
    <w:uiPriority w:val="99"/>
    <w:semiHidden/>
    <w:unhideWhenUsed/>
    <w:rsid w:val="00C3464B"/>
    <w:rPr>
      <w:rFonts w:ascii="Tahoma" w:hAnsi="Tahoma" w:cs="Tahoma"/>
      <w:sz w:val="16"/>
      <w:szCs w:val="16"/>
    </w:rPr>
  </w:style>
  <w:style w:type="character" w:customStyle="1" w:styleId="ae">
    <w:name w:val="טקסט בלונים תו"/>
    <w:basedOn w:val="a0"/>
    <w:link w:val="ad"/>
    <w:uiPriority w:val="99"/>
    <w:semiHidden/>
    <w:rsid w:val="00C3464B"/>
    <w:rPr>
      <w:rFonts w:ascii="Tahoma" w:eastAsia="Times New Roman" w:hAnsi="Tahoma" w:cs="Tahoma"/>
      <w:sz w:val="16"/>
      <w:szCs w:val="16"/>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C3464B"/>
    <w:pPr>
      <w:bidi/>
      <w:spacing w:before="0" w:after="0" w:line="240" w:lineRule="auto"/>
      <w:jc w:val="both"/>
    </w:pPr>
    <w:rPr>
      <w:rFonts w:ascii="Arial Narrow" w:eastAsia="Times New Roman" w:hAnsi="Arial Narrow" w:cs="David"/>
      <w:sz w:val="26"/>
      <w:szCs w:val="24"/>
      <w:lang w:eastAsia="he-IL"/>
    </w:rPr>
  </w:style>
  <w:style w:type="paragraph" w:styleId="1">
    <w:name w:val="heading 1"/>
    <w:basedOn w:val="a"/>
    <w:next w:val="a"/>
    <w:link w:val="10"/>
    <w:uiPriority w:val="9"/>
    <w:qFormat/>
    <w:rsid w:val="003A1D7A"/>
    <w:pPr>
      <w:widowControl w:val="0"/>
      <w:spacing w:before="120" w:line="360" w:lineRule="auto"/>
      <w:outlineLvl w:val="0"/>
    </w:pPr>
    <w:rPr>
      <w:rFonts w:ascii="Times New Roman" w:eastAsiaTheme="minorHAnsi" w:hAnsi="Times New Roman"/>
      <w:b/>
      <w:bCs/>
      <w:caps/>
      <w:spacing w:val="15"/>
      <w:sz w:val="36"/>
      <w:szCs w:val="36"/>
      <w:lang w:eastAsia="en-US"/>
    </w:rPr>
  </w:style>
  <w:style w:type="paragraph" w:styleId="2">
    <w:name w:val="heading 2"/>
    <w:basedOn w:val="a"/>
    <w:next w:val="a"/>
    <w:link w:val="20"/>
    <w:uiPriority w:val="9"/>
    <w:unhideWhenUsed/>
    <w:qFormat/>
    <w:rsid w:val="003A1D7A"/>
    <w:pPr>
      <w:widowControl w:val="0"/>
      <w:spacing w:before="120" w:line="360" w:lineRule="auto"/>
      <w:outlineLvl w:val="1"/>
    </w:pPr>
    <w:rPr>
      <w:rFonts w:ascii="Times New Roman" w:eastAsiaTheme="minorHAnsi" w:hAnsi="Times New Roman"/>
      <w:b/>
      <w:bCs/>
      <w:caps/>
      <w:spacing w:val="15"/>
      <w:sz w:val="32"/>
      <w:szCs w:val="32"/>
      <w:lang w:eastAsia="en-US"/>
    </w:rPr>
  </w:style>
  <w:style w:type="paragraph" w:styleId="3">
    <w:name w:val="heading 3"/>
    <w:basedOn w:val="a"/>
    <w:next w:val="a"/>
    <w:link w:val="30"/>
    <w:uiPriority w:val="9"/>
    <w:unhideWhenUsed/>
    <w:qFormat/>
    <w:rsid w:val="001611C6"/>
    <w:pPr>
      <w:widowControl w:val="0"/>
      <w:bidi w:val="0"/>
      <w:spacing w:before="300" w:line="360" w:lineRule="auto"/>
      <w:outlineLvl w:val="2"/>
    </w:pPr>
    <w:rPr>
      <w:rFonts w:ascii="Times New Roman" w:eastAsiaTheme="minorHAnsi" w:hAnsi="Times New Roman"/>
      <w:bCs/>
      <w:caps/>
      <w:spacing w:val="15"/>
      <w:sz w:val="28"/>
      <w:szCs w:val="28"/>
      <w:lang w:eastAsia="en-US"/>
    </w:rPr>
  </w:style>
  <w:style w:type="paragraph" w:styleId="4">
    <w:name w:val="heading 4"/>
    <w:basedOn w:val="a"/>
    <w:next w:val="a"/>
    <w:link w:val="40"/>
    <w:uiPriority w:val="9"/>
    <w:unhideWhenUsed/>
    <w:qFormat/>
    <w:rsid w:val="003A1D7A"/>
    <w:pPr>
      <w:bidi w:val="0"/>
      <w:spacing w:before="300" w:line="360" w:lineRule="auto"/>
      <w:outlineLvl w:val="3"/>
    </w:pPr>
    <w:rPr>
      <w:rFonts w:ascii="Times New Roman" w:eastAsiaTheme="minorHAnsi" w:hAnsi="Times New Roman"/>
      <w:b/>
      <w:bCs/>
      <w:caps/>
      <w:spacing w:val="10"/>
      <w:sz w:val="24"/>
      <w:lang w:eastAsia="en-US"/>
    </w:rPr>
  </w:style>
  <w:style w:type="paragraph" w:styleId="5">
    <w:name w:val="heading 5"/>
    <w:basedOn w:val="a"/>
    <w:next w:val="a"/>
    <w:link w:val="50"/>
    <w:uiPriority w:val="9"/>
    <w:unhideWhenUsed/>
    <w:qFormat/>
    <w:rsid w:val="003A1D7A"/>
    <w:pPr>
      <w:widowControl w:val="0"/>
      <w:bidi w:val="0"/>
      <w:spacing w:before="300" w:line="360" w:lineRule="auto"/>
      <w:outlineLvl w:val="4"/>
    </w:pPr>
    <w:rPr>
      <w:rFonts w:ascii="Times New Roman" w:eastAsiaTheme="minorHAnsi" w:hAnsi="Times New Roman"/>
      <w:b/>
      <w:bCs/>
      <w:caps/>
      <w:spacing w:val="10"/>
      <w:sz w:val="24"/>
      <w:lang w:eastAsia="en-US"/>
    </w:rPr>
  </w:style>
  <w:style w:type="paragraph" w:styleId="6">
    <w:name w:val="heading 6"/>
    <w:basedOn w:val="a"/>
    <w:next w:val="a"/>
    <w:link w:val="60"/>
    <w:uiPriority w:val="9"/>
    <w:unhideWhenUsed/>
    <w:qFormat/>
    <w:rsid w:val="00066383"/>
    <w:pPr>
      <w:widowControl w:val="0"/>
      <w:bidi w:val="0"/>
      <w:spacing w:before="300" w:line="360" w:lineRule="auto"/>
      <w:outlineLvl w:val="5"/>
    </w:pPr>
    <w:rPr>
      <w:rFonts w:ascii="Times New Roman" w:eastAsiaTheme="minorHAnsi" w:hAnsi="Times New Roman"/>
      <w:b/>
      <w:bCs/>
      <w:caps/>
      <w:spacing w:val="10"/>
      <w:sz w:val="24"/>
      <w:lang w:eastAsia="en-US"/>
    </w:rPr>
  </w:style>
  <w:style w:type="paragraph" w:styleId="7">
    <w:name w:val="heading 7"/>
    <w:basedOn w:val="a"/>
    <w:next w:val="a"/>
    <w:link w:val="70"/>
    <w:uiPriority w:val="9"/>
    <w:unhideWhenUsed/>
    <w:qFormat/>
    <w:rsid w:val="003A1D7A"/>
    <w:pPr>
      <w:widowControl w:val="0"/>
      <w:bidi w:val="0"/>
      <w:spacing w:before="300" w:line="360" w:lineRule="auto"/>
      <w:outlineLvl w:val="6"/>
    </w:pPr>
    <w:rPr>
      <w:rFonts w:ascii="Times New Roman" w:eastAsiaTheme="minorHAnsi" w:hAnsi="Times New Roman"/>
      <w:b/>
      <w:bCs/>
      <w:caps/>
      <w:spacing w:val="10"/>
      <w:sz w:val="24"/>
      <w:lang w:eastAsia="en-US"/>
    </w:rPr>
  </w:style>
  <w:style w:type="paragraph" w:styleId="8">
    <w:name w:val="heading 8"/>
    <w:basedOn w:val="a"/>
    <w:next w:val="a"/>
    <w:link w:val="80"/>
    <w:uiPriority w:val="9"/>
    <w:semiHidden/>
    <w:unhideWhenUsed/>
    <w:qFormat/>
    <w:rsid w:val="00014182"/>
    <w:pPr>
      <w:bidi w:val="0"/>
      <w:spacing w:before="300" w:line="360" w:lineRule="auto"/>
      <w:outlineLvl w:val="7"/>
    </w:pPr>
    <w:rPr>
      <w:rFonts w:ascii="Times New Roman" w:eastAsiaTheme="minorHAnsi" w:hAnsi="Times New Roman"/>
      <w:caps/>
      <w:spacing w:val="10"/>
      <w:sz w:val="18"/>
      <w:szCs w:val="18"/>
      <w:lang w:eastAsia="en-US"/>
    </w:rPr>
  </w:style>
  <w:style w:type="paragraph" w:styleId="9">
    <w:name w:val="heading 9"/>
    <w:basedOn w:val="a"/>
    <w:next w:val="a"/>
    <w:link w:val="90"/>
    <w:uiPriority w:val="9"/>
    <w:semiHidden/>
    <w:unhideWhenUsed/>
    <w:qFormat/>
    <w:rsid w:val="00014182"/>
    <w:pPr>
      <w:bidi w:val="0"/>
      <w:spacing w:before="300" w:line="360" w:lineRule="auto"/>
      <w:outlineLvl w:val="8"/>
    </w:pPr>
    <w:rPr>
      <w:rFonts w:ascii="Times New Roman" w:eastAsiaTheme="minorHAnsi" w:hAnsi="Times New Roman"/>
      <w:i/>
      <w:caps/>
      <w:spacing w:val="10"/>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A1D7A"/>
    <w:rPr>
      <w:rFonts w:ascii="Times New Roman" w:hAnsi="Times New Roman" w:cs="David"/>
      <w:b/>
      <w:bCs/>
      <w:caps/>
      <w:spacing w:val="15"/>
      <w:sz w:val="36"/>
      <w:szCs w:val="36"/>
    </w:rPr>
  </w:style>
  <w:style w:type="paragraph" w:styleId="a3">
    <w:name w:val="Quote"/>
    <w:basedOn w:val="a"/>
    <w:next w:val="a"/>
    <w:link w:val="a4"/>
    <w:uiPriority w:val="29"/>
    <w:qFormat/>
    <w:rsid w:val="003A1D7A"/>
    <w:pPr>
      <w:widowControl w:val="0"/>
      <w:spacing w:before="120" w:after="120" w:line="360" w:lineRule="auto"/>
      <w:ind w:left="567" w:right="567"/>
    </w:pPr>
    <w:rPr>
      <w:rFonts w:ascii="Times New Roman" w:eastAsiaTheme="minorHAnsi" w:hAnsi="Times New Roman"/>
      <w:i/>
      <w:iCs/>
      <w:sz w:val="24"/>
      <w:lang w:eastAsia="en-US"/>
    </w:rPr>
  </w:style>
  <w:style w:type="character" w:customStyle="1" w:styleId="a4">
    <w:name w:val="ציטוט תו"/>
    <w:basedOn w:val="a0"/>
    <w:link w:val="a3"/>
    <w:uiPriority w:val="29"/>
    <w:rsid w:val="003A1D7A"/>
    <w:rPr>
      <w:rFonts w:ascii="Times New Roman" w:hAnsi="Times New Roman" w:cs="David"/>
      <w:i/>
      <w:iCs/>
      <w:sz w:val="24"/>
      <w:szCs w:val="24"/>
    </w:rPr>
  </w:style>
  <w:style w:type="character" w:customStyle="1" w:styleId="20">
    <w:name w:val="כותרת 2 תו"/>
    <w:basedOn w:val="a0"/>
    <w:link w:val="2"/>
    <w:uiPriority w:val="9"/>
    <w:rsid w:val="003A1D7A"/>
    <w:rPr>
      <w:rFonts w:ascii="Times New Roman" w:hAnsi="Times New Roman" w:cs="David"/>
      <w:b/>
      <w:bCs/>
      <w:caps/>
      <w:spacing w:val="15"/>
      <w:sz w:val="32"/>
      <w:szCs w:val="32"/>
    </w:rPr>
  </w:style>
  <w:style w:type="character" w:customStyle="1" w:styleId="30">
    <w:name w:val="כותרת 3 תו"/>
    <w:basedOn w:val="a0"/>
    <w:link w:val="3"/>
    <w:uiPriority w:val="9"/>
    <w:rsid w:val="001611C6"/>
    <w:rPr>
      <w:rFonts w:ascii="Times New Roman" w:hAnsi="Times New Roman" w:cs="David"/>
      <w:bCs/>
      <w:caps/>
      <w:spacing w:val="15"/>
      <w:sz w:val="28"/>
      <w:szCs w:val="28"/>
    </w:rPr>
  </w:style>
  <w:style w:type="character" w:customStyle="1" w:styleId="40">
    <w:name w:val="כותרת 4 תו"/>
    <w:basedOn w:val="a0"/>
    <w:link w:val="4"/>
    <w:uiPriority w:val="9"/>
    <w:rsid w:val="003A1D7A"/>
    <w:rPr>
      <w:rFonts w:ascii="Times New Roman" w:hAnsi="Times New Roman" w:cs="David"/>
      <w:b/>
      <w:bCs/>
      <w:caps/>
      <w:spacing w:val="10"/>
      <w:sz w:val="24"/>
      <w:szCs w:val="24"/>
    </w:rPr>
  </w:style>
  <w:style w:type="character" w:customStyle="1" w:styleId="50">
    <w:name w:val="כותרת 5 תו"/>
    <w:basedOn w:val="a0"/>
    <w:link w:val="5"/>
    <w:uiPriority w:val="9"/>
    <w:rsid w:val="003A1D7A"/>
    <w:rPr>
      <w:rFonts w:ascii="Times New Roman" w:hAnsi="Times New Roman" w:cs="David"/>
      <w:b/>
      <w:bCs/>
      <w:caps/>
      <w:spacing w:val="10"/>
      <w:sz w:val="24"/>
      <w:szCs w:val="24"/>
    </w:rPr>
  </w:style>
  <w:style w:type="character" w:customStyle="1" w:styleId="60">
    <w:name w:val="כותרת 6 תו"/>
    <w:basedOn w:val="a0"/>
    <w:link w:val="6"/>
    <w:uiPriority w:val="9"/>
    <w:rsid w:val="00066383"/>
    <w:rPr>
      <w:rFonts w:ascii="Times New Roman" w:hAnsi="Times New Roman" w:cs="David"/>
      <w:b/>
      <w:bCs/>
      <w:caps/>
      <w:spacing w:val="10"/>
      <w:sz w:val="24"/>
      <w:szCs w:val="24"/>
    </w:rPr>
  </w:style>
  <w:style w:type="character" w:customStyle="1" w:styleId="70">
    <w:name w:val="כותרת 7 תו"/>
    <w:basedOn w:val="a0"/>
    <w:link w:val="7"/>
    <w:uiPriority w:val="9"/>
    <w:rsid w:val="003A1D7A"/>
    <w:rPr>
      <w:rFonts w:ascii="Times New Roman" w:hAnsi="Times New Roman" w:cs="David"/>
      <w:b/>
      <w:bCs/>
      <w:caps/>
      <w:spacing w:val="10"/>
      <w:sz w:val="24"/>
      <w:szCs w:val="24"/>
    </w:rPr>
  </w:style>
  <w:style w:type="character" w:customStyle="1" w:styleId="80">
    <w:name w:val="כותרת 8 תו"/>
    <w:basedOn w:val="a0"/>
    <w:link w:val="8"/>
    <w:uiPriority w:val="9"/>
    <w:semiHidden/>
    <w:rsid w:val="00014182"/>
    <w:rPr>
      <w:caps/>
      <w:spacing w:val="10"/>
      <w:sz w:val="18"/>
      <w:szCs w:val="18"/>
    </w:rPr>
  </w:style>
  <w:style w:type="character" w:customStyle="1" w:styleId="90">
    <w:name w:val="כותרת 9 תו"/>
    <w:basedOn w:val="a0"/>
    <w:link w:val="9"/>
    <w:uiPriority w:val="9"/>
    <w:semiHidden/>
    <w:rsid w:val="00014182"/>
    <w:rPr>
      <w:i/>
      <w:caps/>
      <w:spacing w:val="10"/>
      <w:sz w:val="18"/>
      <w:szCs w:val="18"/>
    </w:rPr>
  </w:style>
  <w:style w:type="paragraph" w:styleId="a5">
    <w:name w:val="caption"/>
    <w:basedOn w:val="a"/>
    <w:next w:val="a"/>
    <w:uiPriority w:val="35"/>
    <w:semiHidden/>
    <w:unhideWhenUsed/>
    <w:qFormat/>
    <w:rsid w:val="00014182"/>
    <w:pPr>
      <w:bidi w:val="0"/>
      <w:spacing w:before="120" w:after="120" w:line="360" w:lineRule="auto"/>
    </w:pPr>
    <w:rPr>
      <w:rFonts w:ascii="Times New Roman" w:eastAsiaTheme="minorHAnsi" w:hAnsi="Times New Roman"/>
      <w:b/>
      <w:bCs/>
      <w:color w:val="365F91" w:themeColor="accent1" w:themeShade="BF"/>
      <w:sz w:val="16"/>
      <w:szCs w:val="16"/>
      <w:lang w:eastAsia="en-US"/>
    </w:rPr>
  </w:style>
  <w:style w:type="paragraph" w:styleId="a6">
    <w:name w:val="TOC Heading"/>
    <w:basedOn w:val="1"/>
    <w:next w:val="a"/>
    <w:uiPriority w:val="39"/>
    <w:semiHidden/>
    <w:unhideWhenUsed/>
    <w:qFormat/>
    <w:rsid w:val="00014182"/>
    <w:pPr>
      <w:bidi w:val="0"/>
      <w:outlineLvl w:val="9"/>
    </w:pPr>
    <w:rPr>
      <w:lang w:bidi="en-US"/>
    </w:rPr>
  </w:style>
  <w:style w:type="paragraph" w:styleId="TOC3">
    <w:name w:val="toc 3"/>
    <w:basedOn w:val="a"/>
    <w:next w:val="a"/>
    <w:autoRedefine/>
    <w:uiPriority w:val="39"/>
    <w:unhideWhenUsed/>
    <w:rsid w:val="00600BFA"/>
    <w:pPr>
      <w:widowControl w:val="0"/>
      <w:tabs>
        <w:tab w:val="right" w:leader="dot" w:pos="8296"/>
      </w:tabs>
      <w:spacing w:before="100" w:after="100"/>
      <w:ind w:left="482"/>
    </w:pPr>
    <w:rPr>
      <w:rFonts w:ascii="Times New Roman" w:eastAsiaTheme="minorHAnsi" w:hAnsi="Times New Roman"/>
      <w:sz w:val="24"/>
      <w:lang w:eastAsia="en-US"/>
    </w:rPr>
  </w:style>
  <w:style w:type="paragraph" w:styleId="TOC1">
    <w:name w:val="toc 1"/>
    <w:basedOn w:val="a"/>
    <w:next w:val="a"/>
    <w:autoRedefine/>
    <w:uiPriority w:val="39"/>
    <w:unhideWhenUsed/>
    <w:rsid w:val="00600BFA"/>
    <w:pPr>
      <w:widowControl w:val="0"/>
      <w:tabs>
        <w:tab w:val="right" w:leader="dot" w:pos="8296"/>
      </w:tabs>
      <w:spacing w:before="100" w:after="100"/>
    </w:pPr>
    <w:rPr>
      <w:rFonts w:ascii="Times New Roman" w:eastAsiaTheme="minorHAnsi" w:hAnsi="Times New Roman"/>
      <w:sz w:val="24"/>
      <w:lang w:eastAsia="en-US"/>
    </w:rPr>
  </w:style>
  <w:style w:type="paragraph" w:styleId="TOC2">
    <w:name w:val="toc 2"/>
    <w:basedOn w:val="a"/>
    <w:next w:val="a"/>
    <w:autoRedefine/>
    <w:uiPriority w:val="39"/>
    <w:unhideWhenUsed/>
    <w:rsid w:val="00600BFA"/>
    <w:pPr>
      <w:widowControl w:val="0"/>
      <w:tabs>
        <w:tab w:val="right" w:leader="dot" w:pos="8296"/>
      </w:tabs>
      <w:spacing w:before="100" w:after="100"/>
      <w:ind w:left="238"/>
    </w:pPr>
    <w:rPr>
      <w:rFonts w:ascii="Times New Roman" w:eastAsiaTheme="minorHAnsi" w:hAnsi="Times New Roman"/>
      <w:sz w:val="24"/>
      <w:lang w:eastAsia="en-US"/>
    </w:rPr>
  </w:style>
  <w:style w:type="paragraph" w:styleId="TOC7">
    <w:name w:val="toc 7"/>
    <w:basedOn w:val="a"/>
    <w:next w:val="a"/>
    <w:autoRedefine/>
    <w:uiPriority w:val="39"/>
    <w:unhideWhenUsed/>
    <w:rsid w:val="00600BFA"/>
    <w:pPr>
      <w:widowControl w:val="0"/>
      <w:tabs>
        <w:tab w:val="right" w:leader="dot" w:pos="8296"/>
      </w:tabs>
      <w:spacing w:before="100" w:after="100"/>
      <w:ind w:left="1440"/>
    </w:pPr>
    <w:rPr>
      <w:rFonts w:ascii="Times New Roman" w:eastAsiaTheme="minorHAnsi" w:hAnsi="Times New Roman"/>
      <w:sz w:val="24"/>
      <w:lang w:eastAsia="en-US"/>
    </w:rPr>
  </w:style>
  <w:style w:type="paragraph" w:styleId="TOC6">
    <w:name w:val="toc 6"/>
    <w:basedOn w:val="a"/>
    <w:next w:val="a"/>
    <w:autoRedefine/>
    <w:uiPriority w:val="39"/>
    <w:unhideWhenUsed/>
    <w:rsid w:val="00600BFA"/>
    <w:pPr>
      <w:widowControl w:val="0"/>
      <w:tabs>
        <w:tab w:val="right" w:leader="dot" w:pos="8296"/>
      </w:tabs>
      <w:spacing w:before="100" w:after="100"/>
      <w:ind w:left="1202"/>
      <w:contextualSpacing/>
    </w:pPr>
    <w:rPr>
      <w:rFonts w:ascii="Times New Roman" w:eastAsiaTheme="minorHAnsi" w:hAnsi="Times New Roman"/>
      <w:sz w:val="24"/>
      <w:lang w:eastAsia="en-US"/>
    </w:rPr>
  </w:style>
  <w:style w:type="paragraph" w:styleId="TOC5">
    <w:name w:val="toc 5"/>
    <w:basedOn w:val="a"/>
    <w:next w:val="a"/>
    <w:autoRedefine/>
    <w:uiPriority w:val="39"/>
    <w:unhideWhenUsed/>
    <w:rsid w:val="00600BFA"/>
    <w:pPr>
      <w:widowControl w:val="0"/>
      <w:tabs>
        <w:tab w:val="right" w:leader="dot" w:pos="8296"/>
      </w:tabs>
      <w:spacing w:before="100" w:after="100"/>
      <w:ind w:left="958"/>
    </w:pPr>
    <w:rPr>
      <w:rFonts w:ascii="Times New Roman" w:eastAsiaTheme="minorHAnsi" w:hAnsi="Times New Roman"/>
      <w:sz w:val="24"/>
      <w:lang w:eastAsia="en-US"/>
    </w:rPr>
  </w:style>
  <w:style w:type="paragraph" w:styleId="TOC4">
    <w:name w:val="toc 4"/>
    <w:basedOn w:val="a"/>
    <w:next w:val="a"/>
    <w:autoRedefine/>
    <w:uiPriority w:val="39"/>
    <w:unhideWhenUsed/>
    <w:rsid w:val="00600BFA"/>
    <w:pPr>
      <w:widowControl w:val="0"/>
      <w:spacing w:before="100" w:after="100"/>
      <w:ind w:left="720"/>
    </w:pPr>
    <w:rPr>
      <w:rFonts w:ascii="Times New Roman" w:eastAsiaTheme="minorHAnsi" w:hAnsi="Times New Roman"/>
      <w:sz w:val="24"/>
      <w:lang w:eastAsia="en-US"/>
    </w:rPr>
  </w:style>
  <w:style w:type="paragraph" w:styleId="a7">
    <w:name w:val="List Paragraph"/>
    <w:basedOn w:val="a"/>
    <w:uiPriority w:val="34"/>
    <w:rsid w:val="00FE3193"/>
    <w:pPr>
      <w:spacing w:before="120" w:after="120" w:line="360" w:lineRule="auto"/>
      <w:ind w:left="720"/>
      <w:contextualSpacing/>
    </w:pPr>
    <w:rPr>
      <w:rFonts w:ascii="Times New Roman" w:eastAsiaTheme="minorHAnsi" w:hAnsi="Times New Roman"/>
      <w:sz w:val="24"/>
      <w:lang w:eastAsia="en-US"/>
    </w:rPr>
  </w:style>
  <w:style w:type="numbering" w:customStyle="1" w:styleId="-">
    <w:name w:val="משרד האוצר - מדורג"/>
    <w:uiPriority w:val="99"/>
    <w:rsid w:val="00FE3193"/>
    <w:pPr>
      <w:numPr>
        <w:numId w:val="2"/>
      </w:numPr>
    </w:pPr>
  </w:style>
  <w:style w:type="numbering" w:customStyle="1" w:styleId="-0">
    <w:name w:val="משרד האוצר - מדורג קצר"/>
    <w:uiPriority w:val="99"/>
    <w:rsid w:val="00FE3193"/>
    <w:pPr>
      <w:numPr>
        <w:numId w:val="3"/>
      </w:numPr>
    </w:pPr>
  </w:style>
  <w:style w:type="paragraph" w:styleId="a8">
    <w:name w:val="header"/>
    <w:basedOn w:val="a"/>
    <w:link w:val="a9"/>
    <w:uiPriority w:val="99"/>
    <w:rsid w:val="00C3464B"/>
    <w:pPr>
      <w:tabs>
        <w:tab w:val="center" w:pos="4320"/>
        <w:tab w:val="right" w:pos="8640"/>
      </w:tabs>
      <w:overflowPunct w:val="0"/>
      <w:autoSpaceDE w:val="0"/>
      <w:autoSpaceDN w:val="0"/>
      <w:adjustRightInd w:val="0"/>
      <w:spacing w:line="360" w:lineRule="auto"/>
      <w:textAlignment w:val="baseline"/>
    </w:pPr>
    <w:rPr>
      <w:rFonts w:ascii="Times New Roman" w:hAnsi="Times New Roman"/>
      <w:b/>
      <w:bCs/>
      <w:sz w:val="22"/>
    </w:rPr>
  </w:style>
  <w:style w:type="character" w:customStyle="1" w:styleId="a9">
    <w:name w:val="כותרת עליונה תו"/>
    <w:basedOn w:val="a0"/>
    <w:link w:val="a8"/>
    <w:uiPriority w:val="99"/>
    <w:rsid w:val="00C3464B"/>
    <w:rPr>
      <w:rFonts w:ascii="Times New Roman" w:eastAsia="Times New Roman" w:hAnsi="Times New Roman" w:cs="David"/>
      <w:b/>
      <w:bCs/>
      <w:szCs w:val="24"/>
      <w:lang w:eastAsia="he-IL"/>
    </w:rPr>
  </w:style>
  <w:style w:type="paragraph" w:styleId="aa">
    <w:name w:val="footer"/>
    <w:basedOn w:val="a"/>
    <w:link w:val="ab"/>
    <w:rsid w:val="00C3464B"/>
    <w:pPr>
      <w:tabs>
        <w:tab w:val="center" w:pos="4320"/>
        <w:tab w:val="right" w:pos="8640"/>
      </w:tabs>
      <w:overflowPunct w:val="0"/>
      <w:autoSpaceDE w:val="0"/>
      <w:autoSpaceDN w:val="0"/>
      <w:adjustRightInd w:val="0"/>
      <w:spacing w:line="360" w:lineRule="auto"/>
      <w:textAlignment w:val="baseline"/>
    </w:pPr>
    <w:rPr>
      <w:rFonts w:ascii="Times New Roman" w:hAnsi="Times New Roman"/>
      <w:b/>
      <w:bCs/>
      <w:sz w:val="22"/>
    </w:rPr>
  </w:style>
  <w:style w:type="character" w:customStyle="1" w:styleId="ab">
    <w:name w:val="כותרת תחתונה תו"/>
    <w:basedOn w:val="a0"/>
    <w:link w:val="aa"/>
    <w:rsid w:val="00C3464B"/>
    <w:rPr>
      <w:rFonts w:ascii="Times New Roman" w:eastAsia="Times New Roman" w:hAnsi="Times New Roman" w:cs="David"/>
      <w:b/>
      <w:bCs/>
      <w:szCs w:val="24"/>
      <w:lang w:eastAsia="he-IL"/>
    </w:rPr>
  </w:style>
  <w:style w:type="character" w:styleId="ac">
    <w:name w:val="page number"/>
    <w:basedOn w:val="a0"/>
    <w:rsid w:val="00C3464B"/>
  </w:style>
  <w:style w:type="character" w:styleId="Hyperlink">
    <w:name w:val="Hyperlink"/>
    <w:rsid w:val="00C3464B"/>
    <w:rPr>
      <w:color w:val="0000FF"/>
      <w:u w:val="single"/>
    </w:rPr>
  </w:style>
  <w:style w:type="paragraph" w:styleId="ad">
    <w:name w:val="Balloon Text"/>
    <w:basedOn w:val="a"/>
    <w:link w:val="ae"/>
    <w:uiPriority w:val="99"/>
    <w:semiHidden/>
    <w:unhideWhenUsed/>
    <w:rsid w:val="00C3464B"/>
    <w:rPr>
      <w:rFonts w:ascii="Tahoma" w:hAnsi="Tahoma" w:cs="Tahoma"/>
      <w:sz w:val="16"/>
      <w:szCs w:val="16"/>
    </w:rPr>
  </w:style>
  <w:style w:type="character" w:customStyle="1" w:styleId="ae">
    <w:name w:val="טקסט בלונים תו"/>
    <w:basedOn w:val="a0"/>
    <w:link w:val="ad"/>
    <w:uiPriority w:val="99"/>
    <w:semiHidden/>
    <w:rsid w:val="00C3464B"/>
    <w:rPr>
      <w:rFonts w:ascii="Tahoma" w:eastAsia="Times New Roman"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hyperlink" Target="http://www.legislation.gov.uk/ukpga/2012/21/pdfs/ukpga_20120021_en.pdf"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aisweb.org/page/supervisory-material/icp-on-line-tool"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customXml" Target="../customXml/item4.xml"/><Relationship Id="rId10" Type="http://schemas.openxmlformats.org/officeDocument/2006/relationships/hyperlink" Target="https://www.imf.org/external/pubs/ft/scr/2012/cr1269.pdf"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oecd.org/eco/surveys/Israel-Overview-OECD-Economic-Survey-2016.pdf" TargetMode="External"/><Relationship Id="rId14" Type="http://schemas.openxmlformats.org/officeDocument/2006/relationships/header" Target="header1.xml"/><Relationship Id="rId22"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DA7017-1618-458F-A275-F46F50EB7B80}"/>
</file>

<file path=customXml/itemProps2.xml><?xml version="1.0" encoding="utf-8"?>
<ds:datastoreItem xmlns:ds="http://schemas.openxmlformats.org/officeDocument/2006/customXml" ds:itemID="{9F392B17-7572-46F9-890E-4C670030474F}"/>
</file>

<file path=customXml/itemProps3.xml><?xml version="1.0" encoding="utf-8"?>
<ds:datastoreItem xmlns:ds="http://schemas.openxmlformats.org/officeDocument/2006/customXml" ds:itemID="{BAC8EA43-2E48-4B58-8EE2-ABEABF71ED0C}"/>
</file>

<file path=customXml/itemProps4.xml><?xml version="1.0" encoding="utf-8"?>
<ds:datastoreItem xmlns:ds="http://schemas.openxmlformats.org/officeDocument/2006/customXml" ds:itemID="{F4068212-0167-468E-B07F-2713201594E9}"/>
</file>

<file path=docProps/app.xml><?xml version="1.0" encoding="utf-8"?>
<Properties xmlns="http://schemas.openxmlformats.org/officeDocument/2006/extended-properties" xmlns:vt="http://schemas.openxmlformats.org/officeDocument/2006/docPropsVTypes">
  <Template>Normal</Template>
  <TotalTime>4</TotalTime>
  <Pages>4</Pages>
  <Words>1081</Words>
  <Characters>6543</Characters>
  <Application>Microsoft Office Word</Application>
  <DocSecurity>0</DocSecurity>
  <Lines>54</Lines>
  <Paragraphs>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MOF</Company>
  <LinksUpToDate>false</LinksUpToDate>
  <CharactersWithSpaces>7609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יצחק זרביב</dc:creator>
  <cp:lastModifiedBy>אבי כהן</cp:lastModifiedBy>
  <cp:revision>3</cp:revision>
  <dcterms:created xsi:type="dcterms:W3CDTF">2016-06-27T13:56:00Z</dcterms:created>
  <dcterms:modified xsi:type="dcterms:W3CDTF">2016-06-27T14:02:00Z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2003327</vt:r8>
  </property>
</Properties>
</file>