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A65A3" w14:textId="77777777" w:rsidR="00DF1891" w:rsidRPr="0000131B" w:rsidRDefault="00DF1891" w:rsidP="00DF1891">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567031</w:t>
      </w:r>
      <w:bookmarkEnd w:id="1"/>
    </w:p>
    <w:p w14:paraId="4539E6E3" w14:textId="77777777" w:rsidR="00DF1891" w:rsidRPr="00DB7060" w:rsidRDefault="00DF1891" w:rsidP="00DF1891">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595B6466" w14:textId="77777777" w:rsidR="00DF1891" w:rsidRPr="00F67051" w:rsidRDefault="00DF1891" w:rsidP="00DF1891">
      <w:pPr>
        <w:rPr>
          <w:rFonts w:cs="David"/>
          <w:b/>
          <w:bCs/>
          <w:sz w:val="26"/>
          <w:szCs w:val="26"/>
          <w:rtl/>
        </w:rPr>
      </w:pPr>
    </w:p>
    <w:p w14:paraId="22277B9E" w14:textId="77777777" w:rsidR="00DF1891" w:rsidRDefault="00DF1891" w:rsidP="00DF1891">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Pr="00F67051">
        <w:rPr>
          <w:b/>
          <w:bCs/>
        </w:rPr>
        <w:tab/>
      </w:r>
      <w:bookmarkStart w:id="4" w:name="LGS_PM_Names"/>
      <w:r>
        <w:rPr>
          <w:rFonts w:hint="cs"/>
          <w:b/>
          <w:bCs/>
          <w:rtl/>
        </w:rPr>
        <w:t>שלי יחימוביץ'</w:t>
      </w:r>
      <w:bookmarkEnd w:id="4"/>
    </w:p>
    <w:p w14:paraId="5FBE18B7" w14:textId="77777777" w:rsidR="00DF1891" w:rsidRPr="00CF1AA2" w:rsidRDefault="00DF1891" w:rsidP="00DF1891">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1AC706CA" w14:textId="77777777" w:rsidR="00DF1891" w:rsidRPr="00904591" w:rsidRDefault="00DF1891" w:rsidP="00DF1891">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605C32D8" w14:textId="77777777" w:rsidR="00DF1891" w:rsidRPr="00E06736" w:rsidRDefault="00DF1891" w:rsidP="00DF1891">
      <w:pPr>
        <w:pStyle w:val="David"/>
        <w:spacing w:before="0" w:line="240" w:lineRule="auto"/>
        <w:ind w:left="3544"/>
        <w:rPr>
          <w:rtl/>
        </w:rPr>
      </w:pPr>
      <w:r>
        <w:t xml:space="preserve">                                             </w:t>
      </w:r>
      <w:bookmarkStart w:id="7" w:name="Private_Number"/>
      <w:r>
        <w:rPr>
          <w:rFonts w:hint="cs"/>
          <w:rtl/>
        </w:rPr>
        <w:t>פ/1948/20</w:t>
      </w:r>
      <w:bookmarkEnd w:id="7"/>
    </w:p>
    <w:p w14:paraId="4C1782E7" w14:textId="77777777" w:rsidR="00DF1891" w:rsidRDefault="00DF1891" w:rsidP="00DF1891">
      <w:pPr>
        <w:spacing w:before="0" w:line="360" w:lineRule="auto"/>
        <w:ind w:left="2880" w:firstLine="720"/>
        <w:rPr>
          <w:rFonts w:cs="David"/>
          <w:sz w:val="26"/>
          <w:szCs w:val="26"/>
          <w:rtl/>
        </w:rPr>
      </w:pPr>
    </w:p>
    <w:p w14:paraId="1D5BFE58" w14:textId="0386511C" w:rsidR="00DF1891" w:rsidRDefault="00DF1891" w:rsidP="00CF5DE1">
      <w:pPr>
        <w:pStyle w:val="HeadHatzaotHok"/>
        <w:tabs>
          <w:tab w:val="left" w:pos="4071"/>
          <w:tab w:val="center" w:pos="4819"/>
        </w:tabs>
        <w:spacing w:before="0"/>
        <w:rPr>
          <w:sz w:val="26"/>
          <w:rtl/>
        </w:rPr>
      </w:pPr>
      <w:bookmarkStart w:id="8" w:name="Title"/>
      <w:r>
        <w:rPr>
          <w:sz w:val="26"/>
          <w:rtl/>
        </w:rPr>
        <w:t>הצעת חוק חובת המכרזים (תיקון – מוסר תשלומים), התשע"</w:t>
      </w:r>
      <w:bookmarkEnd w:id="8"/>
      <w:r>
        <w:rPr>
          <w:sz w:val="26"/>
          <w:rtl/>
        </w:rPr>
        <w:t>ה–2015</w:t>
      </w:r>
    </w:p>
    <w:tbl>
      <w:tblPr>
        <w:bidiVisual/>
        <w:tblW w:w="9641" w:type="dxa"/>
        <w:tblInd w:w="-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DF1891" w14:paraId="454F14E4" w14:textId="77777777" w:rsidTr="00944880">
        <w:trPr>
          <w:cantSplit/>
        </w:trPr>
        <w:tc>
          <w:tcPr>
            <w:tcW w:w="1871" w:type="dxa"/>
            <w:tcBorders>
              <w:top w:val="nil"/>
              <w:left w:val="nil"/>
              <w:bottom w:val="nil"/>
              <w:right w:val="nil"/>
            </w:tcBorders>
          </w:tcPr>
          <w:p w14:paraId="6D392758" w14:textId="77777777" w:rsidR="00DF1891" w:rsidRDefault="00DF1891" w:rsidP="00944880">
            <w:pPr>
              <w:pStyle w:val="TableSideHeading"/>
            </w:pPr>
            <w:r>
              <w:rPr>
                <w:sz w:val="26"/>
                <w:rtl/>
              </w:rPr>
              <w:t>הוספת סעיף 2ג</w:t>
            </w:r>
          </w:p>
        </w:tc>
        <w:tc>
          <w:tcPr>
            <w:tcW w:w="624" w:type="dxa"/>
            <w:tcBorders>
              <w:top w:val="nil"/>
              <w:left w:val="nil"/>
              <w:bottom w:val="nil"/>
              <w:right w:val="nil"/>
            </w:tcBorders>
          </w:tcPr>
          <w:p w14:paraId="44A74FB5" w14:textId="77777777" w:rsidR="00DF1891" w:rsidRDefault="00DF1891" w:rsidP="00944880">
            <w:pPr>
              <w:pStyle w:val="TableText"/>
            </w:pPr>
            <w:r>
              <w:rPr>
                <w:sz w:val="26"/>
                <w:rtl/>
              </w:rPr>
              <w:t>1.</w:t>
            </w:r>
          </w:p>
        </w:tc>
        <w:tc>
          <w:tcPr>
            <w:tcW w:w="7146" w:type="dxa"/>
            <w:gridSpan w:val="5"/>
            <w:tcBorders>
              <w:top w:val="nil"/>
              <w:left w:val="nil"/>
              <w:bottom w:val="nil"/>
              <w:right w:val="nil"/>
            </w:tcBorders>
          </w:tcPr>
          <w:p w14:paraId="61A9AC97" w14:textId="77777777" w:rsidR="00DF1891" w:rsidRDefault="00DF1891" w:rsidP="00944880">
            <w:pPr>
              <w:pStyle w:val="TableBlock"/>
            </w:pPr>
            <w:r>
              <w:rPr>
                <w:sz w:val="26"/>
                <w:rtl/>
              </w:rPr>
              <w:t>בחוק חובת המכרזים, התשנ"ב–1992</w:t>
            </w:r>
            <w:r>
              <w:rPr>
                <w:rStyle w:val="a6"/>
                <w:sz w:val="26"/>
                <w:rtl/>
              </w:rPr>
              <w:footnoteReference w:id="2"/>
            </w:r>
            <w:r>
              <w:rPr>
                <w:sz w:val="26"/>
                <w:rtl/>
              </w:rPr>
              <w:t>, אחרי סעיף 2ב יבוא:</w:t>
            </w:r>
          </w:p>
        </w:tc>
      </w:tr>
      <w:tr w:rsidR="00DF1891" w14:paraId="5D1E3DE0" w14:textId="77777777" w:rsidTr="00944880">
        <w:trPr>
          <w:cantSplit/>
        </w:trPr>
        <w:tc>
          <w:tcPr>
            <w:tcW w:w="1871" w:type="dxa"/>
            <w:tcBorders>
              <w:top w:val="nil"/>
              <w:left w:val="nil"/>
              <w:bottom w:val="nil"/>
              <w:right w:val="nil"/>
            </w:tcBorders>
          </w:tcPr>
          <w:p w14:paraId="05E14839" w14:textId="77777777" w:rsidR="00DF1891" w:rsidRDefault="00DF1891" w:rsidP="00944880">
            <w:pPr>
              <w:pStyle w:val="TableSideHeading"/>
            </w:pPr>
          </w:p>
        </w:tc>
        <w:tc>
          <w:tcPr>
            <w:tcW w:w="624" w:type="dxa"/>
            <w:tcBorders>
              <w:top w:val="nil"/>
              <w:left w:val="nil"/>
              <w:bottom w:val="nil"/>
              <w:right w:val="nil"/>
            </w:tcBorders>
          </w:tcPr>
          <w:p w14:paraId="2E9C5A92" w14:textId="77777777" w:rsidR="00DF1891" w:rsidRDefault="00DF1891" w:rsidP="00944880">
            <w:pPr>
              <w:pStyle w:val="TableText"/>
            </w:pPr>
          </w:p>
        </w:tc>
        <w:tc>
          <w:tcPr>
            <w:tcW w:w="1872" w:type="dxa"/>
            <w:gridSpan w:val="3"/>
            <w:tcBorders>
              <w:top w:val="nil"/>
              <w:left w:val="nil"/>
              <w:bottom w:val="nil"/>
              <w:right w:val="nil"/>
            </w:tcBorders>
          </w:tcPr>
          <w:p w14:paraId="3F4B5ECB" w14:textId="77777777" w:rsidR="00DF1891" w:rsidRDefault="00DF1891" w:rsidP="00944880">
            <w:pPr>
              <w:pStyle w:val="TableInnerSideHeading"/>
            </w:pPr>
            <w:r>
              <w:rPr>
                <w:sz w:val="26"/>
                <w:rtl/>
              </w:rPr>
              <w:t>"תשלום על עבודה במועדה</w:t>
            </w:r>
          </w:p>
        </w:tc>
        <w:tc>
          <w:tcPr>
            <w:tcW w:w="624" w:type="dxa"/>
            <w:tcBorders>
              <w:top w:val="nil"/>
              <w:left w:val="nil"/>
              <w:bottom w:val="nil"/>
              <w:right w:val="nil"/>
            </w:tcBorders>
          </w:tcPr>
          <w:p w14:paraId="49805DB9" w14:textId="77777777" w:rsidR="00DF1891" w:rsidRDefault="00DF1891" w:rsidP="00944880">
            <w:pPr>
              <w:pStyle w:val="TableText"/>
            </w:pPr>
            <w:r>
              <w:rPr>
                <w:sz w:val="26"/>
                <w:rtl/>
              </w:rPr>
              <w:t>2ג.</w:t>
            </w:r>
          </w:p>
        </w:tc>
        <w:tc>
          <w:tcPr>
            <w:tcW w:w="4650" w:type="dxa"/>
            <w:tcBorders>
              <w:top w:val="nil"/>
              <w:left w:val="nil"/>
              <w:bottom w:val="nil"/>
              <w:right w:val="nil"/>
            </w:tcBorders>
          </w:tcPr>
          <w:p w14:paraId="5C986317" w14:textId="77777777" w:rsidR="00DF1891" w:rsidRDefault="00DF1891" w:rsidP="00944880">
            <w:pPr>
              <w:pStyle w:val="TableBlock"/>
              <w:rPr>
                <w:sz w:val="26"/>
              </w:rPr>
            </w:pPr>
            <w:r>
              <w:rPr>
                <w:sz w:val="26"/>
                <w:rtl/>
              </w:rPr>
              <w:t>(א)</w:t>
            </w:r>
            <w:r>
              <w:rPr>
                <w:sz w:val="26"/>
                <w:rtl/>
              </w:rPr>
              <w:tab/>
              <w:t>תמורה המשתלמת בעד עבודה מסוימת שהוגדרה במכרז</w:t>
            </w:r>
            <w:r>
              <w:rPr>
                <w:rFonts w:hint="cs"/>
                <w:sz w:val="26"/>
                <w:rtl/>
              </w:rPr>
              <w:t xml:space="preserve"> (להלן </w:t>
            </w:r>
            <w:r>
              <w:rPr>
                <w:sz w:val="26"/>
                <w:rtl/>
              </w:rPr>
              <w:t>–</w:t>
            </w:r>
            <w:r>
              <w:rPr>
                <w:rFonts w:hint="cs"/>
                <w:sz w:val="26"/>
                <w:rtl/>
              </w:rPr>
              <w:t xml:space="preserve"> התמורה) </w:t>
            </w:r>
            <w:r>
              <w:rPr>
                <w:sz w:val="26"/>
                <w:rtl/>
              </w:rPr>
              <w:t xml:space="preserve">תשולם עד סוף החודש העוקב לחודש שבו היא בוצעה.  </w:t>
            </w:r>
          </w:p>
        </w:tc>
      </w:tr>
      <w:tr w:rsidR="00DF1891" w14:paraId="4030011D" w14:textId="77777777" w:rsidTr="00944880">
        <w:trPr>
          <w:cantSplit/>
          <w:trHeight w:val="60"/>
        </w:trPr>
        <w:tc>
          <w:tcPr>
            <w:tcW w:w="1871" w:type="dxa"/>
            <w:tcBorders>
              <w:top w:val="nil"/>
              <w:left w:val="nil"/>
              <w:bottom w:val="nil"/>
              <w:right w:val="nil"/>
            </w:tcBorders>
          </w:tcPr>
          <w:p w14:paraId="6C389004" w14:textId="77777777" w:rsidR="00DF1891" w:rsidRDefault="00DF1891" w:rsidP="00944880">
            <w:pPr>
              <w:pStyle w:val="TableSideHeading"/>
            </w:pPr>
          </w:p>
        </w:tc>
        <w:tc>
          <w:tcPr>
            <w:tcW w:w="624" w:type="dxa"/>
            <w:tcBorders>
              <w:top w:val="nil"/>
              <w:left w:val="nil"/>
              <w:bottom w:val="nil"/>
              <w:right w:val="nil"/>
            </w:tcBorders>
          </w:tcPr>
          <w:p w14:paraId="50F9DAE5" w14:textId="77777777" w:rsidR="00DF1891" w:rsidRDefault="00DF1891" w:rsidP="00944880">
            <w:pPr>
              <w:pStyle w:val="TableText"/>
            </w:pPr>
          </w:p>
        </w:tc>
        <w:tc>
          <w:tcPr>
            <w:tcW w:w="624" w:type="dxa"/>
            <w:tcBorders>
              <w:top w:val="nil"/>
              <w:left w:val="nil"/>
              <w:bottom w:val="nil"/>
              <w:right w:val="nil"/>
            </w:tcBorders>
          </w:tcPr>
          <w:p w14:paraId="1C4F5D55" w14:textId="77777777" w:rsidR="00DF1891" w:rsidRDefault="00DF1891" w:rsidP="00944880">
            <w:pPr>
              <w:pStyle w:val="TableText"/>
            </w:pPr>
          </w:p>
        </w:tc>
        <w:tc>
          <w:tcPr>
            <w:tcW w:w="624" w:type="dxa"/>
            <w:tcBorders>
              <w:top w:val="nil"/>
              <w:left w:val="nil"/>
              <w:bottom w:val="nil"/>
              <w:right w:val="nil"/>
            </w:tcBorders>
          </w:tcPr>
          <w:p w14:paraId="2BBC4D10" w14:textId="77777777" w:rsidR="00DF1891" w:rsidRDefault="00DF1891" w:rsidP="00944880">
            <w:pPr>
              <w:pStyle w:val="TableText"/>
            </w:pPr>
          </w:p>
        </w:tc>
        <w:tc>
          <w:tcPr>
            <w:tcW w:w="624" w:type="dxa"/>
            <w:tcBorders>
              <w:top w:val="nil"/>
              <w:left w:val="nil"/>
              <w:bottom w:val="nil"/>
              <w:right w:val="nil"/>
            </w:tcBorders>
          </w:tcPr>
          <w:p w14:paraId="71E527B7" w14:textId="77777777" w:rsidR="00DF1891" w:rsidRDefault="00DF1891" w:rsidP="00944880">
            <w:pPr>
              <w:pStyle w:val="TableText"/>
            </w:pPr>
          </w:p>
        </w:tc>
        <w:tc>
          <w:tcPr>
            <w:tcW w:w="624" w:type="dxa"/>
            <w:tcBorders>
              <w:top w:val="nil"/>
              <w:left w:val="nil"/>
              <w:bottom w:val="nil"/>
              <w:right w:val="nil"/>
            </w:tcBorders>
          </w:tcPr>
          <w:p w14:paraId="7F318D90" w14:textId="77777777" w:rsidR="00DF1891" w:rsidRDefault="00DF1891" w:rsidP="00944880">
            <w:pPr>
              <w:pStyle w:val="TableText"/>
            </w:pPr>
          </w:p>
        </w:tc>
        <w:tc>
          <w:tcPr>
            <w:tcW w:w="4650" w:type="dxa"/>
            <w:tcBorders>
              <w:top w:val="nil"/>
              <w:left w:val="nil"/>
              <w:bottom w:val="nil"/>
              <w:right w:val="nil"/>
            </w:tcBorders>
          </w:tcPr>
          <w:p w14:paraId="2B10D7B5" w14:textId="6912B940" w:rsidR="00DF1891" w:rsidRDefault="00DF1891" w:rsidP="00CF5DE1">
            <w:pPr>
              <w:pStyle w:val="TableBlock"/>
              <w:rPr>
                <w:sz w:val="26"/>
              </w:rPr>
            </w:pPr>
            <w:r>
              <w:rPr>
                <w:sz w:val="26"/>
                <w:rtl/>
              </w:rPr>
              <w:t>(ב)</w:t>
            </w:r>
            <w:r>
              <w:rPr>
                <w:sz w:val="26"/>
                <w:rtl/>
              </w:rPr>
              <w:tab/>
              <w:t>על אף האמור בסעיף קטן (א)</w:t>
            </w:r>
            <w:r w:rsidR="00CF5DE1">
              <w:rPr>
                <w:rFonts w:hint="cs"/>
                <w:sz w:val="26"/>
                <w:rtl/>
              </w:rPr>
              <w:t>,</w:t>
            </w:r>
            <w:r>
              <w:rPr>
                <w:sz w:val="26"/>
                <w:rtl/>
              </w:rPr>
              <w:t xml:space="preserve"> עורך המכרז </w:t>
            </w:r>
            <w:r w:rsidR="00CF5DE1">
              <w:rPr>
                <w:sz w:val="26"/>
                <w:rtl/>
              </w:rPr>
              <w:t xml:space="preserve">רשאי </w:t>
            </w:r>
            <w:r>
              <w:rPr>
                <w:sz w:val="26"/>
                <w:rtl/>
              </w:rPr>
              <w:t>לדחות את התשלום בשלושים ימים נוספים באישור המנהל הכללי של היחידה המזמינה ובשלושים ימים נוספים באישור שר</w:t>
            </w:r>
            <w:r>
              <w:rPr>
                <w:rFonts w:hint="cs"/>
                <w:sz w:val="26"/>
                <w:rtl/>
              </w:rPr>
              <w:t xml:space="preserve"> האוצר</w:t>
            </w:r>
            <w:r>
              <w:rPr>
                <w:sz w:val="26"/>
                <w:rtl/>
              </w:rPr>
              <w:t>.</w:t>
            </w:r>
          </w:p>
        </w:tc>
      </w:tr>
      <w:tr w:rsidR="00DF1891" w14:paraId="30269495" w14:textId="77777777" w:rsidTr="00944880">
        <w:trPr>
          <w:cantSplit/>
          <w:trHeight w:val="60"/>
        </w:trPr>
        <w:tc>
          <w:tcPr>
            <w:tcW w:w="1871" w:type="dxa"/>
            <w:tcBorders>
              <w:top w:val="nil"/>
              <w:left w:val="nil"/>
              <w:bottom w:val="nil"/>
              <w:right w:val="nil"/>
            </w:tcBorders>
          </w:tcPr>
          <w:p w14:paraId="0CA77E85" w14:textId="77777777" w:rsidR="00DF1891" w:rsidRDefault="00DF1891" w:rsidP="00944880">
            <w:pPr>
              <w:pStyle w:val="TableSideHeading"/>
            </w:pPr>
          </w:p>
        </w:tc>
        <w:tc>
          <w:tcPr>
            <w:tcW w:w="624" w:type="dxa"/>
            <w:tcBorders>
              <w:top w:val="nil"/>
              <w:left w:val="nil"/>
              <w:bottom w:val="nil"/>
              <w:right w:val="nil"/>
            </w:tcBorders>
          </w:tcPr>
          <w:p w14:paraId="10AD64A6" w14:textId="77777777" w:rsidR="00DF1891" w:rsidRDefault="00DF1891" w:rsidP="00944880">
            <w:pPr>
              <w:pStyle w:val="TableText"/>
            </w:pPr>
          </w:p>
        </w:tc>
        <w:tc>
          <w:tcPr>
            <w:tcW w:w="624" w:type="dxa"/>
            <w:tcBorders>
              <w:top w:val="nil"/>
              <w:left w:val="nil"/>
              <w:bottom w:val="nil"/>
              <w:right w:val="nil"/>
            </w:tcBorders>
          </w:tcPr>
          <w:p w14:paraId="66FAEDD9" w14:textId="77777777" w:rsidR="00DF1891" w:rsidRDefault="00DF1891" w:rsidP="00944880">
            <w:pPr>
              <w:pStyle w:val="TableText"/>
            </w:pPr>
          </w:p>
        </w:tc>
        <w:tc>
          <w:tcPr>
            <w:tcW w:w="624" w:type="dxa"/>
            <w:tcBorders>
              <w:top w:val="nil"/>
              <w:left w:val="nil"/>
              <w:bottom w:val="nil"/>
              <w:right w:val="nil"/>
            </w:tcBorders>
          </w:tcPr>
          <w:p w14:paraId="43838ADA" w14:textId="77777777" w:rsidR="00DF1891" w:rsidRDefault="00DF1891" w:rsidP="00944880">
            <w:pPr>
              <w:pStyle w:val="TableText"/>
            </w:pPr>
          </w:p>
        </w:tc>
        <w:tc>
          <w:tcPr>
            <w:tcW w:w="624" w:type="dxa"/>
            <w:tcBorders>
              <w:top w:val="nil"/>
              <w:left w:val="nil"/>
              <w:bottom w:val="nil"/>
              <w:right w:val="nil"/>
            </w:tcBorders>
          </w:tcPr>
          <w:p w14:paraId="2872B20D" w14:textId="77777777" w:rsidR="00DF1891" w:rsidRDefault="00DF1891" w:rsidP="00944880">
            <w:pPr>
              <w:pStyle w:val="TableText"/>
            </w:pPr>
          </w:p>
        </w:tc>
        <w:tc>
          <w:tcPr>
            <w:tcW w:w="624" w:type="dxa"/>
            <w:tcBorders>
              <w:top w:val="nil"/>
              <w:left w:val="nil"/>
              <w:bottom w:val="nil"/>
              <w:right w:val="nil"/>
            </w:tcBorders>
          </w:tcPr>
          <w:p w14:paraId="532562EE" w14:textId="77777777" w:rsidR="00DF1891" w:rsidRDefault="00DF1891" w:rsidP="00944880">
            <w:pPr>
              <w:pStyle w:val="TableText"/>
            </w:pPr>
          </w:p>
        </w:tc>
        <w:tc>
          <w:tcPr>
            <w:tcW w:w="4650" w:type="dxa"/>
            <w:tcBorders>
              <w:top w:val="nil"/>
              <w:left w:val="nil"/>
              <w:bottom w:val="nil"/>
              <w:right w:val="nil"/>
            </w:tcBorders>
          </w:tcPr>
          <w:p w14:paraId="5C5125DE" w14:textId="77777777" w:rsidR="00DF1891" w:rsidRDefault="00DF1891" w:rsidP="00944880">
            <w:pPr>
              <w:pStyle w:val="TableBlock"/>
            </w:pPr>
            <w:r>
              <w:rPr>
                <w:sz w:val="26"/>
                <w:rtl/>
              </w:rPr>
              <w:t>(ג)</w:t>
            </w:r>
            <w:r>
              <w:rPr>
                <w:sz w:val="26"/>
                <w:rtl/>
              </w:rPr>
              <w:tab/>
              <w:t>ה</w:t>
            </w:r>
            <w:r>
              <w:rPr>
                <w:rFonts w:hint="cs"/>
                <w:sz w:val="26"/>
                <w:rtl/>
              </w:rPr>
              <w:t>מפר</w:t>
            </w:r>
            <w:r>
              <w:rPr>
                <w:sz w:val="26"/>
                <w:rtl/>
              </w:rPr>
              <w:t xml:space="preserve"> הוראות סעיף זה </w:t>
            </w:r>
            <w:r>
              <w:rPr>
                <w:rFonts w:hint="cs"/>
                <w:sz w:val="26"/>
                <w:rtl/>
              </w:rPr>
              <w:t>ישלם את התמורה ל</w:t>
            </w:r>
            <w:r>
              <w:rPr>
                <w:sz w:val="26"/>
                <w:rtl/>
              </w:rPr>
              <w:t>ספק</w:t>
            </w:r>
            <w:r>
              <w:rPr>
                <w:rFonts w:hint="cs"/>
                <w:sz w:val="26"/>
                <w:rtl/>
              </w:rPr>
              <w:t xml:space="preserve"> שהתשלום</w:t>
            </w:r>
            <w:r>
              <w:rPr>
                <w:sz w:val="26"/>
                <w:rtl/>
              </w:rPr>
              <w:t xml:space="preserve"> לו עוכב </w:t>
            </w:r>
            <w:r>
              <w:rPr>
                <w:rFonts w:hint="cs"/>
                <w:sz w:val="26"/>
                <w:rtl/>
              </w:rPr>
              <w:t>בתוספת ריבית פיגורים כמשמעותה לפי סעיף 5 לחוק פסיקת ריבית והצמדה, התשכ"א</w:t>
            </w:r>
            <w:r>
              <w:rPr>
                <w:sz w:val="26"/>
                <w:rtl/>
              </w:rPr>
              <w:t>–</w:t>
            </w:r>
            <w:r>
              <w:rPr>
                <w:rFonts w:hint="cs"/>
                <w:sz w:val="26"/>
                <w:rtl/>
              </w:rPr>
              <w:t>1961</w:t>
            </w:r>
            <w:r>
              <w:rPr>
                <w:rStyle w:val="a6"/>
                <w:sz w:val="26"/>
                <w:rtl/>
              </w:rPr>
              <w:footnoteReference w:id="3"/>
            </w:r>
            <w:r>
              <w:rPr>
                <w:rFonts w:hint="cs"/>
                <w:sz w:val="26"/>
                <w:rtl/>
              </w:rPr>
              <w:t>, ובתוספת ריבית שנתית של</w:t>
            </w:r>
            <w:r>
              <w:rPr>
                <w:sz w:val="26"/>
                <w:rtl/>
              </w:rPr>
              <w:t xml:space="preserve"> 5%."</w:t>
            </w:r>
          </w:p>
        </w:tc>
      </w:tr>
    </w:tbl>
    <w:p w14:paraId="531EF749" w14:textId="77777777" w:rsidR="00DF1891" w:rsidRDefault="00DF1891" w:rsidP="00DF1891">
      <w:pPr>
        <w:pStyle w:val="HeadDivreiHesber"/>
        <w:spacing w:before="0" w:after="0"/>
        <w:rPr>
          <w:sz w:val="26"/>
          <w:rtl/>
        </w:rPr>
      </w:pPr>
    </w:p>
    <w:p w14:paraId="66019F95" w14:textId="77777777" w:rsidR="00DF1891" w:rsidRDefault="00DF1891" w:rsidP="00DF1891">
      <w:pPr>
        <w:pStyle w:val="HeadDivreiHesber"/>
        <w:spacing w:before="0" w:after="0"/>
        <w:rPr>
          <w:sz w:val="26"/>
          <w:rtl/>
        </w:rPr>
      </w:pPr>
      <w:r>
        <w:rPr>
          <w:sz w:val="26"/>
          <w:rtl/>
        </w:rPr>
        <w:t>דברי הסבר</w:t>
      </w:r>
    </w:p>
    <w:p w14:paraId="6753FED4" w14:textId="77777777" w:rsidR="00DF1891" w:rsidRPr="007809E2" w:rsidRDefault="00DF1891" w:rsidP="00DF1891">
      <w:pPr>
        <w:pStyle w:val="Hesber"/>
        <w:rPr>
          <w:rtl/>
        </w:rPr>
      </w:pPr>
      <w:r w:rsidRPr="007809E2">
        <w:rPr>
          <w:rtl/>
        </w:rPr>
        <w:t>מוסר התשלומים במדינת ישראל, עבור לקוחות ישראלים הוא אחת מהבעיות המוכרות והמעיקות על המשק הישראלי; אחוז העסקאות שבהן מתבצע איחור בתשלומים נע בין 14-16 אחוזים, וממוצע ימי האיחור נע סביב 10 ימים.</w:t>
      </w:r>
    </w:p>
    <w:p w14:paraId="1C63F3D8" w14:textId="77777777" w:rsidR="00DF1891" w:rsidRPr="007809E2" w:rsidRDefault="00DF1891" w:rsidP="00DF1891">
      <w:pPr>
        <w:pStyle w:val="Hesber"/>
        <w:rPr>
          <w:rtl/>
        </w:rPr>
      </w:pPr>
      <w:r w:rsidRPr="007809E2">
        <w:rPr>
          <w:rtl/>
        </w:rPr>
        <w:t>בעיה זו גוררת פגיעה בתחרותיות הלאומית, בסביבה העסקית, באיתנות הפיננסית של עסקים, באיכות הניהול במשק ואף בשלטון החוק ובמוסר העסקי. בעיות אלו, בתקופה של משבר כלכלי המקשה גם כך, על עס</w:t>
      </w:r>
      <w:r>
        <w:rPr>
          <w:rtl/>
        </w:rPr>
        <w:t>קים קטנים ובינוניים לשרוד, עלול</w:t>
      </w:r>
      <w:r>
        <w:rPr>
          <w:rFonts w:hint="cs"/>
          <w:rtl/>
        </w:rPr>
        <w:t>ות</w:t>
      </w:r>
      <w:r w:rsidRPr="007809E2">
        <w:rPr>
          <w:rtl/>
        </w:rPr>
        <w:t xml:space="preserve"> לגרום לקריסתן של חברות, פגיעה בצמיחה ועליה באבטלה.</w:t>
      </w:r>
    </w:p>
    <w:p w14:paraId="418E5D5E" w14:textId="26362D9E" w:rsidR="00DF1891" w:rsidRPr="007809E2" w:rsidRDefault="00DF1891" w:rsidP="00724789">
      <w:pPr>
        <w:pStyle w:val="Hesber"/>
        <w:rPr>
          <w:rtl/>
        </w:rPr>
      </w:pPr>
      <w:r w:rsidRPr="007809E2">
        <w:rPr>
          <w:rtl/>
        </w:rPr>
        <w:t>המשבר הכלכלי, לא רק מגביר את הפגיעה של מוסר התשלו</w:t>
      </w:r>
      <w:r w:rsidR="00724789">
        <w:rPr>
          <w:rtl/>
        </w:rPr>
        <w:t xml:space="preserve">מים, אלא גם גורם להחרפת הבעיה, </w:t>
      </w:r>
      <w:r w:rsidR="00CF5DE1">
        <w:rPr>
          <w:rFonts w:hint="cs"/>
          <w:rtl/>
        </w:rPr>
        <w:t>נו</w:t>
      </w:r>
      <w:r w:rsidR="00724789">
        <w:rPr>
          <w:rFonts w:hint="cs"/>
          <w:rtl/>
        </w:rPr>
        <w:t>כח</w:t>
      </w:r>
      <w:r w:rsidRPr="007809E2">
        <w:rPr>
          <w:rtl/>
        </w:rPr>
        <w:t xml:space="preserve"> </w:t>
      </w:r>
      <w:r w:rsidRPr="007809E2">
        <w:rPr>
          <w:rtl/>
        </w:rPr>
        <w:lastRenderedPageBreak/>
        <w:t xml:space="preserve">הקושי של ספקים לעמוד במועדי התשלום שלהם. </w:t>
      </w:r>
    </w:p>
    <w:p w14:paraId="0DA0A5F6" w14:textId="6924B861" w:rsidR="00DF1891" w:rsidRPr="007809E2" w:rsidRDefault="00DF1891" w:rsidP="00CF5DE1">
      <w:pPr>
        <w:pStyle w:val="Hesber"/>
        <w:rPr>
          <w:rtl/>
        </w:rPr>
      </w:pPr>
      <w:r w:rsidRPr="007809E2">
        <w:rPr>
          <w:rtl/>
        </w:rPr>
        <w:t xml:space="preserve">בעוד ניתן להבין, גם אם לא להצדיק, </w:t>
      </w:r>
      <w:r w:rsidR="00CF5DE1">
        <w:rPr>
          <w:rtl/>
        </w:rPr>
        <w:t>מוסדות פרטיים</w:t>
      </w:r>
      <w:r w:rsidRPr="007809E2">
        <w:rPr>
          <w:rtl/>
        </w:rPr>
        <w:t xml:space="preserve"> </w:t>
      </w:r>
      <w:r w:rsidR="00CF5DE1">
        <w:rPr>
          <w:rFonts w:hint="cs"/>
          <w:rtl/>
        </w:rPr>
        <w:t>ש</w:t>
      </w:r>
      <w:r w:rsidRPr="007809E2">
        <w:rPr>
          <w:rtl/>
        </w:rPr>
        <w:t>נקלעים לקשיי נזילות ולכן אינם עומדים במוסר התשלומים המקובל, הרי שאין בשום פנים ואופן להשלים עם מקרים כאלה כאשר הגורם המעכב הוא המדינה.</w:t>
      </w:r>
    </w:p>
    <w:p w14:paraId="670B746E" w14:textId="77777777" w:rsidR="00DF1891" w:rsidRPr="007809E2" w:rsidRDefault="00DF1891" w:rsidP="00DF1891">
      <w:pPr>
        <w:pStyle w:val="Hesber"/>
        <w:rPr>
          <w:rtl/>
        </w:rPr>
      </w:pPr>
      <w:r w:rsidRPr="007809E2">
        <w:rPr>
          <w:rtl/>
        </w:rPr>
        <w:t xml:space="preserve">הפגיעה בעקבות עיכוב תשלומים על ידי מוסדות הממשלה חמורה מפגיעות בעיכוב תשלומים על ידי גורמים פרטיים, מאחר והיא מולידה שרשרת של עיכובי תשלום והלנות שכר, אשר פוגעות פגיעה ממשית בכלכלה. </w:t>
      </w:r>
    </w:p>
    <w:p w14:paraId="3D7E844A" w14:textId="77777777" w:rsidR="00DF1891" w:rsidRPr="007809E2" w:rsidRDefault="00DF1891" w:rsidP="00DF1891">
      <w:pPr>
        <w:pStyle w:val="Hesber"/>
        <w:rPr>
          <w:rtl/>
        </w:rPr>
      </w:pPr>
      <w:r w:rsidRPr="007809E2">
        <w:rPr>
          <w:rtl/>
        </w:rPr>
        <w:t>כמו בכל נושא אחר, על הממשלה להראות דוגמה אישית, בעמידתה בתנאים הכלכליים אשר מצופה מאזרחיה לעמוד בהם. על כן נועדה הצעת החוק לעגן את זכותם של עסקים לקבל תמורה על עבודתם בזמן בהתקשרויותיהם עם המדינה.</w:t>
      </w:r>
    </w:p>
    <w:p w14:paraId="39A5ED0A" w14:textId="77777777" w:rsidR="00DF1891" w:rsidRPr="007809E2" w:rsidRDefault="00DF1891" w:rsidP="00DF1891">
      <w:pPr>
        <w:pStyle w:val="Hesber"/>
        <w:rPr>
          <w:rtl/>
        </w:rPr>
      </w:pPr>
      <w:r w:rsidRPr="004507F2">
        <w:rPr>
          <w:rFonts w:hint="cs"/>
          <w:rtl/>
        </w:rPr>
        <w:t>הצעות חוק בנושא דומה הונחו על שולחן הכנסת השמונה-עשרה על ידי חברת הכנסת פניה קירשנבאום וקבוצת חברי הכנסת (פ/4141/18), על שולחן הכנסת התשע-עשרה על ידי חבר הכנסת רוברט אילטוב (פ/836/19), ועל שולחן הכנסת העשרים על ידי חבר הכנסת רועי פולקמן וקבוצת חברי הכנסת (פ/662/20) ועל ידי חבר הכנסת מיקי לוי (פ/663/20).</w:t>
      </w:r>
    </w:p>
    <w:p w14:paraId="2D837086" w14:textId="77777777" w:rsidR="00DF1891" w:rsidRPr="007809E2" w:rsidRDefault="00DF1891" w:rsidP="00DF1891">
      <w:pPr>
        <w:pStyle w:val="Hesber"/>
        <w:rPr>
          <w:rtl/>
        </w:rPr>
      </w:pPr>
      <w:r w:rsidRPr="007809E2">
        <w:rPr>
          <w:rtl/>
        </w:rPr>
        <w:t xml:space="preserve">הצעות חוק זהות הונחו על שולחן הכנסת השמונה-עשרה על ידי חבר הכנסת אופיר פינס-פז (פ/1452/18; הוסרה מסדר היום ביום כ"ו בטבת התש"ע (12 בינואר 2010)) ועל ידי חברת הכנסת שלי יחימוביץ' וקבוצת חברי הכנסת (פ/2201/18), </w:t>
      </w:r>
      <w:r w:rsidRPr="007809E2">
        <w:rPr>
          <w:rFonts w:hint="cs"/>
          <w:rtl/>
        </w:rPr>
        <w:t>ו</w:t>
      </w:r>
      <w:r w:rsidRPr="007809E2">
        <w:rPr>
          <w:rtl/>
        </w:rPr>
        <w:t>על שולחן הכנסת התשע-עשרה על ידי חברת הכנסת שלי יחימוביץ' (פ/753/19)</w:t>
      </w:r>
      <w:r w:rsidRPr="007809E2">
        <w:rPr>
          <w:rFonts w:hint="cs"/>
          <w:rtl/>
        </w:rPr>
        <w:t xml:space="preserve">. </w:t>
      </w:r>
    </w:p>
    <w:p w14:paraId="2680A0FE" w14:textId="77777777" w:rsidR="00DF1891" w:rsidRDefault="00DF1891" w:rsidP="00DF1891">
      <w:pPr>
        <w:pStyle w:val="Hesber"/>
        <w:rPr>
          <w:sz w:val="26"/>
          <w:rtl/>
        </w:rPr>
      </w:pPr>
    </w:p>
    <w:p w14:paraId="2FAD01B9" w14:textId="77777777" w:rsidR="00DF1891" w:rsidRDefault="00DF1891" w:rsidP="00DF1891">
      <w:pPr>
        <w:pStyle w:val="Hesber"/>
        <w:rPr>
          <w:sz w:val="26"/>
          <w:rtl/>
        </w:rPr>
      </w:pPr>
    </w:p>
    <w:p w14:paraId="241D59C3" w14:textId="77777777" w:rsidR="00724789" w:rsidRPr="00557D2C" w:rsidRDefault="00724789" w:rsidP="008D1E08">
      <w:pPr>
        <w:pStyle w:val="Hesber"/>
        <w:rPr>
          <w:rtl/>
        </w:rPr>
      </w:pPr>
      <w:r w:rsidRPr="00557D2C">
        <w:rPr>
          <w:rtl/>
        </w:rPr>
        <w:t>---------------------------------</w:t>
      </w:r>
    </w:p>
    <w:p w14:paraId="15095D6B" w14:textId="77777777" w:rsidR="00724789" w:rsidRPr="00557D2C" w:rsidRDefault="00724789" w:rsidP="008D1E08">
      <w:pPr>
        <w:pStyle w:val="Hesber"/>
        <w:rPr>
          <w:rtl/>
        </w:rPr>
      </w:pPr>
      <w:r w:rsidRPr="00557D2C">
        <w:rPr>
          <w:rtl/>
        </w:rPr>
        <w:t>הוגשה ליו"ר הכנסת והסגנים</w:t>
      </w:r>
    </w:p>
    <w:p w14:paraId="2351819A" w14:textId="77777777" w:rsidR="00724789" w:rsidRPr="00557D2C" w:rsidRDefault="00724789" w:rsidP="008D1E08">
      <w:pPr>
        <w:pStyle w:val="Hesber"/>
        <w:rPr>
          <w:rtl/>
        </w:rPr>
      </w:pPr>
      <w:r w:rsidRPr="00557D2C">
        <w:rPr>
          <w:rtl/>
        </w:rPr>
        <w:t>והונחה על שולחן הכנסת ביום</w:t>
      </w:r>
    </w:p>
    <w:p w14:paraId="1B27DAB2" w14:textId="26BEEB0F" w:rsidR="00DF1891" w:rsidRPr="00724789" w:rsidRDefault="00724789" w:rsidP="00724789">
      <w:pPr>
        <w:pStyle w:val="Hesber"/>
        <w:rPr>
          <w:rtl/>
        </w:rPr>
      </w:pPr>
      <w:r>
        <w:rPr>
          <w:rFonts w:hint="cs"/>
          <w:rtl/>
        </w:rPr>
        <w:t>י"ג</w:t>
      </w:r>
      <w:r w:rsidRPr="00557D2C">
        <w:rPr>
          <w:rFonts w:hint="cs"/>
          <w:rtl/>
        </w:rPr>
        <w:t xml:space="preserve"> </w:t>
      </w:r>
      <w:r>
        <w:rPr>
          <w:rFonts w:hint="cs"/>
          <w:rtl/>
        </w:rPr>
        <w:t xml:space="preserve">באב </w:t>
      </w:r>
      <w:r w:rsidRPr="00557D2C">
        <w:rPr>
          <w:rFonts w:hint="cs"/>
          <w:rtl/>
        </w:rPr>
        <w:t xml:space="preserve">התשע"ה </w:t>
      </w:r>
      <w:r w:rsidRPr="00557D2C">
        <w:rPr>
          <w:rtl/>
        </w:rPr>
        <w:t>–</w:t>
      </w:r>
      <w:r>
        <w:rPr>
          <w:rFonts w:hint="cs"/>
          <w:rtl/>
        </w:rPr>
        <w:t xml:space="preserve"> 29.7.15</w:t>
      </w:r>
    </w:p>
    <w:p w14:paraId="62FD92E3" w14:textId="77777777" w:rsidR="00DF1891" w:rsidRDefault="00DF1891" w:rsidP="00DF1891">
      <w:pPr>
        <w:pStyle w:val="Hesber"/>
        <w:rPr>
          <w:sz w:val="26"/>
          <w:rtl/>
        </w:rPr>
      </w:pPr>
    </w:p>
    <w:p w14:paraId="34F8FF75" w14:textId="77777777" w:rsidR="00DF1891" w:rsidRDefault="00DF1891" w:rsidP="00DF1891">
      <w:pPr>
        <w:pStyle w:val="Hesber"/>
        <w:rPr>
          <w:sz w:val="26"/>
          <w:rtl/>
        </w:rPr>
      </w:pPr>
    </w:p>
    <w:p w14:paraId="4F6D020C" w14:textId="77777777" w:rsidR="00DF1891" w:rsidRDefault="00DF1891" w:rsidP="00DF1891">
      <w:pPr>
        <w:pStyle w:val="Hesber"/>
        <w:rPr>
          <w:sz w:val="26"/>
          <w:rtl/>
        </w:rPr>
      </w:pPr>
    </w:p>
    <w:p w14:paraId="23F45855" w14:textId="77777777" w:rsidR="00DF1891" w:rsidRDefault="00DF1891" w:rsidP="00DF1891">
      <w:pPr>
        <w:pStyle w:val="HeadHatzaotHok"/>
        <w:rPr>
          <w:rtl/>
        </w:rPr>
      </w:pPr>
    </w:p>
    <w:p w14:paraId="7F6961CB" w14:textId="77777777" w:rsidR="00E13C27" w:rsidRPr="00DF1891" w:rsidRDefault="00E13C27" w:rsidP="00DF1891">
      <w:pPr>
        <w:rPr>
          <w:rtl/>
        </w:rPr>
      </w:pPr>
    </w:p>
    <w:sectPr w:rsidR="00E13C27" w:rsidRPr="00DF1891"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EE0E55" w14:textId="77777777" w:rsidR="00343D44" w:rsidRDefault="00343D44">
      <w:r>
        <w:separator/>
      </w:r>
    </w:p>
  </w:endnote>
  <w:endnote w:type="continuationSeparator" w:id="0">
    <w:p w14:paraId="4BF157C9" w14:textId="77777777" w:rsidR="00343D44" w:rsidRDefault="00343D44">
      <w:r>
        <w:continuationSeparator/>
      </w:r>
    </w:p>
  </w:endnote>
  <w:endnote w:type="continuationNotice" w:id="1">
    <w:p w14:paraId="1229C6E6" w14:textId="77777777" w:rsidR="00343D44" w:rsidRDefault="00343D4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0456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86140D" w14:textId="77777777" w:rsidR="00343D44" w:rsidRDefault="00343D44">
      <w:r>
        <w:separator/>
      </w:r>
    </w:p>
  </w:footnote>
  <w:footnote w:type="continuationSeparator" w:id="0">
    <w:p w14:paraId="7B258BE9" w14:textId="77777777" w:rsidR="00343D44" w:rsidRDefault="00343D44">
      <w:r>
        <w:continuationSeparator/>
      </w:r>
    </w:p>
  </w:footnote>
  <w:footnote w:type="continuationNotice" w:id="1">
    <w:p w14:paraId="342B69DC" w14:textId="77777777" w:rsidR="00343D44" w:rsidRDefault="00343D44"/>
  </w:footnote>
  <w:footnote w:id="2">
    <w:p w14:paraId="6FED83C7" w14:textId="77777777" w:rsidR="00DF1891" w:rsidRDefault="00DF1891" w:rsidP="00DF1891">
      <w:pPr>
        <w:pStyle w:val="a4"/>
      </w:pPr>
      <w:r>
        <w:rPr>
          <w:rStyle w:val="a6"/>
        </w:rPr>
        <w:footnoteRef/>
      </w:r>
      <w:r>
        <w:rPr>
          <w:sz w:val="20"/>
          <w:rtl/>
        </w:rPr>
        <w:t xml:space="preserve"> ס"ח התשנ"ב, עמ' 114.</w:t>
      </w:r>
    </w:p>
  </w:footnote>
  <w:footnote w:id="3">
    <w:p w14:paraId="05E54D67" w14:textId="77777777" w:rsidR="00DF1891" w:rsidRDefault="00DF1891" w:rsidP="00DF1891">
      <w:pPr>
        <w:pStyle w:val="a4"/>
        <w:rPr>
          <w:rtl/>
        </w:rPr>
      </w:pPr>
      <w:r>
        <w:rPr>
          <w:rStyle w:val="a6"/>
        </w:rPr>
        <w:footnoteRef/>
      </w:r>
      <w:r>
        <w:rPr>
          <w:rtl/>
        </w:rPr>
        <w:t xml:space="preserve"> </w:t>
      </w:r>
      <w:r>
        <w:rPr>
          <w:rFonts w:hint="cs"/>
          <w:rtl/>
        </w:rPr>
        <w:t>ס"ח התשכ"א, עמ' 192.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43D4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24789"/>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04562"/>
    <w:rsid w:val="00C23B1A"/>
    <w:rsid w:val="00C310EB"/>
    <w:rsid w:val="00C9176A"/>
    <w:rsid w:val="00CF1AA2"/>
    <w:rsid w:val="00CF5DE1"/>
    <w:rsid w:val="00D17774"/>
    <w:rsid w:val="00D63620"/>
    <w:rsid w:val="00D8410D"/>
    <w:rsid w:val="00D867D7"/>
    <w:rsid w:val="00DB7060"/>
    <w:rsid w:val="00DE3153"/>
    <w:rsid w:val="00DF1891"/>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1432E"/>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uiPriority w:val="99"/>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uiPriority w:val="99"/>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F1432E"/>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uiPriority w:val="99"/>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uiPriority w:val="99"/>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F1432E"/>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03F481-627E-408E-9D8F-869DFCFDAC98}"/>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3D9E64EB-3B81-4D80-A884-8950F9F013F3}"/>
</file>

<file path=docProps/app.xml><?xml version="1.0" encoding="utf-8"?>
<Properties xmlns="http://schemas.openxmlformats.org/officeDocument/2006/extended-properties" xmlns:vt="http://schemas.openxmlformats.org/officeDocument/2006/docPropsVTypes">
  <Template>Normal</Template>
  <TotalTime>1</TotalTime>
  <Pages>2</Pages>
  <Words>444</Words>
  <Characters>2224</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2015-07-27T10:35:00Z</cp:lastPrinted>
  <dcterms:created xsi:type="dcterms:W3CDTF">2016-06-29T08:32:00Z</dcterms:created>
  <dcterms:modified xsi:type="dcterms:W3CDTF">2016-06-29T08:32:00Z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2004801</vt:r8>
  </property>
</Properties>
</file>