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י"ג בסיוון התשע"ו</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19 ביוני, 2016</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3935</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6" w:name="AGN_Subject"/>
      <w:bookmarkStart w:id="7" w:name="_GoBack"/>
      <w:r>
        <w:rPr>
          <w:rFonts w:ascii="Tahoma" w:hAnsi="Tahoma" w:cs="David" w:hint="cs"/>
          <w:sz w:val="24"/>
          <w:szCs w:val="24"/>
          <w:u w:val="single"/>
          <w:rtl/>
        </w:rPr>
        <w:t>אי מינוי נציגי החברה האזרחית בוועדות התכנון</w:t>
      </w:r>
      <w:bookmarkEnd w:id="6"/>
    </w:p>
    <w:bookmarkEnd w:id="7"/>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חוק התכנון והבניה התקף קובע את הרכב וועדות התכנון – הארציות והמחוזיות. ההרכב אמור לבטא איזון מסוים בין נציגים של משרדי הממשלה, הרשויות המקומיות, החברה האזרחית ואנשי מקצוע בתחומים הרלבנטיים לדיוני המועצה.</w:t>
      </w:r>
      <w:r>
        <w:br/>
      </w:r>
      <w:r>
        <w:br/>
      </w:r>
      <w:r>
        <w:rPr>
          <w:rFonts w:ascii="Tahoma" w:hAnsi="Tahoma" w:cs="David" w:hint="cs"/>
          <w:sz w:val="24"/>
          <w:szCs w:val="24"/>
          <w:rtl/>
        </w:rPr>
        <w:t xml:space="preserve">למרבה הצער, חלק ניכר מהתפקידים של נציגי החברה האזרחית והגופים המקצועיים בוועדות התכנון  אינם מאוישים או מאוישים בחסר. העובדה שמדובר כמכלול בנציגי החברה האזרחית, פוגעת פגיעה קשה באיזון שהמחוקק ביקש ליצור, ומביאה לכך שמגוון הדעות הנשמעות בדיונים הינו מוגבל יותר, ומערך האיזונים והבלמים בהליך התכנון אינו מתפקד כפי שראוי היה. </w:t>
      </w:r>
      <w:r>
        <w:br/>
      </w:r>
      <w:r>
        <w:rPr>
          <w:rFonts w:ascii="Tahoma" w:hAnsi="Tahoma" w:cs="David" w:hint="cs"/>
          <w:sz w:val="24"/>
          <w:szCs w:val="24"/>
          <w:rtl/>
        </w:rPr>
        <w:t>מדובר בנציגי הארגונים המקצועיים- המתכננים והאדריכלים,  נציג ארגונים העוסקים בחברה ורווחה, נציגת ארגוני הנשים, וממלאי מקום לארגוני הסביבה ונציגי הדור הצעיר.</w:t>
      </w:r>
      <w:r>
        <w:br/>
      </w:r>
      <w:r>
        <w:rPr>
          <w:rFonts w:ascii="Tahoma" w:hAnsi="Tahoma" w:cs="David" w:hint="cs"/>
          <w:sz w:val="24"/>
          <w:szCs w:val="24"/>
          <w:rtl/>
        </w:rPr>
        <w:t>מדובר במינויים שונים בוועדות התכנון: המועצה הארצית לתכנון ובניה, הוועדה לתשתיות לאומיות ובועדה לקידום מתחמים למגורים ( ותמ"ל)</w:t>
      </w:r>
      <w:r>
        <w:br/>
      </w:r>
      <w:r>
        <w:rPr>
          <w:rFonts w:ascii="Tahoma" w:hAnsi="Tahoma" w:cs="David" w:hint="cs"/>
          <w:sz w:val="24"/>
          <w:szCs w:val="24"/>
          <w:rtl/>
        </w:rPr>
        <w:t>החסר של נציגים אלה מורגש מאוד ופוגע בעבודה של שלושת מוסדות התכנון שנימנו לעיל, היות ונציגים אלו אמורים לתרום היבטים מקצועיים שונים ולבטא אינטרסים ציבוריים חשובים, שבהעדרם לא באים לידי ביטוי. הפגם בולט במיוחד שכן לעומת נציגים אלו, בתקופה המקבילה התמנו מעת לעת נציגי משרדי ממשלה ורשויות מקומיות, ויצוגם של אלו במוסדות התכנון האמורים  כמעט ולא היה חסר.</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כהן-פארן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E50F5"/>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AB5E31-E075-4CBF-A1DB-7561C09B1219}"/>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Normal.dotm</Template>
  <TotalTime>23</TotalTime>
  <Pages>1</Pages>
  <Words>238</Words>
  <Characters>1190</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cp:lastPrinted>2016-06-29T06:07:00Z</cp:lastPrinted>
  <dcterms:created xsi:type="dcterms:W3CDTF">2016-06-29T06:30:00Z</dcterms:created>
  <dcterms:modified xsi:type="dcterms:W3CDTF">2016-06-29T06:30:00Z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2004886</vt:r8>
  </property>
</Properties>
</file>