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359" w:rsidRPr="00796359" w:rsidRDefault="00796359" w:rsidP="00796359">
      <w:pPr>
        <w:jc w:val="right"/>
        <w:rPr>
          <w:rFonts w:cs="David"/>
          <w:b/>
          <w:bCs/>
          <w:sz w:val="28"/>
          <w:szCs w:val="28"/>
          <w:u w:val="single"/>
          <w:rtl/>
        </w:rPr>
      </w:pPr>
      <w:bookmarkStart w:id="0" w:name="_GoBack"/>
      <w:bookmarkEnd w:id="0"/>
      <w:r w:rsidRPr="00796359">
        <w:rPr>
          <w:rFonts w:cs="David" w:hint="cs"/>
          <w:b/>
          <w:bCs/>
          <w:sz w:val="28"/>
          <w:szCs w:val="28"/>
          <w:u w:val="single"/>
          <w:rtl/>
        </w:rPr>
        <w:t>הצעת ח"כ רועי פולקמן</w:t>
      </w:r>
      <w:r w:rsidR="00506F3C">
        <w:rPr>
          <w:rFonts w:cs="David" w:hint="cs"/>
          <w:b/>
          <w:bCs/>
          <w:sz w:val="28"/>
          <w:szCs w:val="28"/>
          <w:u w:val="single"/>
          <w:rtl/>
        </w:rPr>
        <w:t xml:space="preserve"> לישיבת הוועדה ביום 12.7.16</w:t>
      </w:r>
    </w:p>
    <w:p w:rsidR="00796359" w:rsidRDefault="00796359" w:rsidP="00135ADE">
      <w:pPr>
        <w:jc w:val="center"/>
        <w:rPr>
          <w:b/>
          <w:bCs/>
          <w:sz w:val="28"/>
          <w:szCs w:val="28"/>
          <w:rtl/>
        </w:rPr>
      </w:pPr>
    </w:p>
    <w:p w:rsidR="0022066D" w:rsidRPr="00135ADE" w:rsidRDefault="007052B4" w:rsidP="00135ADE">
      <w:pPr>
        <w:jc w:val="center"/>
        <w:rPr>
          <w:b/>
          <w:bCs/>
          <w:sz w:val="28"/>
          <w:szCs w:val="28"/>
          <w:rtl/>
        </w:rPr>
      </w:pPr>
      <w:r w:rsidRPr="0022066D">
        <w:rPr>
          <w:rFonts w:hint="cs"/>
          <w:b/>
          <w:bCs/>
          <w:sz w:val="28"/>
          <w:szCs w:val="28"/>
          <w:rtl/>
        </w:rPr>
        <w:t xml:space="preserve">הצעת חוק </w:t>
      </w:r>
      <w:r w:rsidR="00134A82">
        <w:rPr>
          <w:rFonts w:hint="cs"/>
          <w:b/>
          <w:bCs/>
          <w:sz w:val="28"/>
          <w:szCs w:val="28"/>
          <w:rtl/>
        </w:rPr>
        <w:t>ה</w:t>
      </w:r>
      <w:r w:rsidRPr="0022066D">
        <w:rPr>
          <w:rFonts w:hint="cs"/>
          <w:b/>
          <w:bCs/>
          <w:sz w:val="28"/>
          <w:szCs w:val="28"/>
          <w:rtl/>
        </w:rPr>
        <w:t xml:space="preserve">עסקים </w:t>
      </w:r>
      <w:r w:rsidR="00134A82">
        <w:rPr>
          <w:rFonts w:hint="cs"/>
          <w:b/>
          <w:bCs/>
          <w:sz w:val="28"/>
          <w:szCs w:val="28"/>
          <w:rtl/>
        </w:rPr>
        <w:t>ה</w:t>
      </w:r>
      <w:r w:rsidRPr="0022066D">
        <w:rPr>
          <w:rFonts w:hint="cs"/>
          <w:b/>
          <w:bCs/>
          <w:sz w:val="28"/>
          <w:szCs w:val="28"/>
          <w:rtl/>
        </w:rPr>
        <w:t>קטנים ו</w:t>
      </w:r>
      <w:r w:rsidR="00134A82">
        <w:rPr>
          <w:rFonts w:hint="cs"/>
          <w:b/>
          <w:bCs/>
          <w:sz w:val="28"/>
          <w:szCs w:val="28"/>
          <w:rtl/>
        </w:rPr>
        <w:t>ה</w:t>
      </w:r>
      <w:r w:rsidRPr="0022066D">
        <w:rPr>
          <w:rFonts w:hint="cs"/>
          <w:b/>
          <w:bCs/>
          <w:sz w:val="28"/>
          <w:szCs w:val="28"/>
          <w:rtl/>
        </w:rPr>
        <w:t>בינוניים</w:t>
      </w:r>
      <w:r w:rsidR="00134A82">
        <w:rPr>
          <w:rFonts w:hint="cs"/>
          <w:b/>
          <w:bCs/>
          <w:sz w:val="28"/>
          <w:szCs w:val="28"/>
          <w:rtl/>
        </w:rPr>
        <w:t>, תשע"ו - 2015</w:t>
      </w:r>
    </w:p>
    <w:p w:rsidR="00135ADE" w:rsidRDefault="00135ADE" w:rsidP="00135ADE">
      <w:pPr>
        <w:jc w:val="both"/>
        <w:rPr>
          <w:rtl/>
        </w:rPr>
      </w:pPr>
    </w:p>
    <w:p w:rsidR="00135ADE" w:rsidRDefault="00135ADE" w:rsidP="00135ADE">
      <w:pPr>
        <w:pStyle w:val="a9"/>
        <w:numPr>
          <w:ilvl w:val="0"/>
          <w:numId w:val="1"/>
        </w:numPr>
        <w:jc w:val="both"/>
        <w:rPr>
          <w:b/>
          <w:bCs/>
          <w:sz w:val="24"/>
          <w:szCs w:val="24"/>
        </w:rPr>
      </w:pPr>
      <w:r>
        <w:rPr>
          <w:rFonts w:hint="cs"/>
          <w:b/>
          <w:bCs/>
          <w:sz w:val="24"/>
          <w:szCs w:val="24"/>
          <w:rtl/>
        </w:rPr>
        <w:t>פרסום חוות דעת</w:t>
      </w:r>
    </w:p>
    <w:p w:rsidR="00135ADE" w:rsidRDefault="00135ADE" w:rsidP="00135ADE">
      <w:pPr>
        <w:jc w:val="both"/>
        <w:rPr>
          <w:rtl/>
        </w:rPr>
      </w:pPr>
      <w:r w:rsidRPr="00A95DF2">
        <w:rPr>
          <w:rFonts w:hint="cs"/>
          <w:rtl/>
        </w:rPr>
        <w:t xml:space="preserve">היום, הסוכנות מפיצה את עמדותיה תחת </w:t>
      </w:r>
      <w:r>
        <w:rPr>
          <w:rFonts w:hint="cs"/>
          <w:rtl/>
        </w:rPr>
        <w:t xml:space="preserve">עמדות משרד הכלכלה, או </w:t>
      </w:r>
      <w:r w:rsidRPr="00A95DF2">
        <w:rPr>
          <w:rFonts w:hint="cs"/>
          <w:rtl/>
        </w:rPr>
        <w:t>עמדות הממשלה</w:t>
      </w:r>
      <w:r>
        <w:rPr>
          <w:rFonts w:hint="cs"/>
          <w:rtl/>
        </w:rPr>
        <w:t xml:space="preserve"> לפי העניין. ולכן לאחר שהתקבלה עמדת ממשלה בעניין כזה או אחר, לא ניתן לדעת מה הייתה עמדתה המקצועית של הסוכנות לעסקים קטנים ובינוניים בעניין הצעת חוק, החלטת ממשלה או כל תוצר מדיניות אחר. בארצות הברית לדוגמא, מפרסמת הסוכנות הפדרלית לעסקים קטנים את עמדותיה באופן פומבי, מה שמשמש כמקור מידע עבור בעלי עניין אחרים. </w:t>
      </w:r>
      <w:r w:rsidRPr="00A95DF2">
        <w:rPr>
          <w:rFonts w:hint="cs"/>
          <w:rtl/>
        </w:rPr>
        <w:t xml:space="preserve"> </w:t>
      </w:r>
    </w:p>
    <w:p w:rsidR="00135ADE" w:rsidRDefault="00135ADE" w:rsidP="00135ADE">
      <w:pPr>
        <w:jc w:val="both"/>
        <w:rPr>
          <w:b/>
          <w:bCs/>
          <w:sz w:val="24"/>
          <w:szCs w:val="24"/>
          <w:rtl/>
        </w:rPr>
      </w:pPr>
      <w:r>
        <w:rPr>
          <w:rFonts w:hint="cs"/>
          <w:rtl/>
        </w:rPr>
        <w:t>חלופה 1: להוסיף סעיף בחוק שהסוכנות תפרסם את עמדותיה באתר אינטרנט</w:t>
      </w:r>
    </w:p>
    <w:p w:rsidR="00135ADE" w:rsidRPr="00135ADE" w:rsidRDefault="00135ADE" w:rsidP="00135ADE">
      <w:pPr>
        <w:jc w:val="both"/>
        <w:rPr>
          <w:rtl/>
        </w:rPr>
      </w:pPr>
      <w:r>
        <w:rPr>
          <w:rFonts w:hint="cs"/>
          <w:rtl/>
        </w:rPr>
        <w:t>חלופה 2:</w:t>
      </w:r>
      <w:r w:rsidRPr="00135ADE">
        <w:rPr>
          <w:rFonts w:hint="cs"/>
          <w:rtl/>
        </w:rPr>
        <w:t xml:space="preserve"> </w:t>
      </w:r>
      <w:r>
        <w:rPr>
          <w:rFonts w:hint="cs"/>
          <w:rtl/>
        </w:rPr>
        <w:t>הכנסת תוכל לבקש לידיה את חוות דעת הסוכנות לפי שיקול דעתה ולצרכי עבודתה</w:t>
      </w:r>
    </w:p>
    <w:p w:rsidR="00135ADE" w:rsidRPr="00135ADE" w:rsidRDefault="00135ADE" w:rsidP="00135ADE">
      <w:pPr>
        <w:jc w:val="both"/>
        <w:rPr>
          <w:b/>
          <w:bCs/>
          <w:sz w:val="24"/>
          <w:szCs w:val="24"/>
        </w:rPr>
      </w:pPr>
    </w:p>
    <w:p w:rsidR="00F7566A" w:rsidRPr="002516B1" w:rsidRDefault="003827CB" w:rsidP="002516B1">
      <w:pPr>
        <w:pStyle w:val="a9"/>
        <w:numPr>
          <w:ilvl w:val="0"/>
          <w:numId w:val="1"/>
        </w:numPr>
        <w:jc w:val="both"/>
        <w:rPr>
          <w:b/>
          <w:bCs/>
          <w:sz w:val="24"/>
          <w:szCs w:val="24"/>
          <w:rtl/>
        </w:rPr>
      </w:pPr>
      <w:r w:rsidRPr="002516B1">
        <w:rPr>
          <w:rFonts w:hint="cs"/>
          <w:b/>
          <w:bCs/>
          <w:sz w:val="24"/>
          <w:szCs w:val="24"/>
          <w:rtl/>
        </w:rPr>
        <w:t xml:space="preserve">חובת </w:t>
      </w:r>
      <w:r w:rsidR="007052B4" w:rsidRPr="002516B1">
        <w:rPr>
          <w:rFonts w:hint="cs"/>
          <w:b/>
          <w:bCs/>
          <w:sz w:val="24"/>
          <w:szCs w:val="24"/>
          <w:rtl/>
        </w:rPr>
        <w:t>התייעצות</w:t>
      </w:r>
      <w:r w:rsidR="00F51C74" w:rsidRPr="002516B1">
        <w:rPr>
          <w:rFonts w:hint="cs"/>
          <w:b/>
          <w:bCs/>
          <w:sz w:val="24"/>
          <w:szCs w:val="24"/>
          <w:rtl/>
        </w:rPr>
        <w:t xml:space="preserve"> </w:t>
      </w:r>
    </w:p>
    <w:p w:rsidR="00F51C74" w:rsidRDefault="00F51C74" w:rsidP="002516B1">
      <w:pPr>
        <w:jc w:val="both"/>
        <w:rPr>
          <w:rtl/>
        </w:rPr>
      </w:pPr>
      <w:r>
        <w:rPr>
          <w:rFonts w:hint="cs"/>
          <w:rtl/>
        </w:rPr>
        <w:t>סעיף 10(א),(ב) קובע כי גורמים שקובעים אסדרה</w:t>
      </w:r>
      <w:r w:rsidR="003827CB">
        <w:rPr>
          <w:rFonts w:hint="cs"/>
          <w:rtl/>
        </w:rPr>
        <w:t xml:space="preserve"> (רגולציה)</w:t>
      </w:r>
      <w:r>
        <w:rPr>
          <w:rFonts w:hint="cs"/>
          <w:rtl/>
        </w:rPr>
        <w:t xml:space="preserve"> וסבורים שהיא יכולה להכביד על עסקים קטנים ובינוניים "יודע על כך לסוכנות אשר תהיה רשאית להגיש חוות דעתה לגורם האמור בדבר חלופות להפחתת ההשפעה על </w:t>
      </w:r>
      <w:r w:rsidR="00F7566A">
        <w:rPr>
          <w:rFonts w:hint="cs"/>
          <w:rtl/>
        </w:rPr>
        <w:t>ה</w:t>
      </w:r>
      <w:r>
        <w:rPr>
          <w:rFonts w:hint="cs"/>
          <w:rtl/>
        </w:rPr>
        <w:t>עסקים</w:t>
      </w:r>
      <w:r w:rsidR="00F7566A">
        <w:rPr>
          <w:rFonts w:hint="cs"/>
          <w:rtl/>
        </w:rPr>
        <w:t xml:space="preserve"> הקטנים והבינוניים"</w:t>
      </w:r>
    </w:p>
    <w:p w:rsidR="00F7566A" w:rsidRDefault="00F7566A" w:rsidP="002516B1">
      <w:pPr>
        <w:jc w:val="both"/>
        <w:rPr>
          <w:rtl/>
        </w:rPr>
      </w:pPr>
      <w:r>
        <w:rPr>
          <w:rFonts w:hint="cs"/>
          <w:rtl/>
        </w:rPr>
        <w:t>ניתן להציע לקבוע בסעיף זה חובת התייעצות של הגורמים המאסדרים ולא רק הודעה לסוכנות.</w:t>
      </w:r>
    </w:p>
    <w:p w:rsidR="005538B8" w:rsidRDefault="005538B8" w:rsidP="002516B1">
      <w:pPr>
        <w:jc w:val="both"/>
        <w:rPr>
          <w:rtl/>
        </w:rPr>
      </w:pPr>
      <w:r>
        <w:rPr>
          <w:rFonts w:hint="cs"/>
          <w:rtl/>
        </w:rPr>
        <w:t>הנוסח המוצע:</w:t>
      </w:r>
    </w:p>
    <w:p w:rsidR="005538B8" w:rsidRDefault="005538B8" w:rsidP="002516B1">
      <w:pPr>
        <w:jc w:val="both"/>
        <w:rPr>
          <w:rtl/>
        </w:rPr>
      </w:pPr>
      <w:r w:rsidRPr="005538B8">
        <w:rPr>
          <w:rtl/>
        </w:rPr>
        <w:t>"</w:t>
      </w:r>
      <w:r w:rsidRPr="005538B8">
        <w:rPr>
          <w:rFonts w:hint="eastAsia"/>
          <w:rtl/>
        </w:rPr>
        <w:t>סבר</w:t>
      </w:r>
      <w:r w:rsidRPr="005538B8">
        <w:rPr>
          <w:rtl/>
        </w:rPr>
        <w:t xml:space="preserve"> </w:t>
      </w:r>
      <w:r w:rsidRPr="005538B8">
        <w:rPr>
          <w:rFonts w:hint="eastAsia"/>
          <w:rtl/>
        </w:rPr>
        <w:t>גורם</w:t>
      </w:r>
      <w:r w:rsidRPr="005538B8">
        <w:rPr>
          <w:rtl/>
        </w:rPr>
        <w:t xml:space="preserve"> </w:t>
      </w:r>
      <w:r w:rsidRPr="005538B8">
        <w:rPr>
          <w:rFonts w:hint="eastAsia"/>
          <w:rtl/>
        </w:rPr>
        <w:t>המוסמך</w:t>
      </w:r>
      <w:r w:rsidRPr="005538B8">
        <w:rPr>
          <w:rtl/>
        </w:rPr>
        <w:t xml:space="preserve"> </w:t>
      </w:r>
      <w:r w:rsidRPr="005538B8">
        <w:rPr>
          <w:rFonts w:hint="eastAsia"/>
          <w:rtl/>
        </w:rPr>
        <w:t>לקבוע</w:t>
      </w:r>
      <w:r w:rsidRPr="005538B8">
        <w:rPr>
          <w:rtl/>
        </w:rPr>
        <w:t xml:space="preserve"> </w:t>
      </w:r>
      <w:r w:rsidRPr="005538B8">
        <w:rPr>
          <w:rFonts w:hint="eastAsia"/>
          <w:rtl/>
        </w:rPr>
        <w:t>אסדרה</w:t>
      </w:r>
      <w:r w:rsidRPr="005538B8">
        <w:rPr>
          <w:rtl/>
        </w:rPr>
        <w:t xml:space="preserve">, </w:t>
      </w:r>
      <w:r w:rsidRPr="005538B8">
        <w:rPr>
          <w:rFonts w:hint="eastAsia"/>
          <w:rtl/>
        </w:rPr>
        <w:t>אשר</w:t>
      </w:r>
      <w:r w:rsidRPr="005538B8">
        <w:rPr>
          <w:rtl/>
        </w:rPr>
        <w:t xml:space="preserve"> </w:t>
      </w:r>
      <w:r w:rsidRPr="005538B8">
        <w:rPr>
          <w:rFonts w:hint="eastAsia"/>
          <w:rtl/>
        </w:rPr>
        <w:t>מבקש</w:t>
      </w:r>
      <w:r w:rsidRPr="005538B8">
        <w:rPr>
          <w:rtl/>
        </w:rPr>
        <w:t xml:space="preserve"> </w:t>
      </w:r>
      <w:r w:rsidRPr="005538B8">
        <w:rPr>
          <w:rFonts w:hint="eastAsia"/>
          <w:rtl/>
        </w:rPr>
        <w:t>לקדם</w:t>
      </w:r>
      <w:r w:rsidRPr="005538B8">
        <w:rPr>
          <w:rtl/>
        </w:rPr>
        <w:t xml:space="preserve"> </w:t>
      </w:r>
      <w:r w:rsidRPr="005538B8">
        <w:rPr>
          <w:rFonts w:hint="eastAsia"/>
          <w:rtl/>
        </w:rPr>
        <w:t>הצעות</w:t>
      </w:r>
      <w:r w:rsidRPr="005538B8">
        <w:rPr>
          <w:rtl/>
        </w:rPr>
        <w:t xml:space="preserve"> </w:t>
      </w:r>
      <w:r w:rsidRPr="005538B8">
        <w:rPr>
          <w:rFonts w:hint="eastAsia"/>
          <w:rtl/>
        </w:rPr>
        <w:t>כאמור</w:t>
      </w:r>
      <w:r w:rsidRPr="005538B8">
        <w:rPr>
          <w:rtl/>
        </w:rPr>
        <w:t xml:space="preserve"> </w:t>
      </w:r>
      <w:r w:rsidRPr="005538B8">
        <w:rPr>
          <w:rFonts w:hint="eastAsia"/>
          <w:rtl/>
        </w:rPr>
        <w:t>בסעיף</w:t>
      </w:r>
      <w:r w:rsidRPr="005538B8">
        <w:rPr>
          <w:rtl/>
        </w:rPr>
        <w:t xml:space="preserve"> </w:t>
      </w:r>
      <w:r w:rsidRPr="005538B8">
        <w:rPr>
          <w:rFonts w:hint="eastAsia"/>
          <w:rtl/>
        </w:rPr>
        <w:t>קטן</w:t>
      </w:r>
      <w:r w:rsidRPr="005538B8">
        <w:rPr>
          <w:rtl/>
        </w:rPr>
        <w:t xml:space="preserve"> (</w:t>
      </w:r>
      <w:r w:rsidRPr="005538B8">
        <w:rPr>
          <w:rFonts w:hint="eastAsia"/>
          <w:rtl/>
        </w:rPr>
        <w:t>א</w:t>
      </w:r>
      <w:r w:rsidRPr="005538B8">
        <w:rPr>
          <w:rtl/>
        </w:rPr>
        <w:t xml:space="preserve">), </w:t>
      </w:r>
      <w:r w:rsidRPr="005538B8">
        <w:rPr>
          <w:rFonts w:hint="eastAsia"/>
          <w:rtl/>
        </w:rPr>
        <w:t>כי</w:t>
      </w:r>
      <w:r w:rsidRPr="005538B8">
        <w:rPr>
          <w:rtl/>
        </w:rPr>
        <w:t xml:space="preserve"> </w:t>
      </w:r>
      <w:r w:rsidRPr="005538B8">
        <w:rPr>
          <w:rFonts w:hint="eastAsia"/>
          <w:rtl/>
        </w:rPr>
        <w:t>הן</w:t>
      </w:r>
      <w:r w:rsidRPr="005538B8">
        <w:rPr>
          <w:rtl/>
        </w:rPr>
        <w:t xml:space="preserve"> </w:t>
      </w:r>
      <w:r w:rsidRPr="005538B8">
        <w:rPr>
          <w:rFonts w:hint="eastAsia"/>
          <w:rtl/>
        </w:rPr>
        <w:t>עשויות</w:t>
      </w:r>
      <w:r w:rsidRPr="005538B8">
        <w:rPr>
          <w:rtl/>
        </w:rPr>
        <w:t xml:space="preserve"> </w:t>
      </w:r>
      <w:r w:rsidRPr="005538B8">
        <w:rPr>
          <w:rFonts w:hint="eastAsia"/>
          <w:rtl/>
        </w:rPr>
        <w:t>להכביד</w:t>
      </w:r>
      <w:r w:rsidRPr="005538B8">
        <w:rPr>
          <w:rtl/>
        </w:rPr>
        <w:t xml:space="preserve"> </w:t>
      </w:r>
      <w:r w:rsidRPr="005538B8">
        <w:rPr>
          <w:rFonts w:hint="eastAsia"/>
          <w:rtl/>
        </w:rPr>
        <w:t>יתר</w:t>
      </w:r>
      <w:r w:rsidRPr="005538B8">
        <w:rPr>
          <w:rtl/>
        </w:rPr>
        <w:t xml:space="preserve"> </w:t>
      </w:r>
      <w:r w:rsidRPr="005538B8">
        <w:rPr>
          <w:rFonts w:hint="eastAsia"/>
          <w:rtl/>
        </w:rPr>
        <w:t>על</w:t>
      </w:r>
      <w:r w:rsidRPr="005538B8">
        <w:rPr>
          <w:rtl/>
        </w:rPr>
        <w:t xml:space="preserve"> </w:t>
      </w:r>
      <w:r w:rsidRPr="005538B8">
        <w:rPr>
          <w:rFonts w:hint="eastAsia"/>
          <w:rtl/>
        </w:rPr>
        <w:t>המידה</w:t>
      </w:r>
      <w:r w:rsidRPr="005538B8">
        <w:rPr>
          <w:rtl/>
        </w:rPr>
        <w:t xml:space="preserve"> </w:t>
      </w:r>
      <w:r w:rsidRPr="005538B8">
        <w:rPr>
          <w:rFonts w:hint="eastAsia"/>
          <w:rtl/>
        </w:rPr>
        <w:t>על</w:t>
      </w:r>
      <w:r w:rsidRPr="005538B8">
        <w:rPr>
          <w:rtl/>
        </w:rPr>
        <w:t xml:space="preserve"> </w:t>
      </w:r>
      <w:r w:rsidRPr="005538B8">
        <w:rPr>
          <w:rFonts w:hint="eastAsia"/>
          <w:rtl/>
        </w:rPr>
        <w:t>עסקים</w:t>
      </w:r>
      <w:r w:rsidRPr="005538B8">
        <w:rPr>
          <w:rtl/>
        </w:rPr>
        <w:t xml:space="preserve"> </w:t>
      </w:r>
      <w:r w:rsidRPr="005538B8">
        <w:rPr>
          <w:rFonts w:hint="eastAsia"/>
          <w:rtl/>
        </w:rPr>
        <w:t>קטנים</w:t>
      </w:r>
      <w:r w:rsidRPr="005538B8">
        <w:rPr>
          <w:rtl/>
        </w:rPr>
        <w:t xml:space="preserve"> </w:t>
      </w:r>
      <w:r w:rsidRPr="005538B8">
        <w:rPr>
          <w:rFonts w:hint="eastAsia"/>
          <w:rtl/>
        </w:rPr>
        <w:t>ובינוניים</w:t>
      </w:r>
      <w:r w:rsidRPr="005538B8">
        <w:rPr>
          <w:rtl/>
        </w:rPr>
        <w:t xml:space="preserve"> </w:t>
      </w:r>
      <w:r w:rsidRPr="005538B8">
        <w:rPr>
          <w:rFonts w:hint="eastAsia"/>
          <w:rtl/>
        </w:rPr>
        <w:t>בשל</w:t>
      </w:r>
      <w:r w:rsidRPr="005538B8">
        <w:rPr>
          <w:rtl/>
        </w:rPr>
        <w:t xml:space="preserve"> </w:t>
      </w:r>
      <w:r w:rsidRPr="005538B8">
        <w:rPr>
          <w:rFonts w:hint="eastAsia"/>
          <w:rtl/>
        </w:rPr>
        <w:t>מאפייניהם</w:t>
      </w:r>
      <w:r w:rsidRPr="005538B8">
        <w:rPr>
          <w:rtl/>
        </w:rPr>
        <w:t xml:space="preserve"> </w:t>
      </w:r>
      <w:r w:rsidRPr="005538B8">
        <w:rPr>
          <w:rFonts w:hint="eastAsia"/>
          <w:rtl/>
        </w:rPr>
        <w:t>ככאלה</w:t>
      </w:r>
      <w:r w:rsidRPr="005538B8">
        <w:rPr>
          <w:rtl/>
        </w:rPr>
        <w:t xml:space="preserve">, </w:t>
      </w:r>
      <w:r w:rsidRPr="005538B8">
        <w:rPr>
          <w:rFonts w:hint="eastAsia"/>
          <w:rtl/>
        </w:rPr>
        <w:t>לעומת</w:t>
      </w:r>
      <w:r w:rsidRPr="005538B8">
        <w:rPr>
          <w:rtl/>
        </w:rPr>
        <w:t xml:space="preserve"> </w:t>
      </w:r>
      <w:r w:rsidRPr="005538B8">
        <w:rPr>
          <w:rFonts w:hint="eastAsia"/>
          <w:rtl/>
        </w:rPr>
        <w:t>כלל</w:t>
      </w:r>
      <w:r w:rsidRPr="005538B8">
        <w:rPr>
          <w:rtl/>
        </w:rPr>
        <w:t xml:space="preserve"> </w:t>
      </w:r>
      <w:r w:rsidRPr="005538B8">
        <w:rPr>
          <w:rFonts w:hint="eastAsia"/>
          <w:rtl/>
        </w:rPr>
        <w:t>העסקים</w:t>
      </w:r>
      <w:r w:rsidRPr="005538B8">
        <w:rPr>
          <w:rtl/>
        </w:rPr>
        <w:t xml:space="preserve"> </w:t>
      </w:r>
      <w:r w:rsidRPr="005538B8">
        <w:rPr>
          <w:rFonts w:hint="eastAsia"/>
          <w:rtl/>
        </w:rPr>
        <w:t>המושפעים</w:t>
      </w:r>
      <w:r w:rsidRPr="005538B8">
        <w:rPr>
          <w:rtl/>
        </w:rPr>
        <w:t xml:space="preserve"> </w:t>
      </w:r>
      <w:r w:rsidRPr="005538B8">
        <w:rPr>
          <w:rFonts w:hint="eastAsia"/>
          <w:rtl/>
        </w:rPr>
        <w:t>מאסדרה</w:t>
      </w:r>
      <w:r w:rsidRPr="005538B8">
        <w:rPr>
          <w:rtl/>
        </w:rPr>
        <w:t xml:space="preserve"> </w:t>
      </w:r>
      <w:r w:rsidRPr="005538B8">
        <w:rPr>
          <w:rFonts w:hint="eastAsia"/>
          <w:rtl/>
        </w:rPr>
        <w:t>זו</w:t>
      </w:r>
      <w:r w:rsidRPr="005538B8">
        <w:rPr>
          <w:rtl/>
        </w:rPr>
        <w:t xml:space="preserve"> (</w:t>
      </w:r>
      <w:r w:rsidRPr="005538B8">
        <w:rPr>
          <w:rFonts w:hint="eastAsia"/>
          <w:rtl/>
        </w:rPr>
        <w:t>בסעיף</w:t>
      </w:r>
      <w:r w:rsidRPr="005538B8">
        <w:rPr>
          <w:rtl/>
        </w:rPr>
        <w:t xml:space="preserve"> </w:t>
      </w:r>
      <w:r w:rsidRPr="005538B8">
        <w:rPr>
          <w:rFonts w:hint="eastAsia"/>
          <w:rtl/>
        </w:rPr>
        <w:t>זה</w:t>
      </w:r>
      <w:r w:rsidRPr="005538B8">
        <w:rPr>
          <w:rtl/>
        </w:rPr>
        <w:t xml:space="preserve"> – </w:t>
      </w:r>
      <w:r w:rsidRPr="005538B8">
        <w:rPr>
          <w:rFonts w:hint="eastAsia"/>
          <w:rtl/>
        </w:rPr>
        <w:t>אסדרה</w:t>
      </w:r>
      <w:r w:rsidRPr="005538B8">
        <w:rPr>
          <w:rtl/>
        </w:rPr>
        <w:t xml:space="preserve"> </w:t>
      </w:r>
      <w:r w:rsidRPr="005538B8">
        <w:rPr>
          <w:rFonts w:hint="eastAsia"/>
          <w:rtl/>
        </w:rPr>
        <w:t>מכבידה</w:t>
      </w:r>
      <w:r w:rsidRPr="005538B8">
        <w:rPr>
          <w:rtl/>
        </w:rPr>
        <w:t xml:space="preserve">), </w:t>
      </w:r>
      <w:r w:rsidRPr="005538B8">
        <w:rPr>
          <w:rFonts w:hint="eastAsia"/>
          <w:rtl/>
        </w:rPr>
        <w:t>יפנה</w:t>
      </w:r>
      <w:r w:rsidRPr="005538B8">
        <w:rPr>
          <w:rtl/>
        </w:rPr>
        <w:t xml:space="preserve"> </w:t>
      </w:r>
      <w:r w:rsidRPr="005538B8">
        <w:rPr>
          <w:rFonts w:hint="eastAsia"/>
          <w:rtl/>
        </w:rPr>
        <w:t>להיוועצות</w:t>
      </w:r>
      <w:r w:rsidRPr="005538B8">
        <w:rPr>
          <w:rtl/>
        </w:rPr>
        <w:t xml:space="preserve"> </w:t>
      </w:r>
      <w:r w:rsidRPr="005538B8">
        <w:rPr>
          <w:rFonts w:hint="eastAsia"/>
          <w:rtl/>
        </w:rPr>
        <w:t>עם</w:t>
      </w:r>
      <w:r w:rsidRPr="005538B8">
        <w:rPr>
          <w:rtl/>
        </w:rPr>
        <w:t xml:space="preserve"> </w:t>
      </w:r>
      <w:r w:rsidRPr="005538B8">
        <w:rPr>
          <w:rFonts w:hint="eastAsia"/>
          <w:rtl/>
        </w:rPr>
        <w:t>המנהל</w:t>
      </w:r>
      <w:r w:rsidRPr="005538B8">
        <w:rPr>
          <w:rtl/>
        </w:rPr>
        <w:t xml:space="preserve"> </w:t>
      </w:r>
      <w:r w:rsidRPr="005538B8">
        <w:rPr>
          <w:rFonts w:hint="eastAsia"/>
          <w:rtl/>
        </w:rPr>
        <w:t>גם</w:t>
      </w:r>
      <w:r w:rsidRPr="005538B8">
        <w:rPr>
          <w:rtl/>
        </w:rPr>
        <w:t xml:space="preserve"> </w:t>
      </w:r>
      <w:r w:rsidRPr="005538B8">
        <w:rPr>
          <w:rFonts w:hint="eastAsia"/>
          <w:rtl/>
        </w:rPr>
        <w:t>בדבר</w:t>
      </w:r>
      <w:r w:rsidRPr="005538B8">
        <w:rPr>
          <w:rtl/>
        </w:rPr>
        <w:t xml:space="preserve"> </w:t>
      </w:r>
      <w:r w:rsidRPr="005538B8">
        <w:rPr>
          <w:rFonts w:hint="eastAsia"/>
          <w:rtl/>
        </w:rPr>
        <w:t>ההשלכות</w:t>
      </w:r>
      <w:r w:rsidRPr="005538B8">
        <w:rPr>
          <w:rtl/>
        </w:rPr>
        <w:t xml:space="preserve"> </w:t>
      </w:r>
      <w:r w:rsidRPr="005538B8">
        <w:rPr>
          <w:rFonts w:hint="eastAsia"/>
          <w:rtl/>
        </w:rPr>
        <w:t>האפשריות</w:t>
      </w:r>
      <w:r w:rsidRPr="005538B8">
        <w:rPr>
          <w:rtl/>
        </w:rPr>
        <w:t xml:space="preserve"> </w:t>
      </w:r>
      <w:r w:rsidRPr="005538B8">
        <w:rPr>
          <w:rFonts w:hint="eastAsia"/>
          <w:rtl/>
        </w:rPr>
        <w:t>על</w:t>
      </w:r>
      <w:r w:rsidRPr="005538B8">
        <w:rPr>
          <w:rtl/>
        </w:rPr>
        <w:t xml:space="preserve"> </w:t>
      </w:r>
      <w:r w:rsidRPr="005538B8">
        <w:rPr>
          <w:rFonts w:hint="eastAsia"/>
          <w:rtl/>
        </w:rPr>
        <w:t>פעילותם</w:t>
      </w:r>
      <w:r w:rsidRPr="005538B8">
        <w:rPr>
          <w:rtl/>
        </w:rPr>
        <w:t xml:space="preserve"> </w:t>
      </w:r>
      <w:r w:rsidRPr="005538B8">
        <w:rPr>
          <w:rFonts w:hint="eastAsia"/>
          <w:rtl/>
        </w:rPr>
        <w:t>של</w:t>
      </w:r>
      <w:r w:rsidRPr="005538B8">
        <w:rPr>
          <w:rtl/>
        </w:rPr>
        <w:t xml:space="preserve"> </w:t>
      </w:r>
      <w:r w:rsidRPr="005538B8">
        <w:rPr>
          <w:rFonts w:hint="eastAsia"/>
          <w:rtl/>
        </w:rPr>
        <w:t>העסקים</w:t>
      </w:r>
      <w:r w:rsidRPr="005538B8">
        <w:rPr>
          <w:rtl/>
        </w:rPr>
        <w:t xml:space="preserve"> </w:t>
      </w:r>
      <w:r w:rsidRPr="005538B8">
        <w:rPr>
          <w:rFonts w:hint="eastAsia"/>
          <w:rtl/>
        </w:rPr>
        <w:t>הקטנים</w:t>
      </w:r>
      <w:r w:rsidRPr="005538B8">
        <w:rPr>
          <w:rtl/>
        </w:rPr>
        <w:t xml:space="preserve"> </w:t>
      </w:r>
      <w:r w:rsidRPr="005538B8">
        <w:rPr>
          <w:rFonts w:hint="eastAsia"/>
          <w:rtl/>
        </w:rPr>
        <w:t>והבינוניים</w:t>
      </w:r>
      <w:r w:rsidRPr="005538B8">
        <w:rPr>
          <w:rtl/>
        </w:rPr>
        <w:t xml:space="preserve"> </w:t>
      </w:r>
      <w:r w:rsidRPr="005538B8">
        <w:rPr>
          <w:rFonts w:hint="eastAsia"/>
          <w:rtl/>
        </w:rPr>
        <w:t>וחלופות</w:t>
      </w:r>
      <w:r w:rsidRPr="005538B8">
        <w:rPr>
          <w:rtl/>
        </w:rPr>
        <w:t xml:space="preserve"> </w:t>
      </w:r>
      <w:r w:rsidRPr="005538B8">
        <w:rPr>
          <w:rFonts w:hint="eastAsia"/>
          <w:rtl/>
        </w:rPr>
        <w:t>להפחתת</w:t>
      </w:r>
      <w:r w:rsidRPr="005538B8">
        <w:rPr>
          <w:rtl/>
        </w:rPr>
        <w:t xml:space="preserve"> </w:t>
      </w:r>
      <w:r w:rsidRPr="005538B8">
        <w:rPr>
          <w:rFonts w:hint="eastAsia"/>
          <w:rtl/>
        </w:rPr>
        <w:t>ההשפעה</w:t>
      </w:r>
      <w:r w:rsidRPr="005538B8">
        <w:rPr>
          <w:rtl/>
        </w:rPr>
        <w:t xml:space="preserve"> </w:t>
      </w:r>
      <w:r w:rsidRPr="005538B8">
        <w:rPr>
          <w:rFonts w:hint="eastAsia"/>
          <w:rtl/>
        </w:rPr>
        <w:t>עליהם</w:t>
      </w:r>
      <w:r w:rsidRPr="005538B8">
        <w:rPr>
          <w:rtl/>
        </w:rPr>
        <w:t xml:space="preserve">; </w:t>
      </w:r>
      <w:r w:rsidRPr="005538B8">
        <w:rPr>
          <w:rFonts w:hint="eastAsia"/>
          <w:rtl/>
        </w:rPr>
        <w:t>לא</w:t>
      </w:r>
      <w:r w:rsidRPr="005538B8">
        <w:rPr>
          <w:rtl/>
        </w:rPr>
        <w:t xml:space="preserve"> </w:t>
      </w:r>
      <w:r w:rsidRPr="005538B8">
        <w:rPr>
          <w:rFonts w:hint="eastAsia"/>
          <w:rtl/>
        </w:rPr>
        <w:t>מסרה</w:t>
      </w:r>
      <w:r w:rsidRPr="005538B8">
        <w:rPr>
          <w:rtl/>
        </w:rPr>
        <w:t xml:space="preserve"> </w:t>
      </w:r>
      <w:r w:rsidRPr="005538B8">
        <w:rPr>
          <w:rFonts w:hint="eastAsia"/>
          <w:rtl/>
        </w:rPr>
        <w:t>הסוכנות</w:t>
      </w:r>
      <w:r w:rsidRPr="005538B8">
        <w:rPr>
          <w:rtl/>
        </w:rPr>
        <w:t xml:space="preserve"> </w:t>
      </w:r>
      <w:r w:rsidRPr="005538B8">
        <w:rPr>
          <w:rFonts w:hint="eastAsia"/>
          <w:rtl/>
        </w:rPr>
        <w:t>הודעה</w:t>
      </w:r>
      <w:r w:rsidRPr="005538B8">
        <w:rPr>
          <w:rtl/>
        </w:rPr>
        <w:t xml:space="preserve"> </w:t>
      </w:r>
      <w:r w:rsidRPr="005538B8">
        <w:rPr>
          <w:rFonts w:hint="eastAsia"/>
          <w:rtl/>
        </w:rPr>
        <w:t>אחרת</w:t>
      </w:r>
      <w:r w:rsidRPr="005538B8">
        <w:rPr>
          <w:rtl/>
        </w:rPr>
        <w:t xml:space="preserve"> </w:t>
      </w:r>
      <w:r w:rsidRPr="005538B8">
        <w:rPr>
          <w:rFonts w:hint="eastAsia"/>
          <w:rtl/>
        </w:rPr>
        <w:t>בתוך</w:t>
      </w:r>
      <w:r w:rsidRPr="005538B8">
        <w:rPr>
          <w:rtl/>
        </w:rPr>
        <w:t xml:space="preserve"> </w:t>
      </w:r>
      <w:r w:rsidRPr="005538B8">
        <w:rPr>
          <w:rFonts w:hint="eastAsia"/>
          <w:rtl/>
        </w:rPr>
        <w:t>המועדים</w:t>
      </w:r>
      <w:r w:rsidRPr="005538B8">
        <w:rPr>
          <w:rtl/>
        </w:rPr>
        <w:t xml:space="preserve"> </w:t>
      </w:r>
      <w:r w:rsidRPr="005538B8">
        <w:rPr>
          <w:rFonts w:hint="eastAsia"/>
          <w:rtl/>
        </w:rPr>
        <w:t>האמורים</w:t>
      </w:r>
      <w:r w:rsidRPr="005538B8">
        <w:rPr>
          <w:rtl/>
        </w:rPr>
        <w:t xml:space="preserve"> </w:t>
      </w:r>
      <w:r w:rsidRPr="005538B8">
        <w:rPr>
          <w:rFonts w:hint="eastAsia"/>
          <w:rtl/>
        </w:rPr>
        <w:t>בסעיף</w:t>
      </w:r>
      <w:r w:rsidRPr="005538B8">
        <w:rPr>
          <w:rtl/>
        </w:rPr>
        <w:t xml:space="preserve"> </w:t>
      </w:r>
      <w:r w:rsidRPr="005538B8">
        <w:rPr>
          <w:rFonts w:hint="eastAsia"/>
          <w:rtl/>
        </w:rPr>
        <w:t>זה</w:t>
      </w:r>
      <w:r w:rsidRPr="005538B8">
        <w:rPr>
          <w:rtl/>
        </w:rPr>
        <w:t xml:space="preserve">, </w:t>
      </w:r>
      <w:r w:rsidRPr="005538B8">
        <w:rPr>
          <w:rFonts w:hint="eastAsia"/>
          <w:rtl/>
        </w:rPr>
        <w:t>רואים</w:t>
      </w:r>
      <w:r w:rsidRPr="005538B8">
        <w:rPr>
          <w:rtl/>
        </w:rPr>
        <w:t xml:space="preserve"> </w:t>
      </w:r>
      <w:r w:rsidRPr="005538B8">
        <w:rPr>
          <w:rFonts w:hint="eastAsia"/>
          <w:rtl/>
        </w:rPr>
        <w:t>את</w:t>
      </w:r>
      <w:r w:rsidRPr="005538B8">
        <w:rPr>
          <w:rtl/>
        </w:rPr>
        <w:t xml:space="preserve"> </w:t>
      </w:r>
      <w:r w:rsidRPr="005538B8">
        <w:rPr>
          <w:rFonts w:hint="eastAsia"/>
          <w:rtl/>
        </w:rPr>
        <w:t>חובת</w:t>
      </w:r>
      <w:r w:rsidRPr="005538B8">
        <w:rPr>
          <w:rtl/>
        </w:rPr>
        <w:t xml:space="preserve"> </w:t>
      </w:r>
      <w:r w:rsidRPr="005538B8">
        <w:rPr>
          <w:rFonts w:hint="eastAsia"/>
          <w:rtl/>
        </w:rPr>
        <w:t>ההיוועצות</w:t>
      </w:r>
      <w:r w:rsidRPr="005538B8">
        <w:rPr>
          <w:rtl/>
        </w:rPr>
        <w:t xml:space="preserve"> </w:t>
      </w:r>
      <w:r w:rsidRPr="005538B8">
        <w:rPr>
          <w:rFonts w:hint="eastAsia"/>
          <w:rtl/>
        </w:rPr>
        <w:t>כאילו</w:t>
      </w:r>
      <w:r w:rsidRPr="005538B8">
        <w:rPr>
          <w:rtl/>
        </w:rPr>
        <w:t xml:space="preserve"> </w:t>
      </w:r>
      <w:r w:rsidRPr="005538B8">
        <w:rPr>
          <w:rFonts w:hint="eastAsia"/>
          <w:rtl/>
        </w:rPr>
        <w:t>נתקיימה</w:t>
      </w:r>
      <w:r w:rsidRPr="005538B8">
        <w:rPr>
          <w:rtl/>
        </w:rPr>
        <w:t xml:space="preserve">; </w:t>
      </w:r>
      <w:r w:rsidRPr="005538B8">
        <w:rPr>
          <w:rFonts w:hint="eastAsia"/>
          <w:rtl/>
        </w:rPr>
        <w:t>בסעיף</w:t>
      </w:r>
      <w:r w:rsidRPr="005538B8">
        <w:rPr>
          <w:rtl/>
        </w:rPr>
        <w:t xml:space="preserve"> </w:t>
      </w:r>
      <w:r w:rsidRPr="005538B8">
        <w:rPr>
          <w:rFonts w:hint="eastAsia"/>
          <w:rtl/>
        </w:rPr>
        <w:t>זה</w:t>
      </w:r>
      <w:r w:rsidRPr="005538B8">
        <w:rPr>
          <w:rtl/>
        </w:rPr>
        <w:t>, "</w:t>
      </w:r>
      <w:r w:rsidRPr="005538B8">
        <w:rPr>
          <w:rFonts w:hint="eastAsia"/>
          <w:rtl/>
        </w:rPr>
        <w:t>המנהל</w:t>
      </w:r>
      <w:r w:rsidRPr="005538B8">
        <w:rPr>
          <w:rtl/>
        </w:rPr>
        <w:t xml:space="preserve">" - </w:t>
      </w:r>
      <w:r w:rsidRPr="005538B8">
        <w:rPr>
          <w:rFonts w:hint="eastAsia"/>
          <w:rtl/>
        </w:rPr>
        <w:t>המנהל</w:t>
      </w:r>
      <w:r w:rsidRPr="005538B8">
        <w:rPr>
          <w:rtl/>
        </w:rPr>
        <w:t xml:space="preserve"> </w:t>
      </w:r>
      <w:r w:rsidRPr="005538B8">
        <w:rPr>
          <w:rFonts w:hint="eastAsia"/>
          <w:rtl/>
        </w:rPr>
        <w:t>או</w:t>
      </w:r>
      <w:r w:rsidRPr="005538B8">
        <w:rPr>
          <w:rtl/>
        </w:rPr>
        <w:t xml:space="preserve"> </w:t>
      </w:r>
      <w:r w:rsidRPr="005538B8">
        <w:rPr>
          <w:rFonts w:hint="eastAsia"/>
          <w:rtl/>
        </w:rPr>
        <w:t>מי</w:t>
      </w:r>
      <w:r w:rsidRPr="005538B8">
        <w:rPr>
          <w:rtl/>
        </w:rPr>
        <w:t xml:space="preserve"> </w:t>
      </w:r>
      <w:r w:rsidRPr="005538B8">
        <w:rPr>
          <w:rFonts w:hint="eastAsia"/>
          <w:rtl/>
        </w:rPr>
        <w:t>שהסמיך</w:t>
      </w:r>
      <w:r w:rsidRPr="005538B8">
        <w:rPr>
          <w:rtl/>
        </w:rPr>
        <w:t xml:space="preserve"> </w:t>
      </w:r>
      <w:r w:rsidRPr="005538B8">
        <w:rPr>
          <w:rFonts w:hint="eastAsia"/>
          <w:rtl/>
        </w:rPr>
        <w:t>לכך</w:t>
      </w:r>
      <w:r w:rsidRPr="005538B8">
        <w:rPr>
          <w:rtl/>
        </w:rPr>
        <w:t xml:space="preserve">. </w:t>
      </w:r>
      <w:r w:rsidRPr="005538B8">
        <w:rPr>
          <w:rFonts w:hint="eastAsia"/>
          <w:rtl/>
        </w:rPr>
        <w:t>הסוכנות</w:t>
      </w:r>
      <w:r w:rsidRPr="005538B8">
        <w:rPr>
          <w:rtl/>
        </w:rPr>
        <w:t xml:space="preserve"> </w:t>
      </w:r>
      <w:r w:rsidRPr="005538B8">
        <w:rPr>
          <w:rFonts w:hint="eastAsia"/>
          <w:rtl/>
        </w:rPr>
        <w:t>תמסור</w:t>
      </w:r>
      <w:r w:rsidRPr="005538B8">
        <w:rPr>
          <w:rtl/>
        </w:rPr>
        <w:t xml:space="preserve"> </w:t>
      </w:r>
      <w:r w:rsidRPr="005538B8">
        <w:rPr>
          <w:rFonts w:hint="eastAsia"/>
          <w:rtl/>
        </w:rPr>
        <w:t>את</w:t>
      </w:r>
      <w:r w:rsidRPr="005538B8">
        <w:rPr>
          <w:rtl/>
        </w:rPr>
        <w:t xml:space="preserve"> </w:t>
      </w:r>
      <w:r w:rsidRPr="005538B8">
        <w:rPr>
          <w:rFonts w:hint="eastAsia"/>
          <w:rtl/>
        </w:rPr>
        <w:t>חוות</w:t>
      </w:r>
      <w:r w:rsidRPr="005538B8">
        <w:rPr>
          <w:rtl/>
        </w:rPr>
        <w:t xml:space="preserve"> </w:t>
      </w:r>
      <w:r w:rsidRPr="005538B8">
        <w:rPr>
          <w:rFonts w:hint="eastAsia"/>
          <w:rtl/>
        </w:rPr>
        <w:t>דעתה</w:t>
      </w:r>
      <w:r w:rsidRPr="005538B8">
        <w:rPr>
          <w:rtl/>
        </w:rPr>
        <w:t xml:space="preserve"> </w:t>
      </w:r>
      <w:r w:rsidRPr="005538B8">
        <w:rPr>
          <w:rFonts w:hint="eastAsia"/>
          <w:rtl/>
        </w:rPr>
        <w:t>עד</w:t>
      </w:r>
      <w:r w:rsidRPr="005538B8">
        <w:rPr>
          <w:rtl/>
        </w:rPr>
        <w:t xml:space="preserve"> </w:t>
      </w:r>
      <w:r w:rsidRPr="005538B8">
        <w:rPr>
          <w:rFonts w:hint="eastAsia"/>
          <w:rtl/>
        </w:rPr>
        <w:t>למועד</w:t>
      </w:r>
      <w:r w:rsidRPr="005538B8">
        <w:rPr>
          <w:rtl/>
        </w:rPr>
        <w:t xml:space="preserve"> </w:t>
      </w:r>
      <w:r w:rsidRPr="005538B8">
        <w:rPr>
          <w:rFonts w:hint="eastAsia"/>
          <w:rtl/>
        </w:rPr>
        <w:t>הדיון</w:t>
      </w:r>
      <w:r w:rsidRPr="005538B8">
        <w:rPr>
          <w:rtl/>
        </w:rPr>
        <w:t xml:space="preserve"> </w:t>
      </w:r>
      <w:r w:rsidRPr="005538B8">
        <w:rPr>
          <w:rFonts w:hint="eastAsia"/>
          <w:rtl/>
        </w:rPr>
        <w:t>בממשלה</w:t>
      </w:r>
      <w:r w:rsidRPr="005538B8">
        <w:rPr>
          <w:rtl/>
        </w:rPr>
        <w:t xml:space="preserve"> </w:t>
      </w:r>
      <w:r w:rsidRPr="005538B8">
        <w:rPr>
          <w:rFonts w:hint="eastAsia"/>
          <w:rtl/>
        </w:rPr>
        <w:t>או</w:t>
      </w:r>
      <w:r w:rsidRPr="005538B8">
        <w:rPr>
          <w:rtl/>
        </w:rPr>
        <w:t xml:space="preserve"> </w:t>
      </w:r>
      <w:r w:rsidRPr="005538B8">
        <w:rPr>
          <w:rFonts w:hint="eastAsia"/>
          <w:rtl/>
        </w:rPr>
        <w:t>בוועדה</w:t>
      </w:r>
      <w:r w:rsidRPr="005538B8">
        <w:rPr>
          <w:rtl/>
        </w:rPr>
        <w:t xml:space="preserve"> </w:t>
      </w:r>
      <w:r w:rsidRPr="005538B8">
        <w:rPr>
          <w:rFonts w:hint="eastAsia"/>
          <w:rtl/>
        </w:rPr>
        <w:t>של</w:t>
      </w:r>
      <w:r w:rsidRPr="005538B8">
        <w:rPr>
          <w:rtl/>
        </w:rPr>
        <w:t xml:space="preserve"> </w:t>
      </w:r>
      <w:r w:rsidRPr="005538B8">
        <w:rPr>
          <w:rFonts w:hint="eastAsia"/>
          <w:rtl/>
        </w:rPr>
        <w:t>הכנסת</w:t>
      </w:r>
      <w:r w:rsidRPr="005538B8">
        <w:rPr>
          <w:rtl/>
        </w:rPr>
        <w:t xml:space="preserve"> </w:t>
      </w:r>
      <w:r w:rsidRPr="005538B8">
        <w:rPr>
          <w:rFonts w:hint="eastAsia"/>
          <w:rtl/>
        </w:rPr>
        <w:t>באותה</w:t>
      </w:r>
      <w:r w:rsidRPr="005538B8">
        <w:rPr>
          <w:rtl/>
        </w:rPr>
        <w:t xml:space="preserve"> </w:t>
      </w:r>
      <w:r w:rsidRPr="005538B8">
        <w:rPr>
          <w:rFonts w:hint="eastAsia"/>
          <w:rtl/>
        </w:rPr>
        <w:t>הצעה</w:t>
      </w:r>
      <w:r w:rsidRPr="005538B8">
        <w:rPr>
          <w:rtl/>
        </w:rPr>
        <w:t xml:space="preserve">, </w:t>
      </w:r>
      <w:r w:rsidRPr="005538B8">
        <w:rPr>
          <w:rFonts w:hint="eastAsia"/>
          <w:rtl/>
        </w:rPr>
        <w:t>או</w:t>
      </w:r>
      <w:r w:rsidRPr="005538B8">
        <w:rPr>
          <w:rtl/>
        </w:rPr>
        <w:t xml:space="preserve"> </w:t>
      </w:r>
      <w:r w:rsidRPr="005538B8">
        <w:rPr>
          <w:rFonts w:hint="eastAsia"/>
          <w:rtl/>
        </w:rPr>
        <w:t>בתוך</w:t>
      </w:r>
      <w:r w:rsidRPr="005538B8">
        <w:rPr>
          <w:rtl/>
        </w:rPr>
        <w:t xml:space="preserve"> 21 </w:t>
      </w:r>
      <w:r w:rsidRPr="005538B8">
        <w:rPr>
          <w:rFonts w:hint="eastAsia"/>
          <w:rtl/>
        </w:rPr>
        <w:t>ימים</w:t>
      </w:r>
      <w:r w:rsidRPr="005538B8">
        <w:rPr>
          <w:rtl/>
        </w:rPr>
        <w:t xml:space="preserve"> </w:t>
      </w:r>
      <w:r w:rsidRPr="005538B8">
        <w:rPr>
          <w:rFonts w:hint="eastAsia"/>
          <w:rtl/>
        </w:rPr>
        <w:t>מיום</w:t>
      </w:r>
      <w:r w:rsidRPr="005538B8">
        <w:rPr>
          <w:rtl/>
        </w:rPr>
        <w:t xml:space="preserve"> </w:t>
      </w:r>
      <w:r w:rsidRPr="005538B8">
        <w:rPr>
          <w:rFonts w:hint="eastAsia"/>
          <w:rtl/>
        </w:rPr>
        <w:t>קבלת</w:t>
      </w:r>
      <w:r w:rsidRPr="005538B8">
        <w:rPr>
          <w:rtl/>
        </w:rPr>
        <w:t xml:space="preserve"> </w:t>
      </w:r>
      <w:r w:rsidRPr="005538B8">
        <w:rPr>
          <w:rFonts w:hint="eastAsia"/>
          <w:rtl/>
        </w:rPr>
        <w:t>הפנייה</w:t>
      </w:r>
      <w:r w:rsidRPr="005538B8">
        <w:rPr>
          <w:rtl/>
        </w:rPr>
        <w:t xml:space="preserve"> </w:t>
      </w:r>
      <w:r w:rsidRPr="005538B8">
        <w:rPr>
          <w:rFonts w:hint="eastAsia"/>
          <w:rtl/>
        </w:rPr>
        <w:t>האמורה</w:t>
      </w:r>
      <w:r w:rsidRPr="005538B8">
        <w:rPr>
          <w:rtl/>
        </w:rPr>
        <w:t xml:space="preserve">, </w:t>
      </w:r>
      <w:r w:rsidRPr="005538B8">
        <w:rPr>
          <w:rFonts w:hint="eastAsia"/>
          <w:rtl/>
        </w:rPr>
        <w:t>לפי</w:t>
      </w:r>
      <w:r w:rsidRPr="005538B8">
        <w:rPr>
          <w:rtl/>
        </w:rPr>
        <w:t xml:space="preserve"> </w:t>
      </w:r>
      <w:r w:rsidRPr="005538B8">
        <w:rPr>
          <w:rFonts w:hint="eastAsia"/>
          <w:rtl/>
        </w:rPr>
        <w:t>המוקדם</w:t>
      </w:r>
      <w:r w:rsidRPr="005538B8">
        <w:rPr>
          <w:rtl/>
        </w:rPr>
        <w:t>."</w:t>
      </w:r>
    </w:p>
    <w:p w:rsidR="001035BF" w:rsidRPr="001035BF" w:rsidRDefault="008F4416" w:rsidP="001035BF">
      <w:pPr>
        <w:jc w:val="both"/>
        <w:rPr>
          <w:rtl/>
        </w:rPr>
      </w:pPr>
      <w:r>
        <w:rPr>
          <w:rFonts w:hint="cs"/>
          <w:rtl/>
        </w:rPr>
        <w:t xml:space="preserve">בתוך זה: פומביות עמדות </w:t>
      </w:r>
      <w:r>
        <w:rPr>
          <w:rFonts w:hint="eastAsia"/>
          <w:rtl/>
        </w:rPr>
        <w:t>הסוכנות לעסקים קטנים ובינוניים</w:t>
      </w:r>
      <w:r>
        <w:rPr>
          <w:rFonts w:hint="cs"/>
          <w:rtl/>
        </w:rPr>
        <w:t xml:space="preserve"> </w:t>
      </w:r>
      <w:r>
        <w:rPr>
          <w:rtl/>
        </w:rPr>
        <w:t>–</w:t>
      </w:r>
      <w:r>
        <w:rPr>
          <w:rFonts w:hint="cs"/>
          <w:rtl/>
        </w:rPr>
        <w:t xml:space="preserve"> </w:t>
      </w:r>
      <w:r>
        <w:rPr>
          <w:rFonts w:hint="eastAsia"/>
          <w:rtl/>
        </w:rPr>
        <w:t xml:space="preserve">הסוכנות </w:t>
      </w:r>
      <w:r>
        <w:rPr>
          <w:rFonts w:hint="cs"/>
          <w:rtl/>
        </w:rPr>
        <w:t>תוכל לפרסם את עמדותיה בנפרד מעמדות המשרד, ולהנגיש אותן לציבור הרחב</w:t>
      </w:r>
      <w:r w:rsidR="001035BF">
        <w:rPr>
          <w:rFonts w:hint="cs"/>
          <w:rtl/>
        </w:rPr>
        <w:t xml:space="preserve">. </w:t>
      </w:r>
      <w:r w:rsidR="001035BF" w:rsidRPr="001035BF">
        <w:rPr>
          <w:rFonts w:hint="cs"/>
          <w:rtl/>
        </w:rPr>
        <w:t>כמובן הכל צריך להיות שקו</w:t>
      </w:r>
      <w:r w:rsidR="001035BF">
        <w:rPr>
          <w:rFonts w:hint="cs"/>
          <w:rtl/>
        </w:rPr>
        <w:t>ף ולהתבטא באתר של הסוכנות.</w:t>
      </w:r>
      <w:r w:rsidR="001035BF" w:rsidRPr="001035BF">
        <w:rPr>
          <w:rFonts w:hint="cs"/>
          <w:rtl/>
        </w:rPr>
        <w:t xml:space="preserve"> צריך לקבוע נוהל שאפשר יהיה לעמוד בו.</w:t>
      </w:r>
    </w:p>
    <w:p w:rsidR="008F4416" w:rsidRDefault="008F4416" w:rsidP="008F4416">
      <w:pPr>
        <w:jc w:val="both"/>
        <w:rPr>
          <w:rtl/>
        </w:rPr>
      </w:pPr>
    </w:p>
    <w:p w:rsidR="007052B4" w:rsidRPr="002516B1" w:rsidRDefault="003827CB" w:rsidP="002516B1">
      <w:pPr>
        <w:pStyle w:val="a9"/>
        <w:numPr>
          <w:ilvl w:val="0"/>
          <w:numId w:val="1"/>
        </w:numPr>
        <w:jc w:val="both"/>
        <w:rPr>
          <w:b/>
          <w:bCs/>
          <w:sz w:val="24"/>
          <w:szCs w:val="24"/>
          <w:rtl/>
        </w:rPr>
      </w:pPr>
      <w:r w:rsidRPr="002516B1">
        <w:rPr>
          <w:rFonts w:hint="cs"/>
          <w:b/>
          <w:bCs/>
          <w:sz w:val="24"/>
          <w:szCs w:val="24"/>
          <w:rtl/>
        </w:rPr>
        <w:t>ייצוג ב</w:t>
      </w:r>
      <w:r w:rsidR="007052B4" w:rsidRPr="002516B1">
        <w:rPr>
          <w:rFonts w:hint="cs"/>
          <w:b/>
          <w:bCs/>
          <w:sz w:val="24"/>
          <w:szCs w:val="24"/>
          <w:rtl/>
        </w:rPr>
        <w:t>בית משפט</w:t>
      </w:r>
    </w:p>
    <w:p w:rsidR="00F7566A" w:rsidRDefault="00F7566A" w:rsidP="002516B1">
      <w:pPr>
        <w:jc w:val="both"/>
        <w:rPr>
          <w:rtl/>
        </w:rPr>
      </w:pPr>
      <w:r>
        <w:rPr>
          <w:rFonts w:hint="cs"/>
          <w:rtl/>
        </w:rPr>
        <w:t>בנוסחים הראשונים הייתה לסוכנות זכות התייצבות בהליכים משפטיים המתנהלים כנגד עסקים קטנים ובינוניים, ולייצגם בפני בית המשפט בהליכים עקרוניים, ועל פי פניה של בית משפט לסוכנות.</w:t>
      </w:r>
      <w:r w:rsidR="0022066D">
        <w:rPr>
          <w:rFonts w:hint="cs"/>
          <w:rtl/>
        </w:rPr>
        <w:t xml:space="preserve"> </w:t>
      </w:r>
      <w:r w:rsidR="0022066D">
        <w:rPr>
          <w:rFonts w:hint="cs"/>
          <w:rtl/>
        </w:rPr>
        <w:lastRenderedPageBreak/>
        <w:t>מדובר בסמכות משמעותית לייצג עסקים בפני בית המשפט, משתלבת טוב בסעיף הרכש להלן משום שתוכל להשתתף בעתירות של עסקים כנגד מכרזים לא נגישים.</w:t>
      </w:r>
    </w:p>
    <w:p w:rsidR="00FA426E" w:rsidRDefault="00FA426E" w:rsidP="00FA4C43">
      <w:pPr>
        <w:jc w:val="both"/>
        <w:rPr>
          <w:rtl/>
        </w:rPr>
      </w:pPr>
      <w:r>
        <w:rPr>
          <w:rFonts w:hint="cs"/>
          <w:rtl/>
        </w:rPr>
        <w:t xml:space="preserve">הנוסח </w:t>
      </w:r>
      <w:r w:rsidR="005538B8">
        <w:rPr>
          <w:rFonts w:hint="cs"/>
          <w:rtl/>
        </w:rPr>
        <w:t>המוצע</w:t>
      </w:r>
      <w:r w:rsidR="00FA4C43">
        <w:rPr>
          <w:rFonts w:hint="cs"/>
          <w:rtl/>
        </w:rPr>
        <w:t xml:space="preserve">: </w:t>
      </w:r>
    </w:p>
    <w:p w:rsidR="00B279B4" w:rsidRPr="00F10577" w:rsidRDefault="00FA426E" w:rsidP="0011525A">
      <w:pPr>
        <w:jc w:val="both"/>
        <w:rPr>
          <w:rtl/>
        </w:rPr>
      </w:pPr>
      <w:r w:rsidRPr="00F10577">
        <w:rPr>
          <w:rtl/>
        </w:rPr>
        <w:t>"</w:t>
      </w:r>
      <w:r w:rsidRPr="00F10577">
        <w:rPr>
          <w:rFonts w:hint="eastAsia"/>
          <w:rtl/>
        </w:rPr>
        <w:t>בהליך</w:t>
      </w:r>
      <w:r w:rsidRPr="00F10577">
        <w:rPr>
          <w:rtl/>
        </w:rPr>
        <w:t xml:space="preserve"> </w:t>
      </w:r>
      <w:r w:rsidRPr="00F10577">
        <w:rPr>
          <w:rFonts w:hint="eastAsia"/>
          <w:rtl/>
        </w:rPr>
        <w:t>אזרחי</w:t>
      </w:r>
      <w:r w:rsidRPr="00F10577">
        <w:rPr>
          <w:rtl/>
        </w:rPr>
        <w:t xml:space="preserve"> </w:t>
      </w:r>
      <w:r w:rsidRPr="00F10577">
        <w:rPr>
          <w:rFonts w:hint="eastAsia"/>
          <w:rtl/>
        </w:rPr>
        <w:t>פלוני</w:t>
      </w:r>
      <w:r w:rsidRPr="00F10577">
        <w:rPr>
          <w:rtl/>
        </w:rPr>
        <w:t xml:space="preserve"> </w:t>
      </w:r>
      <w:r w:rsidRPr="00F10577">
        <w:rPr>
          <w:rFonts w:hint="eastAsia"/>
          <w:rtl/>
        </w:rPr>
        <w:t>שלפני</w:t>
      </w:r>
      <w:r w:rsidRPr="00F10577">
        <w:rPr>
          <w:rtl/>
        </w:rPr>
        <w:t xml:space="preserve"> </w:t>
      </w:r>
      <w:r w:rsidRPr="00F10577">
        <w:rPr>
          <w:rFonts w:hint="eastAsia"/>
          <w:rtl/>
        </w:rPr>
        <w:t>בית</w:t>
      </w:r>
      <w:r w:rsidRPr="00F10577">
        <w:rPr>
          <w:rtl/>
        </w:rPr>
        <w:t xml:space="preserve"> </w:t>
      </w:r>
      <w:r w:rsidRPr="00F10577">
        <w:rPr>
          <w:rFonts w:hint="eastAsia"/>
          <w:rtl/>
        </w:rPr>
        <w:t>המשפטי</w:t>
      </w:r>
      <w:r w:rsidRPr="00F10577">
        <w:rPr>
          <w:rtl/>
        </w:rPr>
        <w:t xml:space="preserve"> </w:t>
      </w:r>
      <w:r w:rsidRPr="00F10577">
        <w:rPr>
          <w:rFonts w:hint="eastAsia"/>
          <w:rtl/>
        </w:rPr>
        <w:t>אשר</w:t>
      </w:r>
      <w:r w:rsidRPr="00F10577">
        <w:rPr>
          <w:rtl/>
        </w:rPr>
        <w:t xml:space="preserve"> </w:t>
      </w:r>
      <w:r w:rsidRPr="00F10577">
        <w:rPr>
          <w:rFonts w:hint="eastAsia"/>
          <w:rtl/>
        </w:rPr>
        <w:t>עניין</w:t>
      </w:r>
      <w:r w:rsidRPr="00F10577">
        <w:rPr>
          <w:rtl/>
        </w:rPr>
        <w:t xml:space="preserve"> </w:t>
      </w:r>
      <w:r w:rsidRPr="00F10577">
        <w:rPr>
          <w:rFonts w:hint="eastAsia"/>
          <w:rtl/>
        </w:rPr>
        <w:t>של</w:t>
      </w:r>
      <w:r w:rsidRPr="00F10577">
        <w:rPr>
          <w:rtl/>
        </w:rPr>
        <w:t xml:space="preserve"> </w:t>
      </w:r>
      <w:r w:rsidRPr="00F10577">
        <w:rPr>
          <w:rFonts w:hint="eastAsia"/>
          <w:rtl/>
        </w:rPr>
        <w:t>ציבור</w:t>
      </w:r>
      <w:r w:rsidRPr="00F10577">
        <w:rPr>
          <w:rtl/>
        </w:rPr>
        <w:t xml:space="preserve"> </w:t>
      </w:r>
      <w:r w:rsidRPr="00F10577">
        <w:rPr>
          <w:rFonts w:hint="eastAsia"/>
          <w:rtl/>
        </w:rPr>
        <w:t>העסקים</w:t>
      </w:r>
      <w:r w:rsidRPr="00F10577">
        <w:rPr>
          <w:rtl/>
        </w:rPr>
        <w:t xml:space="preserve"> </w:t>
      </w:r>
      <w:r w:rsidRPr="00F10577">
        <w:rPr>
          <w:rFonts w:hint="eastAsia"/>
          <w:rtl/>
        </w:rPr>
        <w:t>הקטנים</w:t>
      </w:r>
      <w:r w:rsidRPr="00F10577">
        <w:rPr>
          <w:rtl/>
        </w:rPr>
        <w:t xml:space="preserve"> </w:t>
      </w:r>
      <w:r w:rsidRPr="00F10577">
        <w:rPr>
          <w:rFonts w:hint="eastAsia"/>
          <w:rtl/>
        </w:rPr>
        <w:t>והבינוניים</w:t>
      </w:r>
      <w:r w:rsidRPr="00F10577">
        <w:rPr>
          <w:rtl/>
        </w:rPr>
        <w:t xml:space="preserve"> </w:t>
      </w:r>
      <w:r w:rsidRPr="00F10577">
        <w:rPr>
          <w:rFonts w:hint="eastAsia"/>
          <w:rtl/>
        </w:rPr>
        <w:t>מושפע</w:t>
      </w:r>
      <w:r w:rsidRPr="00F10577">
        <w:rPr>
          <w:rtl/>
        </w:rPr>
        <w:t xml:space="preserve"> </w:t>
      </w:r>
      <w:r w:rsidRPr="00F10577">
        <w:rPr>
          <w:rFonts w:hint="eastAsia"/>
          <w:rtl/>
        </w:rPr>
        <w:t>ממנו</w:t>
      </w:r>
      <w:r w:rsidRPr="00F10577">
        <w:rPr>
          <w:rtl/>
        </w:rPr>
        <w:t xml:space="preserve"> </w:t>
      </w:r>
      <w:r w:rsidRPr="00F10577">
        <w:rPr>
          <w:rFonts w:hint="eastAsia"/>
          <w:rtl/>
        </w:rPr>
        <w:t>או</w:t>
      </w:r>
      <w:r w:rsidRPr="00F10577">
        <w:rPr>
          <w:rtl/>
        </w:rPr>
        <w:t xml:space="preserve"> </w:t>
      </w:r>
      <w:r w:rsidRPr="00F10577">
        <w:rPr>
          <w:rFonts w:hint="eastAsia"/>
          <w:rtl/>
        </w:rPr>
        <w:t>כרוך</w:t>
      </w:r>
      <w:r w:rsidRPr="00F10577">
        <w:rPr>
          <w:rtl/>
        </w:rPr>
        <w:t xml:space="preserve"> </w:t>
      </w:r>
      <w:r w:rsidRPr="00F10577">
        <w:rPr>
          <w:rFonts w:hint="eastAsia"/>
          <w:rtl/>
        </w:rPr>
        <w:t>בו</w:t>
      </w:r>
      <w:r w:rsidRPr="00F10577">
        <w:rPr>
          <w:rtl/>
        </w:rPr>
        <w:t xml:space="preserve"> </w:t>
      </w:r>
      <w:r w:rsidRPr="00F10577">
        <w:rPr>
          <w:rFonts w:hint="eastAsia"/>
          <w:rtl/>
        </w:rPr>
        <w:t>או</w:t>
      </w:r>
      <w:r w:rsidRPr="00F10577">
        <w:rPr>
          <w:rtl/>
        </w:rPr>
        <w:t xml:space="preserve"> </w:t>
      </w:r>
      <w:r w:rsidRPr="00F10577">
        <w:rPr>
          <w:rFonts w:hint="eastAsia"/>
          <w:rtl/>
        </w:rPr>
        <w:t>עלול</w:t>
      </w:r>
      <w:r w:rsidRPr="00F10577">
        <w:rPr>
          <w:rtl/>
        </w:rPr>
        <w:t xml:space="preserve"> </w:t>
      </w:r>
      <w:r w:rsidRPr="00F10577">
        <w:rPr>
          <w:rFonts w:hint="eastAsia"/>
          <w:rtl/>
        </w:rPr>
        <w:t>להיות</w:t>
      </w:r>
      <w:r w:rsidRPr="00F10577">
        <w:rPr>
          <w:rtl/>
        </w:rPr>
        <w:t xml:space="preserve"> </w:t>
      </w:r>
      <w:r w:rsidRPr="00F10577">
        <w:rPr>
          <w:rFonts w:hint="eastAsia"/>
          <w:rtl/>
        </w:rPr>
        <w:t>מושפע</w:t>
      </w:r>
      <w:r w:rsidRPr="00F10577">
        <w:rPr>
          <w:rtl/>
        </w:rPr>
        <w:t xml:space="preserve"> </w:t>
      </w:r>
      <w:r w:rsidRPr="00F10577">
        <w:rPr>
          <w:rFonts w:hint="eastAsia"/>
          <w:rtl/>
        </w:rPr>
        <w:t>ממנו</w:t>
      </w:r>
      <w:r w:rsidRPr="00F10577">
        <w:rPr>
          <w:rtl/>
        </w:rPr>
        <w:t xml:space="preserve"> </w:t>
      </w:r>
      <w:r w:rsidRPr="00F10577">
        <w:rPr>
          <w:rFonts w:hint="eastAsia"/>
          <w:rtl/>
        </w:rPr>
        <w:t>או</w:t>
      </w:r>
      <w:r w:rsidRPr="00F10577">
        <w:rPr>
          <w:rtl/>
        </w:rPr>
        <w:t xml:space="preserve"> </w:t>
      </w:r>
      <w:r w:rsidRPr="00F10577">
        <w:rPr>
          <w:rFonts w:hint="eastAsia"/>
          <w:rtl/>
        </w:rPr>
        <w:t>כרוך</w:t>
      </w:r>
      <w:r w:rsidRPr="00F10577">
        <w:rPr>
          <w:rtl/>
        </w:rPr>
        <w:t xml:space="preserve"> </w:t>
      </w:r>
      <w:r w:rsidRPr="00F10577">
        <w:rPr>
          <w:rFonts w:hint="eastAsia"/>
          <w:rtl/>
        </w:rPr>
        <w:t>בו</w:t>
      </w:r>
      <w:r w:rsidRPr="00F10577">
        <w:rPr>
          <w:rtl/>
        </w:rPr>
        <w:t xml:space="preserve">, </w:t>
      </w:r>
      <w:r w:rsidRPr="00F10577">
        <w:rPr>
          <w:rFonts w:hint="eastAsia"/>
          <w:rtl/>
        </w:rPr>
        <w:t>רשאי</w:t>
      </w:r>
      <w:r w:rsidRPr="00F10577">
        <w:rPr>
          <w:rtl/>
        </w:rPr>
        <w:t xml:space="preserve"> </w:t>
      </w:r>
      <w:r w:rsidRPr="00F10577">
        <w:rPr>
          <w:rFonts w:hint="eastAsia"/>
          <w:rtl/>
        </w:rPr>
        <w:t>בית</w:t>
      </w:r>
      <w:r w:rsidRPr="00F10577">
        <w:rPr>
          <w:rtl/>
        </w:rPr>
        <w:t xml:space="preserve"> </w:t>
      </w:r>
      <w:r w:rsidRPr="00F10577">
        <w:rPr>
          <w:rFonts w:hint="eastAsia"/>
          <w:rtl/>
        </w:rPr>
        <w:t>המשפט</w:t>
      </w:r>
      <w:r w:rsidRPr="00F10577">
        <w:rPr>
          <w:rtl/>
        </w:rPr>
        <w:t xml:space="preserve"> </w:t>
      </w:r>
      <w:r w:rsidRPr="00F10577">
        <w:rPr>
          <w:rFonts w:hint="eastAsia"/>
          <w:rtl/>
        </w:rPr>
        <w:t>לתת</w:t>
      </w:r>
      <w:r w:rsidRPr="00F10577">
        <w:rPr>
          <w:rtl/>
        </w:rPr>
        <w:t xml:space="preserve"> </w:t>
      </w:r>
      <w:r w:rsidRPr="00F10577">
        <w:rPr>
          <w:rFonts w:hint="eastAsia"/>
          <w:rtl/>
        </w:rPr>
        <w:t>לסוכנות</w:t>
      </w:r>
      <w:r w:rsidRPr="00F10577">
        <w:rPr>
          <w:rtl/>
        </w:rPr>
        <w:t xml:space="preserve"> </w:t>
      </w:r>
      <w:r w:rsidRPr="00F10577">
        <w:rPr>
          <w:rFonts w:hint="eastAsia"/>
          <w:rtl/>
        </w:rPr>
        <w:t>להשמיע</w:t>
      </w:r>
      <w:r w:rsidRPr="00F10577">
        <w:rPr>
          <w:rtl/>
        </w:rPr>
        <w:t xml:space="preserve"> </w:t>
      </w:r>
      <w:r w:rsidRPr="00F10577">
        <w:rPr>
          <w:rFonts w:hint="eastAsia"/>
          <w:rtl/>
        </w:rPr>
        <w:t>את</w:t>
      </w:r>
      <w:r w:rsidRPr="00F10577">
        <w:rPr>
          <w:rtl/>
        </w:rPr>
        <w:t xml:space="preserve"> </w:t>
      </w:r>
      <w:r w:rsidRPr="00F10577">
        <w:rPr>
          <w:rFonts w:hint="eastAsia"/>
          <w:rtl/>
        </w:rPr>
        <w:t>דברה</w:t>
      </w:r>
      <w:r w:rsidRPr="00F10577">
        <w:rPr>
          <w:rtl/>
        </w:rPr>
        <w:t xml:space="preserve"> </w:t>
      </w:r>
      <w:r w:rsidR="00FA4C43" w:rsidRPr="00F10577">
        <w:rPr>
          <w:rFonts w:hint="eastAsia"/>
          <w:rtl/>
        </w:rPr>
        <w:t>בדר</w:t>
      </w:r>
      <w:r w:rsidR="00FA4C43" w:rsidRPr="00F10577">
        <w:rPr>
          <w:rFonts w:hint="cs"/>
          <w:rtl/>
        </w:rPr>
        <w:t>ך</w:t>
      </w:r>
      <w:r w:rsidRPr="00F10577">
        <w:rPr>
          <w:rtl/>
        </w:rPr>
        <w:t xml:space="preserve"> </w:t>
      </w:r>
      <w:r w:rsidRPr="00F10577">
        <w:rPr>
          <w:rFonts w:hint="eastAsia"/>
          <w:rtl/>
        </w:rPr>
        <w:t>שיורה</w:t>
      </w:r>
      <w:r w:rsidRPr="00F10577">
        <w:rPr>
          <w:rtl/>
        </w:rPr>
        <w:t xml:space="preserve">, </w:t>
      </w:r>
      <w:r w:rsidRPr="00F10577">
        <w:rPr>
          <w:rFonts w:hint="eastAsia"/>
          <w:rtl/>
        </w:rPr>
        <w:t>והכל</w:t>
      </w:r>
      <w:r w:rsidRPr="00F10577">
        <w:rPr>
          <w:rtl/>
        </w:rPr>
        <w:t xml:space="preserve"> </w:t>
      </w:r>
      <w:r w:rsidRPr="00F10577">
        <w:rPr>
          <w:rFonts w:hint="eastAsia"/>
          <w:rtl/>
        </w:rPr>
        <w:t>באמצעות</w:t>
      </w:r>
      <w:r w:rsidRPr="00F10577">
        <w:rPr>
          <w:rtl/>
        </w:rPr>
        <w:t xml:space="preserve"> </w:t>
      </w:r>
      <w:r w:rsidRPr="00F10577">
        <w:rPr>
          <w:rFonts w:hint="eastAsia"/>
          <w:rtl/>
        </w:rPr>
        <w:t>היועץ</w:t>
      </w:r>
      <w:r w:rsidRPr="00F10577">
        <w:rPr>
          <w:rtl/>
        </w:rPr>
        <w:t xml:space="preserve"> </w:t>
      </w:r>
      <w:r w:rsidRPr="00F10577">
        <w:rPr>
          <w:rFonts w:hint="eastAsia"/>
          <w:rtl/>
        </w:rPr>
        <w:t>המשפטי</w:t>
      </w:r>
      <w:r w:rsidRPr="00F10577">
        <w:rPr>
          <w:rtl/>
        </w:rPr>
        <w:t xml:space="preserve"> </w:t>
      </w:r>
      <w:r w:rsidRPr="00F10577">
        <w:rPr>
          <w:rFonts w:hint="eastAsia"/>
          <w:rtl/>
        </w:rPr>
        <w:t>לממשלה</w:t>
      </w:r>
      <w:r w:rsidRPr="00F10577">
        <w:rPr>
          <w:rtl/>
        </w:rPr>
        <w:t xml:space="preserve"> </w:t>
      </w:r>
      <w:r w:rsidRPr="00F10577">
        <w:rPr>
          <w:rFonts w:hint="eastAsia"/>
          <w:rtl/>
        </w:rPr>
        <w:t>או</w:t>
      </w:r>
      <w:r w:rsidRPr="00F10577">
        <w:rPr>
          <w:rtl/>
        </w:rPr>
        <w:t xml:space="preserve"> </w:t>
      </w:r>
      <w:r w:rsidRPr="00F10577">
        <w:rPr>
          <w:rFonts w:hint="eastAsia"/>
          <w:rtl/>
        </w:rPr>
        <w:t>בא</w:t>
      </w:r>
      <w:r w:rsidRPr="00F10577">
        <w:rPr>
          <w:rtl/>
        </w:rPr>
        <w:t xml:space="preserve"> </w:t>
      </w:r>
      <w:r w:rsidRPr="00F10577">
        <w:rPr>
          <w:rFonts w:hint="eastAsia"/>
          <w:rtl/>
        </w:rPr>
        <w:t>כוחו</w:t>
      </w:r>
      <w:r w:rsidRPr="00F10577">
        <w:rPr>
          <w:rtl/>
        </w:rPr>
        <w:t xml:space="preserve">, </w:t>
      </w:r>
      <w:r w:rsidRPr="00F10577">
        <w:rPr>
          <w:rFonts w:hint="eastAsia"/>
          <w:rtl/>
        </w:rPr>
        <w:t>בין</w:t>
      </w:r>
      <w:r w:rsidRPr="00F10577">
        <w:rPr>
          <w:rtl/>
        </w:rPr>
        <w:t xml:space="preserve"> </w:t>
      </w:r>
      <w:r w:rsidRPr="00F10577">
        <w:rPr>
          <w:rFonts w:hint="eastAsia"/>
          <w:rtl/>
        </w:rPr>
        <w:t>מיוזמתו</w:t>
      </w:r>
      <w:r w:rsidRPr="00F10577">
        <w:rPr>
          <w:rtl/>
        </w:rPr>
        <w:t xml:space="preserve"> </w:t>
      </w:r>
      <w:r w:rsidRPr="00F10577">
        <w:rPr>
          <w:rFonts w:hint="eastAsia"/>
          <w:rtl/>
        </w:rPr>
        <w:t>ובין</w:t>
      </w:r>
      <w:r w:rsidRPr="00F10577">
        <w:rPr>
          <w:rtl/>
        </w:rPr>
        <w:t xml:space="preserve"> </w:t>
      </w:r>
      <w:r w:rsidRPr="00F10577">
        <w:rPr>
          <w:rFonts w:hint="eastAsia"/>
          <w:rtl/>
        </w:rPr>
        <w:t>מיוזמת</w:t>
      </w:r>
      <w:r w:rsidRPr="00F10577">
        <w:rPr>
          <w:rtl/>
        </w:rPr>
        <w:t xml:space="preserve"> </w:t>
      </w:r>
      <w:r w:rsidRPr="00F10577">
        <w:rPr>
          <w:rFonts w:hint="eastAsia"/>
          <w:rtl/>
        </w:rPr>
        <w:t>הסוכנות</w:t>
      </w:r>
      <w:r w:rsidRPr="00F10577">
        <w:rPr>
          <w:rtl/>
        </w:rPr>
        <w:t xml:space="preserve"> </w:t>
      </w:r>
      <w:r w:rsidRPr="00F10577">
        <w:rPr>
          <w:rFonts w:hint="eastAsia"/>
          <w:rtl/>
        </w:rPr>
        <w:t>לפי</w:t>
      </w:r>
      <w:r w:rsidRPr="00F10577">
        <w:rPr>
          <w:rtl/>
        </w:rPr>
        <w:t xml:space="preserve"> </w:t>
      </w:r>
      <w:r w:rsidRPr="00F10577">
        <w:rPr>
          <w:rFonts w:hint="eastAsia"/>
          <w:rtl/>
        </w:rPr>
        <w:t>בקשתה</w:t>
      </w:r>
    </w:p>
    <w:p w:rsidR="00F554D1" w:rsidRPr="002516B1" w:rsidRDefault="007052B4" w:rsidP="002516B1">
      <w:pPr>
        <w:pStyle w:val="a9"/>
        <w:numPr>
          <w:ilvl w:val="0"/>
          <w:numId w:val="1"/>
        </w:numPr>
        <w:jc w:val="both"/>
        <w:rPr>
          <w:b/>
          <w:bCs/>
          <w:sz w:val="24"/>
          <w:szCs w:val="24"/>
        </w:rPr>
      </w:pPr>
      <w:r w:rsidRPr="002516B1">
        <w:rPr>
          <w:rFonts w:hint="cs"/>
          <w:b/>
          <w:bCs/>
          <w:sz w:val="24"/>
          <w:szCs w:val="24"/>
          <w:rtl/>
        </w:rPr>
        <w:t xml:space="preserve">רכש </w:t>
      </w:r>
      <w:r w:rsidR="006E057E" w:rsidRPr="002516B1">
        <w:rPr>
          <w:rFonts w:hint="cs"/>
          <w:b/>
          <w:bCs/>
          <w:sz w:val="24"/>
          <w:szCs w:val="24"/>
          <w:rtl/>
        </w:rPr>
        <w:t>ציב</w:t>
      </w:r>
      <w:r w:rsidR="0034315B" w:rsidRPr="002516B1">
        <w:rPr>
          <w:rFonts w:hint="cs"/>
          <w:b/>
          <w:bCs/>
          <w:sz w:val="24"/>
          <w:szCs w:val="24"/>
          <w:rtl/>
        </w:rPr>
        <w:t>ורי</w:t>
      </w:r>
    </w:p>
    <w:p w:rsidR="007052B4" w:rsidRPr="00F554D1" w:rsidRDefault="007052B4" w:rsidP="002516B1">
      <w:pPr>
        <w:jc w:val="both"/>
        <w:rPr>
          <w:b/>
          <w:bCs/>
          <w:rtl/>
        </w:rPr>
      </w:pPr>
      <w:r w:rsidRPr="00F554D1">
        <w:rPr>
          <w:rFonts w:hint="cs"/>
          <w:b/>
          <w:bCs/>
          <w:rtl/>
        </w:rPr>
        <w:t>ברשויות</w:t>
      </w:r>
      <w:r w:rsidR="006E057E" w:rsidRPr="00F554D1">
        <w:rPr>
          <w:rFonts w:hint="cs"/>
          <w:b/>
          <w:bCs/>
          <w:rtl/>
        </w:rPr>
        <w:t xml:space="preserve"> מקומיות</w:t>
      </w:r>
    </w:p>
    <w:p w:rsidR="000E4940" w:rsidRDefault="000E4940" w:rsidP="002516B1">
      <w:pPr>
        <w:jc w:val="both"/>
        <w:rPr>
          <w:rtl/>
        </w:rPr>
      </w:pPr>
      <w:r>
        <w:rPr>
          <w:rFonts w:hint="cs"/>
          <w:rtl/>
        </w:rPr>
        <w:t xml:space="preserve">רשויות מקומיות הן גורם בעל הפוטנציאל הגבוה ביותר לרכש מעסקים קטנים, בשל </w:t>
      </w:r>
      <w:r w:rsidR="006E057E">
        <w:rPr>
          <w:rFonts w:hint="cs"/>
          <w:rtl/>
        </w:rPr>
        <w:t xml:space="preserve">דרישות הכמות/היקף עבודה להתקשרות, </w:t>
      </w:r>
      <w:r>
        <w:rPr>
          <w:rFonts w:hint="cs"/>
          <w:rtl/>
        </w:rPr>
        <w:t xml:space="preserve">שנמוכים ביחס לרכש ממשלתי. </w:t>
      </w:r>
      <w:r w:rsidR="006E057E">
        <w:rPr>
          <w:rFonts w:hint="cs"/>
          <w:rtl/>
        </w:rPr>
        <w:t>תהליך הרכש ברשויות מקומיות מוסדר בפקודת העיריות ובתקנות מכוחו, חקיקה שמצויה באחריות משרד הפנים. עם זאת משרד הפנים אינו נוטה להתערב בעבודת הרשויות בתחום הרכש (כמו בתחומים נוספים אחרים), זאת בניגוד לחשב הכללי שמעורב ברכש במשרדים השונים.</w:t>
      </w:r>
    </w:p>
    <w:p w:rsidR="001035BF" w:rsidRPr="001035BF" w:rsidRDefault="001035BF" w:rsidP="001035BF">
      <w:pPr>
        <w:jc w:val="both"/>
        <w:rPr>
          <w:rtl/>
        </w:rPr>
      </w:pPr>
      <w:r w:rsidRPr="001035BF">
        <w:rPr>
          <w:rFonts w:hint="cs"/>
          <w:rtl/>
        </w:rPr>
        <w:t>יש מקום לעשות תיקונים בחוק הרשויות המקומיות בנושא ולהטיל על הסוכנות את הפיקוח על כך. ועל כן הייתי לקבוע בחקיקה כי "הסוכנות תפקח גם על שילוב עסקים קטנים ובינוניים ברכש הציבורי בשלטון המקומי, בהתייעצות ובתיאום עם משרד הפנים ומרכז השלטון המקומי".</w:t>
      </w:r>
    </w:p>
    <w:p w:rsidR="006E057E" w:rsidRDefault="006E057E" w:rsidP="002516B1">
      <w:pPr>
        <w:jc w:val="both"/>
        <w:rPr>
          <w:rtl/>
        </w:rPr>
      </w:pPr>
      <w:r>
        <w:rPr>
          <w:rFonts w:hint="cs"/>
          <w:rtl/>
        </w:rPr>
        <w:t>מוצע להכניס להצעת החוק יכולות שיהיו בידי הסוכנות להשפיע על רכש מעסקים קטנים, על פי החלופות הבאות:</w:t>
      </w:r>
    </w:p>
    <w:p w:rsidR="006E057E" w:rsidRDefault="006E057E" w:rsidP="002516B1">
      <w:pPr>
        <w:pStyle w:val="a9"/>
        <w:numPr>
          <w:ilvl w:val="0"/>
          <w:numId w:val="2"/>
        </w:numPr>
        <w:jc w:val="both"/>
        <w:rPr>
          <w:rtl/>
        </w:rPr>
      </w:pPr>
      <w:r>
        <w:rPr>
          <w:rFonts w:hint="cs"/>
          <w:rtl/>
        </w:rPr>
        <w:t>התייעצות עם הסוכנות לעסקים קטנים ובינוניים בעת פרסום מכרז, לגבי מידת התאמתו לעסקים קטנים ובינוניים, או לגבי האפשרויות להתאימו לעסקים קטנים ובינוניים.</w:t>
      </w:r>
    </w:p>
    <w:p w:rsidR="006E057E" w:rsidRDefault="006E057E" w:rsidP="002516B1">
      <w:pPr>
        <w:pStyle w:val="a9"/>
        <w:numPr>
          <w:ilvl w:val="0"/>
          <w:numId w:val="2"/>
        </w:numPr>
        <w:jc w:val="both"/>
        <w:rPr>
          <w:rtl/>
        </w:rPr>
      </w:pPr>
      <w:r>
        <w:rPr>
          <w:rFonts w:hint="cs"/>
          <w:rtl/>
        </w:rPr>
        <w:t xml:space="preserve">בעת פרסום מכרז לקחת בחשבון שיקולים של השתתפות עסקים קטנים במכרזים, והתאמת המכרזים ליכולות העסקים הקטנים, אם על ידי התאמת תנאי סף, אם על ידי פיצול המכרז לסלים </w:t>
      </w:r>
    </w:p>
    <w:p w:rsidR="006E057E" w:rsidRDefault="006E057E" w:rsidP="002516B1">
      <w:pPr>
        <w:pStyle w:val="a9"/>
        <w:numPr>
          <w:ilvl w:val="0"/>
          <w:numId w:val="2"/>
        </w:numPr>
        <w:jc w:val="both"/>
      </w:pPr>
      <w:r>
        <w:rPr>
          <w:rFonts w:hint="cs"/>
          <w:rtl/>
        </w:rPr>
        <w:t>רשויות מקומיות יעבירו לסוכנות לעסקים קטנים ובינוניים נתונים על אודות מכרזים שהם הוציאו ויציינו את גודל העסק שזכה בכל אחד מהמכרזים, לרבות מכרזי מסגרת.</w:t>
      </w:r>
    </w:p>
    <w:p w:rsidR="00AE0CB0" w:rsidRDefault="00AE0CB0" w:rsidP="002516B1">
      <w:pPr>
        <w:pStyle w:val="a9"/>
        <w:numPr>
          <w:ilvl w:val="0"/>
          <w:numId w:val="2"/>
        </w:numPr>
        <w:jc w:val="both"/>
        <w:rPr>
          <w:rtl/>
        </w:rPr>
      </w:pPr>
      <w:r>
        <w:rPr>
          <w:rFonts w:hint="cs"/>
          <w:rtl/>
        </w:rPr>
        <w:t xml:space="preserve">סמכות לסוכנות למעקב, בקרה ודיווח אודות שילוב עסקים קטנים ברכש ברשויות מקומיות </w:t>
      </w:r>
      <w:r>
        <w:rPr>
          <w:rtl/>
        </w:rPr>
        <w:t>–</w:t>
      </w:r>
      <w:r>
        <w:rPr>
          <w:rFonts w:hint="cs"/>
          <w:rtl/>
        </w:rPr>
        <w:t xml:space="preserve"> נוסח סעיף ב'2 להחלטת הממשלה של הסוכנות </w:t>
      </w:r>
    </w:p>
    <w:p w:rsidR="009A6893" w:rsidRDefault="009A6893" w:rsidP="002516B1">
      <w:pPr>
        <w:jc w:val="both"/>
        <w:rPr>
          <w:b/>
          <w:bCs/>
          <w:rtl/>
        </w:rPr>
      </w:pPr>
    </w:p>
    <w:p w:rsidR="006E057E" w:rsidRPr="006E057E" w:rsidRDefault="006E057E" w:rsidP="002516B1">
      <w:pPr>
        <w:jc w:val="both"/>
        <w:rPr>
          <w:b/>
          <w:bCs/>
          <w:rtl/>
        </w:rPr>
      </w:pPr>
      <w:r w:rsidRPr="006E057E">
        <w:rPr>
          <w:rFonts w:hint="cs"/>
          <w:b/>
          <w:bCs/>
          <w:rtl/>
        </w:rPr>
        <w:t>בממשלה</w:t>
      </w:r>
    </w:p>
    <w:p w:rsidR="009A6893" w:rsidRDefault="009A6893" w:rsidP="009A6893">
      <w:pPr>
        <w:jc w:val="both"/>
        <w:rPr>
          <w:rtl/>
        </w:rPr>
      </w:pPr>
      <w:r>
        <w:rPr>
          <w:rFonts w:hint="cs"/>
          <w:rtl/>
        </w:rPr>
        <w:t xml:space="preserve">הוראת </w:t>
      </w:r>
      <w:r w:rsidR="00E763EA">
        <w:rPr>
          <w:rFonts w:hint="cs"/>
          <w:rtl/>
        </w:rPr>
        <w:t xml:space="preserve">תכ"ם 7.12.7 </w:t>
      </w:r>
      <w:r w:rsidRPr="009A6893">
        <w:rPr>
          <w:rFonts w:hint="cs"/>
          <w:rtl/>
        </w:rPr>
        <w:t>"שילוב עסקים קטנים ובינוניים במכרזים ממשלתיים" קובעת כי על עורכי המכרז לבחון האם ההתקשרות מתאימה לביצוע על ידי עסקים קטנים ובינוניים, וזאת מבלי לפגוע באיכות התוצר, ו</w:t>
      </w:r>
      <w:r w:rsidRPr="009A6893">
        <w:rPr>
          <w:rtl/>
        </w:rPr>
        <w:t>האם מסמכי המכרז כוללים תנאים מוקדמים העלולים להוות חסם להתמודדות במכרז עבור עסקים קטנים ובינוניים</w:t>
      </w:r>
      <w:r w:rsidRPr="009A6893">
        <w:rPr>
          <w:rFonts w:hint="cs"/>
          <w:rtl/>
        </w:rPr>
        <w:t>.</w:t>
      </w:r>
      <w:r>
        <w:rPr>
          <w:rFonts w:hint="cs"/>
          <w:rtl/>
        </w:rPr>
        <w:t xml:space="preserve"> </w:t>
      </w:r>
      <w:r w:rsidRPr="009A6893">
        <w:rPr>
          <w:rFonts w:hint="cs"/>
          <w:rtl/>
        </w:rPr>
        <w:t xml:space="preserve">במקרים בהם מכרז מעלה חשש לקיפוח עסקים קטנים ובינוניים בהיבטים של היקף ההתקשרות או תנאי הסף המפורטים, מסמיכה הוראת התכ"ם את הסוכנות לעסקים קטנים ובינוניים </w:t>
      </w:r>
      <w:r w:rsidRPr="009A6893">
        <w:rPr>
          <w:rtl/>
        </w:rPr>
        <w:t xml:space="preserve">לפנות לוועדת המכרזים </w:t>
      </w:r>
      <w:r w:rsidRPr="009A6893">
        <w:rPr>
          <w:rFonts w:hint="cs"/>
          <w:rtl/>
        </w:rPr>
        <w:t xml:space="preserve">במשרד הרלוונטי </w:t>
      </w:r>
      <w:r w:rsidRPr="009A6893">
        <w:rPr>
          <w:rtl/>
        </w:rPr>
        <w:t>בשאלות הבהרה</w:t>
      </w:r>
      <w:r w:rsidRPr="009A6893">
        <w:rPr>
          <w:rFonts w:hint="cs"/>
          <w:rtl/>
        </w:rPr>
        <w:t>.</w:t>
      </w:r>
    </w:p>
    <w:p w:rsidR="009A6893" w:rsidRDefault="009A6893" w:rsidP="009A6893">
      <w:pPr>
        <w:jc w:val="both"/>
        <w:rPr>
          <w:rtl/>
        </w:rPr>
      </w:pPr>
      <w:r w:rsidRPr="009A6893">
        <w:rPr>
          <w:rtl/>
        </w:rPr>
        <w:t>הצעת חו</w:t>
      </w:r>
      <w:r w:rsidRPr="009A6893">
        <w:rPr>
          <w:rFonts w:hint="cs"/>
          <w:rtl/>
        </w:rPr>
        <w:t xml:space="preserve">ק </w:t>
      </w:r>
      <w:bookmarkStart w:id="1" w:name="Title"/>
      <w:r w:rsidRPr="009A6893">
        <w:rPr>
          <w:rFonts w:hint="cs"/>
          <w:rtl/>
        </w:rPr>
        <w:t>חובת המכרזים (תיקון</w:t>
      </w:r>
      <w:r w:rsidRPr="009A6893">
        <w:rPr>
          <w:rtl/>
        </w:rPr>
        <w:t xml:space="preserve"> – העדפה במכרזים לעסקים קטנים ובינוניים</w:t>
      </w:r>
      <w:r w:rsidRPr="009A6893">
        <w:rPr>
          <w:rFonts w:hint="cs"/>
          <w:rtl/>
        </w:rPr>
        <w:t>), התשע"ו-2016</w:t>
      </w:r>
      <w:bookmarkEnd w:id="1"/>
      <w:r>
        <w:rPr>
          <w:rFonts w:hint="cs"/>
          <w:rtl/>
        </w:rPr>
        <w:t xml:space="preserve"> שנידונה בימים אלו בועדת הכלכלה מטמיעה את הוראת התכ"מ בחוק חובת המכרזים:</w:t>
      </w:r>
    </w:p>
    <w:p w:rsidR="009A6893" w:rsidRPr="009A6893" w:rsidRDefault="009A6893" w:rsidP="009A6893">
      <w:pPr>
        <w:jc w:val="both"/>
        <w:rPr>
          <w:rtl/>
        </w:rPr>
      </w:pPr>
      <w:r>
        <w:rPr>
          <w:rFonts w:hint="cs"/>
          <w:rtl/>
        </w:rPr>
        <w:lastRenderedPageBreak/>
        <w:t xml:space="preserve">סעיף 2ג עורך מכרז יבחן בכל התקשרות האם נכון לבצעה באמצעות עסקים קטנים ובינוניים, וזאת מבלי לפגוע בתוצרים המבוקשים; החליטה הוועדה כי נכון לבצע את ההתקשרות באמצעות עסקים קטנים ובינוניים, תפעל להתאמת ההתקשרות בהתאם. </w:t>
      </w:r>
    </w:p>
    <w:p w:rsidR="00C80311" w:rsidRDefault="009A6893" w:rsidP="009A6893">
      <w:pPr>
        <w:jc w:val="both"/>
        <w:rPr>
          <w:rtl/>
        </w:rPr>
      </w:pPr>
      <w:r>
        <w:rPr>
          <w:rFonts w:hint="cs"/>
          <w:rtl/>
        </w:rPr>
        <w:t>וקובעת חובת פרסום נתונים על היקפי התקשרות, כאשר "</w:t>
      </w:r>
      <w:r w:rsidRPr="006C7F93">
        <w:rPr>
          <w:rtl/>
        </w:rPr>
        <w:t>שר האוצר</w:t>
      </w:r>
      <w:r>
        <w:rPr>
          <w:rFonts w:hint="cs"/>
          <w:rtl/>
        </w:rPr>
        <w:t>, בהתייעצות עם שר הכלכלה,</w:t>
      </w:r>
      <w:r w:rsidRPr="006C7F93">
        <w:rPr>
          <w:rtl/>
        </w:rPr>
        <w:t xml:space="preserve"> רשאי לקבוע </w:t>
      </w:r>
      <w:r>
        <w:rPr>
          <w:rFonts w:hint="cs"/>
          <w:rtl/>
        </w:rPr>
        <w:t>בצו</w:t>
      </w:r>
      <w:r w:rsidRPr="006C7F93">
        <w:rPr>
          <w:rtl/>
        </w:rPr>
        <w:t xml:space="preserve"> את פרטי הנתונים שיפורסמו וכן הוראות לגבי אופן פרסום הנתונים על ידי </w:t>
      </w:r>
      <w:r>
        <w:rPr>
          <w:rFonts w:hint="cs"/>
          <w:rtl/>
        </w:rPr>
        <w:t>גוף ציבורי" (סעיף 2ד).</w:t>
      </w:r>
    </w:p>
    <w:p w:rsidR="00717179" w:rsidRDefault="00717179" w:rsidP="00717179">
      <w:pPr>
        <w:jc w:val="both"/>
        <w:rPr>
          <w:rtl/>
        </w:rPr>
      </w:pPr>
      <w:r>
        <w:rPr>
          <w:rFonts w:hint="cs"/>
          <w:rtl/>
        </w:rPr>
        <w:t>כהשלמה לכך יש להוסיף בהצעת חוק עסקים קטנים כדלקמן (התוספת להצעת החוק מודגשת בצהוב):</w:t>
      </w:r>
    </w:p>
    <w:p w:rsidR="00717179" w:rsidRDefault="00717179" w:rsidP="00717179">
      <w:pPr>
        <w:jc w:val="both"/>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645"/>
        <w:gridCol w:w="1226"/>
        <w:gridCol w:w="645"/>
        <w:gridCol w:w="5254"/>
        <w:gridCol w:w="1871"/>
      </w:tblGrid>
      <w:tr w:rsidR="00717179" w:rsidRPr="00E262AE" w:rsidTr="00C1685A">
        <w:trPr>
          <w:cantSplit/>
          <w:trHeight w:val="60"/>
        </w:trPr>
        <w:tc>
          <w:tcPr>
            <w:tcW w:w="1871" w:type="dxa"/>
            <w:gridSpan w:val="2"/>
          </w:tcPr>
          <w:p w:rsidR="00717179" w:rsidRPr="00E262AE" w:rsidRDefault="00717179" w:rsidP="00C1685A">
            <w:pPr>
              <w:pStyle w:val="TableSideHeading"/>
            </w:pPr>
            <w:r>
              <w:rPr>
                <w:rFonts w:hint="cs"/>
                <w:rtl/>
              </w:rPr>
              <w:t>"</w:t>
            </w:r>
            <w:r w:rsidRPr="00867A2A">
              <w:rPr>
                <w:rFonts w:hint="cs"/>
                <w:b/>
                <w:bCs/>
                <w:rtl/>
              </w:rPr>
              <w:t>קבלת מידע מרשויות ציבוריות</w:t>
            </w:r>
          </w:p>
        </w:tc>
        <w:tc>
          <w:tcPr>
            <w:tcW w:w="645" w:type="dxa"/>
          </w:tcPr>
          <w:p w:rsidR="00717179" w:rsidRPr="00E262AE" w:rsidRDefault="00717179" w:rsidP="00C1685A">
            <w:pPr>
              <w:pStyle w:val="TableText"/>
              <w:keepLines w:val="0"/>
            </w:pPr>
            <w:r>
              <w:rPr>
                <w:rFonts w:hint="cs"/>
                <w:rtl/>
              </w:rPr>
              <w:t>11.</w:t>
            </w:r>
          </w:p>
        </w:tc>
        <w:tc>
          <w:tcPr>
            <w:tcW w:w="7125" w:type="dxa"/>
            <w:gridSpan w:val="2"/>
          </w:tcPr>
          <w:p w:rsidR="00717179" w:rsidRPr="00867A2A" w:rsidRDefault="00717179" w:rsidP="00717179">
            <w:pPr>
              <w:pStyle w:val="TableBlock"/>
              <w:numPr>
                <w:ilvl w:val="0"/>
                <w:numId w:val="10"/>
              </w:numPr>
              <w:tabs>
                <w:tab w:val="left" w:pos="624"/>
              </w:tabs>
              <w:rPr>
                <w:b/>
                <w:bCs/>
                <w:sz w:val="26"/>
              </w:rPr>
            </w:pPr>
            <w:r w:rsidRPr="00867A2A">
              <w:rPr>
                <w:rFonts w:hint="cs"/>
                <w:b/>
                <w:bCs/>
                <w:sz w:val="26"/>
                <w:rtl/>
              </w:rPr>
              <w:t xml:space="preserve">הסוכנות רשאית לדרוש מרשות ציבורית מידע ומסמכים (בסעיף זה </w:t>
            </w:r>
            <w:r w:rsidRPr="00867A2A">
              <w:rPr>
                <w:b/>
                <w:bCs/>
                <w:sz w:val="26"/>
                <w:rtl/>
              </w:rPr>
              <w:t>–</w:t>
            </w:r>
            <w:r w:rsidRPr="00867A2A">
              <w:rPr>
                <w:rFonts w:hint="cs"/>
                <w:b/>
                <w:bCs/>
                <w:sz w:val="26"/>
                <w:rtl/>
              </w:rPr>
              <w:t xml:space="preserve"> מידע) הדרושים לסוכנות לצורך ביצוע תפקידיה, </w:t>
            </w:r>
            <w:r w:rsidRPr="00867A2A">
              <w:rPr>
                <w:rFonts w:hint="eastAsia"/>
                <w:b/>
                <w:bCs/>
                <w:sz w:val="26"/>
                <w:rtl/>
              </w:rPr>
              <w:t>ואולם</w:t>
            </w:r>
            <w:r w:rsidRPr="00867A2A">
              <w:rPr>
                <w:b/>
                <w:bCs/>
                <w:sz w:val="26"/>
                <w:rtl/>
              </w:rPr>
              <w:t xml:space="preserve">, לא יימסר מידע </w:t>
            </w:r>
            <w:r w:rsidRPr="00867A2A">
              <w:rPr>
                <w:rFonts w:hint="cs"/>
                <w:b/>
                <w:bCs/>
                <w:sz w:val="26"/>
                <w:rtl/>
              </w:rPr>
              <w:t xml:space="preserve">כאמור </w:t>
            </w:r>
            <w:r w:rsidRPr="00867A2A">
              <w:rPr>
                <w:b/>
                <w:bCs/>
                <w:sz w:val="26"/>
                <w:rtl/>
              </w:rPr>
              <w:t xml:space="preserve">אלא אם </w:t>
            </w:r>
            <w:r w:rsidRPr="00867A2A">
              <w:rPr>
                <w:rFonts w:hint="cs"/>
                <w:b/>
                <w:bCs/>
                <w:sz w:val="26"/>
                <w:rtl/>
              </w:rPr>
              <w:t xml:space="preserve">כן </w:t>
            </w:r>
            <w:r w:rsidRPr="00867A2A">
              <w:rPr>
                <w:b/>
                <w:bCs/>
                <w:sz w:val="26"/>
                <w:rtl/>
              </w:rPr>
              <w:t xml:space="preserve">הוא </w:t>
            </w:r>
            <w:r w:rsidRPr="00867A2A">
              <w:rPr>
                <w:rFonts w:hint="cs"/>
                <w:b/>
                <w:bCs/>
                <w:sz w:val="26"/>
                <w:rtl/>
              </w:rPr>
              <w:t xml:space="preserve">מידע </w:t>
            </w:r>
            <w:r w:rsidRPr="00867A2A">
              <w:rPr>
                <w:b/>
                <w:bCs/>
                <w:sz w:val="26"/>
                <w:rtl/>
              </w:rPr>
              <w:t xml:space="preserve">מצטבר שאין בו כדי לזהות </w:t>
            </w:r>
            <w:r w:rsidRPr="00867A2A">
              <w:rPr>
                <w:rFonts w:hint="eastAsia"/>
                <w:b/>
                <w:bCs/>
                <w:sz w:val="26"/>
                <w:rtl/>
              </w:rPr>
              <w:t>למי</w:t>
            </w:r>
            <w:r w:rsidRPr="00867A2A">
              <w:rPr>
                <w:b/>
                <w:bCs/>
                <w:sz w:val="26"/>
                <w:rtl/>
              </w:rPr>
              <w:t xml:space="preserve"> </w:t>
            </w:r>
            <w:r w:rsidRPr="00867A2A">
              <w:rPr>
                <w:rFonts w:hint="eastAsia"/>
                <w:b/>
                <w:bCs/>
                <w:sz w:val="26"/>
                <w:rtl/>
              </w:rPr>
              <w:t>הוא</w:t>
            </w:r>
            <w:r w:rsidRPr="00867A2A">
              <w:rPr>
                <w:b/>
                <w:bCs/>
                <w:sz w:val="26"/>
                <w:rtl/>
              </w:rPr>
              <w:t xml:space="preserve"> </w:t>
            </w:r>
            <w:r w:rsidRPr="00867A2A">
              <w:rPr>
                <w:rFonts w:hint="eastAsia"/>
                <w:b/>
                <w:bCs/>
                <w:sz w:val="26"/>
                <w:rtl/>
              </w:rPr>
              <w:t>נוגע</w:t>
            </w:r>
            <w:r w:rsidRPr="00867A2A">
              <w:rPr>
                <w:b/>
                <w:bCs/>
                <w:sz w:val="26"/>
                <w:rtl/>
              </w:rPr>
              <w:t xml:space="preserve">, </w:t>
            </w:r>
            <w:r w:rsidRPr="00867A2A">
              <w:rPr>
                <w:rFonts w:hint="eastAsia"/>
                <w:b/>
                <w:bCs/>
                <w:sz w:val="26"/>
                <w:rtl/>
              </w:rPr>
              <w:t>במישרין</w:t>
            </w:r>
            <w:r w:rsidRPr="00867A2A">
              <w:rPr>
                <w:b/>
                <w:bCs/>
                <w:sz w:val="26"/>
                <w:rtl/>
              </w:rPr>
              <w:t xml:space="preserve"> </w:t>
            </w:r>
            <w:r w:rsidRPr="00867A2A">
              <w:rPr>
                <w:rFonts w:hint="eastAsia"/>
                <w:b/>
                <w:bCs/>
                <w:sz w:val="26"/>
                <w:rtl/>
              </w:rPr>
              <w:t>או</w:t>
            </w:r>
            <w:r w:rsidRPr="00867A2A">
              <w:rPr>
                <w:b/>
                <w:bCs/>
                <w:sz w:val="26"/>
                <w:rtl/>
              </w:rPr>
              <w:t xml:space="preserve"> </w:t>
            </w:r>
            <w:r w:rsidRPr="00867A2A">
              <w:rPr>
                <w:rFonts w:hint="eastAsia"/>
                <w:b/>
                <w:bCs/>
                <w:sz w:val="26"/>
                <w:rtl/>
              </w:rPr>
              <w:t>בעקיפין</w:t>
            </w:r>
            <w:r w:rsidRPr="00867A2A">
              <w:rPr>
                <w:b/>
                <w:bCs/>
                <w:sz w:val="26"/>
                <w:rtl/>
              </w:rPr>
              <w:t xml:space="preserve">. </w:t>
            </w:r>
          </w:p>
          <w:p w:rsidR="00717179" w:rsidRPr="00867A2A" w:rsidRDefault="00717179" w:rsidP="00717179">
            <w:pPr>
              <w:pStyle w:val="TableBlock"/>
              <w:numPr>
                <w:ilvl w:val="0"/>
                <w:numId w:val="10"/>
              </w:numPr>
              <w:tabs>
                <w:tab w:val="left" w:pos="624"/>
              </w:tabs>
              <w:rPr>
                <w:b/>
                <w:bCs/>
                <w:sz w:val="26"/>
              </w:rPr>
            </w:pPr>
            <w:r w:rsidRPr="00867A2A">
              <w:rPr>
                <w:rFonts w:hint="cs"/>
                <w:b/>
                <w:bCs/>
                <w:sz w:val="26"/>
                <w:highlight w:val="yellow"/>
                <w:rtl/>
              </w:rPr>
              <w:t>מבלי לגרוע מהאמור בסעיף קטן (א), הסוכנות רשאית לדרוש מהגופים המנויים בסעיף 2(א) לחוק חובת המכרזים, התשנ"ב-1992 נתונים אודות שילובם של עסקים קטנים ובינוניים במכרזיהם, כפי שייקבעו על ידי שר האוצר, בהתייעצות עם שר הכלכלה, כאמור בסעיף 2ד(ב) לחוק חובת המכרזים.</w:t>
            </w:r>
            <w:r w:rsidRPr="00867A2A">
              <w:rPr>
                <w:rFonts w:hint="cs"/>
                <w:b/>
                <w:bCs/>
                <w:sz w:val="26"/>
                <w:rtl/>
              </w:rPr>
              <w:t xml:space="preserve">" </w:t>
            </w:r>
          </w:p>
          <w:p w:rsidR="00717179" w:rsidRDefault="00717179" w:rsidP="00C1685A">
            <w:pPr>
              <w:pStyle w:val="TableBlock"/>
              <w:rPr>
                <w:sz w:val="26"/>
                <w:rtl/>
              </w:rPr>
            </w:pPr>
          </w:p>
          <w:p w:rsidR="00717179" w:rsidRPr="00867A2A" w:rsidRDefault="00717179" w:rsidP="00C1685A">
            <w:pPr>
              <w:pStyle w:val="TableBlock"/>
              <w:rPr>
                <w:rFonts w:asciiTheme="minorBidi" w:hAnsiTheme="minorBidi" w:cstheme="minorBidi"/>
                <w:sz w:val="24"/>
                <w:szCs w:val="24"/>
                <w:rtl/>
              </w:rPr>
            </w:pPr>
            <w:r w:rsidRPr="00867A2A">
              <w:rPr>
                <w:rFonts w:asciiTheme="minorBidi" w:hAnsiTheme="minorBidi" w:cstheme="minorBidi"/>
                <w:sz w:val="24"/>
                <w:szCs w:val="24"/>
                <w:rtl/>
              </w:rPr>
              <w:t>ובין סעיף 12 לסעיף 13 בנוסח הנוכחי - יתווסף הסעיף הבא:</w:t>
            </w:r>
          </w:p>
          <w:p w:rsidR="00717179" w:rsidRPr="00867A2A" w:rsidRDefault="00717179" w:rsidP="00C1685A">
            <w:pPr>
              <w:pStyle w:val="TableBlock"/>
              <w:rPr>
                <w:sz w:val="26"/>
              </w:rPr>
            </w:pPr>
          </w:p>
        </w:tc>
      </w:tr>
      <w:tr w:rsidR="00717179" w:rsidRPr="00E262AE" w:rsidTr="00C1685A">
        <w:trPr>
          <w:gridAfter w:val="1"/>
          <w:wAfter w:w="1871" w:type="dxa"/>
          <w:cantSplit/>
          <w:trHeight w:val="60"/>
        </w:trPr>
        <w:tc>
          <w:tcPr>
            <w:tcW w:w="645" w:type="dxa"/>
          </w:tcPr>
          <w:p w:rsidR="00717179" w:rsidRPr="00E84E5A" w:rsidRDefault="00717179" w:rsidP="00C1685A">
            <w:pPr>
              <w:pStyle w:val="TableText"/>
              <w:keepLines w:val="0"/>
            </w:pPr>
          </w:p>
        </w:tc>
        <w:tc>
          <w:tcPr>
            <w:tcW w:w="7125" w:type="dxa"/>
            <w:gridSpan w:val="3"/>
          </w:tcPr>
          <w:p w:rsidR="00717179" w:rsidRPr="00867A2A" w:rsidRDefault="00717179" w:rsidP="00C1685A">
            <w:pPr>
              <w:pStyle w:val="TableBlock"/>
              <w:rPr>
                <w:b/>
                <w:bCs/>
                <w:rtl/>
              </w:rPr>
            </w:pPr>
            <w:r w:rsidRPr="00867A2A">
              <w:rPr>
                <w:rFonts w:hint="cs"/>
                <w:b/>
                <w:bCs/>
                <w:highlight w:val="yellow"/>
                <w:rtl/>
              </w:rPr>
              <w:t>"הסוכנות תקים ותנהל מאגר נתונים פומבי אשר יספק נתונים בדבר שילובם של עסקים קטנים ובינוניים במכרזים שמפורסמים על ידי הגופים המנויים בסעיף 2(א) לחוק חובת המכרזים, התשנ"ב-1992.</w:t>
            </w:r>
            <w:r w:rsidRPr="00867A2A">
              <w:rPr>
                <w:rFonts w:hint="cs"/>
                <w:b/>
                <w:bCs/>
                <w:rtl/>
              </w:rPr>
              <w:t xml:space="preserve">" </w:t>
            </w:r>
          </w:p>
        </w:tc>
      </w:tr>
      <w:tr w:rsidR="00717179" w:rsidRPr="00E262AE" w:rsidTr="00C1685A">
        <w:trPr>
          <w:gridAfter w:val="1"/>
          <w:wAfter w:w="1871" w:type="dxa"/>
          <w:cantSplit/>
          <w:trHeight w:val="60"/>
        </w:trPr>
        <w:tc>
          <w:tcPr>
            <w:tcW w:w="645" w:type="dxa"/>
          </w:tcPr>
          <w:p w:rsidR="00717179" w:rsidRPr="00E84E5A" w:rsidRDefault="00717179" w:rsidP="00C1685A">
            <w:pPr>
              <w:pStyle w:val="TableText"/>
              <w:keepLines w:val="0"/>
            </w:pPr>
          </w:p>
        </w:tc>
        <w:tc>
          <w:tcPr>
            <w:tcW w:w="7125" w:type="dxa"/>
            <w:gridSpan w:val="3"/>
          </w:tcPr>
          <w:p w:rsidR="00717179" w:rsidRPr="00B90764" w:rsidRDefault="00717179" w:rsidP="00C1685A">
            <w:pPr>
              <w:pStyle w:val="TableBlock"/>
              <w:rPr>
                <w:highlight w:val="yellow"/>
                <w:rtl/>
              </w:rPr>
            </w:pPr>
          </w:p>
        </w:tc>
      </w:tr>
    </w:tbl>
    <w:p w:rsidR="00717179" w:rsidRPr="00867A2A" w:rsidRDefault="00717179" w:rsidP="00717179">
      <w:pPr>
        <w:jc w:val="both"/>
      </w:pPr>
    </w:p>
    <w:p w:rsidR="009A6893" w:rsidRPr="00717179" w:rsidRDefault="009A6893" w:rsidP="00717179">
      <w:pPr>
        <w:jc w:val="both"/>
      </w:pPr>
    </w:p>
    <w:sectPr w:rsidR="009A6893" w:rsidRPr="00717179" w:rsidSect="00F51C74">
      <w:headerReference w:type="default" r:id="rId8"/>
      <w:footerReference w:type="default" r:id="rId9"/>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7AA" w:rsidRDefault="00A327AA">
      <w:pPr>
        <w:spacing w:after="0" w:line="240" w:lineRule="auto"/>
      </w:pPr>
      <w:r>
        <w:separator/>
      </w:r>
    </w:p>
  </w:endnote>
  <w:endnote w:type="continuationSeparator" w:id="0">
    <w:p w:rsidR="00A327AA" w:rsidRDefault="00A32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105" w:rsidRPr="006D244A" w:rsidRDefault="00630105" w:rsidP="00F51C74">
    <w:pPr>
      <w:pStyle w:val="a5"/>
      <w:ind w:hanging="1759"/>
      <w:rPr>
        <w:rtl/>
      </w:rPr>
    </w:pPr>
  </w:p>
  <w:p w:rsidR="00630105" w:rsidRDefault="00630105" w:rsidP="00F51C74">
    <w:pPr>
      <w:pStyle w:val="a5"/>
      <w:ind w:hanging="175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7AA" w:rsidRDefault="00A327AA">
      <w:pPr>
        <w:spacing w:after="0" w:line="240" w:lineRule="auto"/>
      </w:pPr>
      <w:r>
        <w:separator/>
      </w:r>
    </w:p>
  </w:footnote>
  <w:footnote w:type="continuationSeparator" w:id="0">
    <w:p w:rsidR="00A327AA" w:rsidRDefault="00A327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105" w:rsidRDefault="00630105" w:rsidP="00F51C74">
    <w:pPr>
      <w:pStyle w:val="a3"/>
      <w:tabs>
        <w:tab w:val="clear" w:pos="8306"/>
      </w:tabs>
      <w:ind w:left="-58" w:right="-1800" w:hanging="1701"/>
      <w:rPr>
        <w:rtl/>
      </w:rPr>
    </w:pPr>
  </w:p>
  <w:p w:rsidR="00630105" w:rsidRDefault="006301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EFC"/>
    <w:multiLevelType w:val="hybridMultilevel"/>
    <w:tmpl w:val="AD2AAA56"/>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783924"/>
    <w:multiLevelType w:val="hybridMultilevel"/>
    <w:tmpl w:val="3E4C659C"/>
    <w:lvl w:ilvl="0" w:tplc="14A2E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D4592E"/>
    <w:multiLevelType w:val="hybridMultilevel"/>
    <w:tmpl w:val="89BC96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3672AE"/>
    <w:multiLevelType w:val="hybridMultilevel"/>
    <w:tmpl w:val="D6702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2B1FFC"/>
    <w:multiLevelType w:val="hybridMultilevel"/>
    <w:tmpl w:val="6882CC7C"/>
    <w:lvl w:ilvl="0" w:tplc="14A2E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713E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6EE4F23"/>
    <w:multiLevelType w:val="hybridMultilevel"/>
    <w:tmpl w:val="8F1251F8"/>
    <w:lvl w:ilvl="0" w:tplc="01043B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110582"/>
    <w:multiLevelType w:val="hybridMultilevel"/>
    <w:tmpl w:val="F210DE62"/>
    <w:lvl w:ilvl="0" w:tplc="14A2E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486A66"/>
    <w:multiLevelType w:val="hybridMultilevel"/>
    <w:tmpl w:val="125801A8"/>
    <w:lvl w:ilvl="0" w:tplc="14A2E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7A64AE"/>
    <w:multiLevelType w:val="hybridMultilevel"/>
    <w:tmpl w:val="81589ACC"/>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8"/>
  </w:num>
  <w:num w:numId="5">
    <w:abstractNumId w:val="9"/>
  </w:num>
  <w:num w:numId="6">
    <w:abstractNumId w:val="1"/>
  </w:num>
  <w:num w:numId="7">
    <w:abstractNumId w:val="7"/>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2B4"/>
    <w:rsid w:val="00007903"/>
    <w:rsid w:val="000E4940"/>
    <w:rsid w:val="001035BF"/>
    <w:rsid w:val="0011525A"/>
    <w:rsid w:val="00134A82"/>
    <w:rsid w:val="00135ADE"/>
    <w:rsid w:val="00171B4E"/>
    <w:rsid w:val="001D303E"/>
    <w:rsid w:val="0022066D"/>
    <w:rsid w:val="002516B1"/>
    <w:rsid w:val="0034315B"/>
    <w:rsid w:val="003827CB"/>
    <w:rsid w:val="00437488"/>
    <w:rsid w:val="00506F3C"/>
    <w:rsid w:val="00544F41"/>
    <w:rsid w:val="005538B8"/>
    <w:rsid w:val="005D798A"/>
    <w:rsid w:val="00630105"/>
    <w:rsid w:val="006D244A"/>
    <w:rsid w:val="006D3D43"/>
    <w:rsid w:val="006E057E"/>
    <w:rsid w:val="007052B4"/>
    <w:rsid w:val="00717179"/>
    <w:rsid w:val="00780F6C"/>
    <w:rsid w:val="00796359"/>
    <w:rsid w:val="008A7133"/>
    <w:rsid w:val="008E2973"/>
    <w:rsid w:val="008F4416"/>
    <w:rsid w:val="00914747"/>
    <w:rsid w:val="009A6893"/>
    <w:rsid w:val="00A327AA"/>
    <w:rsid w:val="00A8791A"/>
    <w:rsid w:val="00A95DF2"/>
    <w:rsid w:val="00AE0CB0"/>
    <w:rsid w:val="00B279B4"/>
    <w:rsid w:val="00BA65CB"/>
    <w:rsid w:val="00C80311"/>
    <w:rsid w:val="00C90868"/>
    <w:rsid w:val="00CC1548"/>
    <w:rsid w:val="00CD1B56"/>
    <w:rsid w:val="00CF74CC"/>
    <w:rsid w:val="00CF7DED"/>
    <w:rsid w:val="00D13216"/>
    <w:rsid w:val="00E763EA"/>
    <w:rsid w:val="00E93841"/>
    <w:rsid w:val="00F10577"/>
    <w:rsid w:val="00F374A4"/>
    <w:rsid w:val="00F42F47"/>
    <w:rsid w:val="00F51C74"/>
    <w:rsid w:val="00F554D1"/>
    <w:rsid w:val="00F7566A"/>
    <w:rsid w:val="00FA426E"/>
    <w:rsid w:val="00FA4C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B56"/>
    <w:pPr>
      <w:bidi/>
    </w:pPr>
    <w:rPr>
      <w:rFonts w:ascii="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1B56"/>
    <w:pPr>
      <w:tabs>
        <w:tab w:val="center" w:pos="4153"/>
        <w:tab w:val="right" w:pos="8306"/>
      </w:tabs>
      <w:spacing w:after="0" w:line="240" w:lineRule="auto"/>
    </w:pPr>
  </w:style>
  <w:style w:type="character" w:customStyle="1" w:styleId="a4">
    <w:name w:val="כותרת עליונה תו"/>
    <w:basedOn w:val="a0"/>
    <w:link w:val="a3"/>
    <w:uiPriority w:val="99"/>
    <w:rsid w:val="00CD1B56"/>
    <w:rPr>
      <w:rFonts w:ascii="Calibri" w:eastAsia="Times New Roman" w:hAnsi="Calibri" w:cs="Arial"/>
    </w:rPr>
  </w:style>
  <w:style w:type="paragraph" w:styleId="a5">
    <w:name w:val="footer"/>
    <w:basedOn w:val="a"/>
    <w:link w:val="a6"/>
    <w:uiPriority w:val="99"/>
    <w:unhideWhenUsed/>
    <w:rsid w:val="00CD1B56"/>
    <w:pPr>
      <w:tabs>
        <w:tab w:val="center" w:pos="4153"/>
        <w:tab w:val="right" w:pos="8306"/>
      </w:tabs>
      <w:spacing w:after="0" w:line="240" w:lineRule="auto"/>
    </w:pPr>
  </w:style>
  <w:style w:type="character" w:customStyle="1" w:styleId="a6">
    <w:name w:val="כותרת תחתונה תו"/>
    <w:basedOn w:val="a0"/>
    <w:link w:val="a5"/>
    <w:uiPriority w:val="99"/>
    <w:rsid w:val="00CD1B56"/>
    <w:rPr>
      <w:rFonts w:ascii="Calibri" w:eastAsia="Times New Roman" w:hAnsi="Calibri" w:cs="Arial"/>
    </w:rPr>
  </w:style>
  <w:style w:type="paragraph" w:styleId="a7">
    <w:name w:val="Balloon Text"/>
    <w:basedOn w:val="a"/>
    <w:link w:val="a8"/>
    <w:uiPriority w:val="99"/>
    <w:semiHidden/>
    <w:unhideWhenUsed/>
    <w:rsid w:val="00CD1B56"/>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D1B56"/>
    <w:rPr>
      <w:rFonts w:ascii="Tahoma" w:eastAsia="Times New Roman" w:hAnsi="Tahoma" w:cs="Tahoma"/>
      <w:sz w:val="16"/>
      <w:szCs w:val="16"/>
    </w:rPr>
  </w:style>
  <w:style w:type="character" w:styleId="Hyperlink">
    <w:name w:val="Hyperlink"/>
    <w:basedOn w:val="a0"/>
    <w:uiPriority w:val="99"/>
    <w:unhideWhenUsed/>
    <w:rsid w:val="00A8791A"/>
    <w:rPr>
      <w:color w:val="0000FF" w:themeColor="hyperlink"/>
      <w:u w:val="single"/>
    </w:rPr>
  </w:style>
  <w:style w:type="character" w:styleId="FollowedHyperlink">
    <w:name w:val="FollowedHyperlink"/>
    <w:basedOn w:val="a0"/>
    <w:uiPriority w:val="99"/>
    <w:semiHidden/>
    <w:unhideWhenUsed/>
    <w:rsid w:val="00C90868"/>
    <w:rPr>
      <w:color w:val="800080" w:themeColor="followedHyperlink"/>
      <w:u w:val="single"/>
    </w:rPr>
  </w:style>
  <w:style w:type="paragraph" w:styleId="a9">
    <w:name w:val="List Paragraph"/>
    <w:basedOn w:val="a"/>
    <w:uiPriority w:val="34"/>
    <w:qFormat/>
    <w:rsid w:val="0022066D"/>
    <w:pPr>
      <w:ind w:left="720"/>
      <w:contextualSpacing/>
    </w:pPr>
  </w:style>
  <w:style w:type="paragraph" w:customStyle="1" w:styleId="TableText">
    <w:name w:val="Table Text"/>
    <w:basedOn w:val="a"/>
    <w:rsid w:val="0071717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717179"/>
  </w:style>
  <w:style w:type="paragraph" w:customStyle="1" w:styleId="TableBlock">
    <w:name w:val="Table Block"/>
    <w:basedOn w:val="TableText"/>
    <w:rsid w:val="00717179"/>
    <w:pPr>
      <w:ind w:right="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B56"/>
    <w:pPr>
      <w:bidi/>
    </w:pPr>
    <w:rPr>
      <w:rFonts w:ascii="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1B56"/>
    <w:pPr>
      <w:tabs>
        <w:tab w:val="center" w:pos="4153"/>
        <w:tab w:val="right" w:pos="8306"/>
      </w:tabs>
      <w:spacing w:after="0" w:line="240" w:lineRule="auto"/>
    </w:pPr>
  </w:style>
  <w:style w:type="character" w:customStyle="1" w:styleId="a4">
    <w:name w:val="כותרת עליונה תו"/>
    <w:basedOn w:val="a0"/>
    <w:link w:val="a3"/>
    <w:uiPriority w:val="99"/>
    <w:rsid w:val="00CD1B56"/>
    <w:rPr>
      <w:rFonts w:ascii="Calibri" w:eastAsia="Times New Roman" w:hAnsi="Calibri" w:cs="Arial"/>
    </w:rPr>
  </w:style>
  <w:style w:type="paragraph" w:styleId="a5">
    <w:name w:val="footer"/>
    <w:basedOn w:val="a"/>
    <w:link w:val="a6"/>
    <w:uiPriority w:val="99"/>
    <w:unhideWhenUsed/>
    <w:rsid w:val="00CD1B56"/>
    <w:pPr>
      <w:tabs>
        <w:tab w:val="center" w:pos="4153"/>
        <w:tab w:val="right" w:pos="8306"/>
      </w:tabs>
      <w:spacing w:after="0" w:line="240" w:lineRule="auto"/>
    </w:pPr>
  </w:style>
  <w:style w:type="character" w:customStyle="1" w:styleId="a6">
    <w:name w:val="כותרת תחתונה תו"/>
    <w:basedOn w:val="a0"/>
    <w:link w:val="a5"/>
    <w:uiPriority w:val="99"/>
    <w:rsid w:val="00CD1B56"/>
    <w:rPr>
      <w:rFonts w:ascii="Calibri" w:eastAsia="Times New Roman" w:hAnsi="Calibri" w:cs="Arial"/>
    </w:rPr>
  </w:style>
  <w:style w:type="paragraph" w:styleId="a7">
    <w:name w:val="Balloon Text"/>
    <w:basedOn w:val="a"/>
    <w:link w:val="a8"/>
    <w:uiPriority w:val="99"/>
    <w:semiHidden/>
    <w:unhideWhenUsed/>
    <w:rsid w:val="00CD1B56"/>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D1B56"/>
    <w:rPr>
      <w:rFonts w:ascii="Tahoma" w:eastAsia="Times New Roman" w:hAnsi="Tahoma" w:cs="Tahoma"/>
      <w:sz w:val="16"/>
      <w:szCs w:val="16"/>
    </w:rPr>
  </w:style>
  <w:style w:type="character" w:styleId="Hyperlink">
    <w:name w:val="Hyperlink"/>
    <w:basedOn w:val="a0"/>
    <w:uiPriority w:val="99"/>
    <w:unhideWhenUsed/>
    <w:rsid w:val="00A8791A"/>
    <w:rPr>
      <w:color w:val="0000FF" w:themeColor="hyperlink"/>
      <w:u w:val="single"/>
    </w:rPr>
  </w:style>
  <w:style w:type="character" w:styleId="FollowedHyperlink">
    <w:name w:val="FollowedHyperlink"/>
    <w:basedOn w:val="a0"/>
    <w:uiPriority w:val="99"/>
    <w:semiHidden/>
    <w:unhideWhenUsed/>
    <w:rsid w:val="00C90868"/>
    <w:rPr>
      <w:color w:val="800080" w:themeColor="followedHyperlink"/>
      <w:u w:val="single"/>
    </w:rPr>
  </w:style>
  <w:style w:type="paragraph" w:styleId="a9">
    <w:name w:val="List Paragraph"/>
    <w:basedOn w:val="a"/>
    <w:uiPriority w:val="34"/>
    <w:qFormat/>
    <w:rsid w:val="0022066D"/>
    <w:pPr>
      <w:ind w:left="720"/>
      <w:contextualSpacing/>
    </w:pPr>
  </w:style>
  <w:style w:type="paragraph" w:customStyle="1" w:styleId="TableText">
    <w:name w:val="Table Text"/>
    <w:basedOn w:val="a"/>
    <w:rsid w:val="0071717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717179"/>
  </w:style>
  <w:style w:type="paragraph" w:customStyle="1" w:styleId="TableBlock">
    <w:name w:val="Table Block"/>
    <w:basedOn w:val="TableText"/>
    <w:rsid w:val="00717179"/>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28B589-70C9-4ED6-8689-F3CB11AC5176}"/>
</file>

<file path=customXml/itemProps2.xml><?xml version="1.0" encoding="utf-8"?>
<ds:datastoreItem xmlns:ds="http://schemas.openxmlformats.org/officeDocument/2006/customXml" ds:itemID="{68E27054-5219-4096-8CE1-A311B411144B}"/>
</file>

<file path=customXml/itemProps3.xml><?xml version="1.0" encoding="utf-8"?>
<ds:datastoreItem xmlns:ds="http://schemas.openxmlformats.org/officeDocument/2006/customXml" ds:itemID="{46F06D5E-2DF2-4EB7-9004-8B7717BE3ADB}"/>
</file>

<file path=docProps/app.xml><?xml version="1.0" encoding="utf-8"?>
<Properties xmlns="http://schemas.openxmlformats.org/officeDocument/2006/extended-properties" xmlns:vt="http://schemas.openxmlformats.org/officeDocument/2006/docPropsVTypes">
  <Template>Normal</Template>
  <TotalTime>0</TotalTime>
  <Pages>3</Pages>
  <Words>933</Words>
  <Characters>4670</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משרד התעשייה, המסחר והתעסוקה</Company>
  <LinksUpToDate>false</LinksUpToDate>
  <CharactersWithSpaces>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משרד התעשייה, המסחר והתעסוקה</dc:creator>
  <cp:lastModifiedBy>כוכי שבתאי</cp:lastModifiedBy>
  <cp:revision>2</cp:revision>
  <cp:lastPrinted>2016-07-10T07:01:00Z</cp:lastPrinted>
  <dcterms:created xsi:type="dcterms:W3CDTF">2016-07-10T07:24:00Z</dcterms:created>
  <dcterms:modified xsi:type="dcterms:W3CDTF">2016-07-10T07:24:00Z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2005384</vt:r8>
  </property>
</Properties>
</file>