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BD" w:rsidRPr="00FC48FA" w:rsidRDefault="00ED6EAC" w:rsidP="005329BD">
      <w:pPr>
        <w:spacing w:line="240" w:lineRule="auto"/>
        <w:jc w:val="right"/>
        <w:rPr>
          <w:rFonts w:cs="David"/>
          <w:szCs w:val="22"/>
          <w:rtl/>
        </w:rPr>
      </w:pPr>
      <w:bookmarkStart w:id="0" w:name="_GoBack"/>
      <w:r>
        <w:rPr>
          <w:rFonts w:cs="David" w:hint="cs"/>
          <w:szCs w:val="22"/>
          <w:rtl/>
        </w:rPr>
        <w:t>ו' בתמוז</w:t>
      </w:r>
      <w:r w:rsidR="005329BD" w:rsidRPr="00FC48FA">
        <w:rPr>
          <w:rFonts w:cs="David" w:hint="cs"/>
          <w:szCs w:val="22"/>
          <w:rtl/>
        </w:rPr>
        <w:t xml:space="preserve"> </w:t>
      </w:r>
      <w:proofErr w:type="spellStart"/>
      <w:r w:rsidR="005329BD" w:rsidRPr="00FC48FA">
        <w:rPr>
          <w:rFonts w:cs="David" w:hint="cs"/>
          <w:szCs w:val="22"/>
          <w:rtl/>
        </w:rPr>
        <w:t>התשע"ו</w:t>
      </w:r>
      <w:proofErr w:type="spellEnd"/>
    </w:p>
    <w:p w:rsidR="005329BD" w:rsidRPr="00FC48FA" w:rsidRDefault="00ED6EAC" w:rsidP="00ED6EAC">
      <w:pPr>
        <w:spacing w:line="240" w:lineRule="auto"/>
        <w:jc w:val="right"/>
        <w:rPr>
          <w:rFonts w:cs="David"/>
          <w:szCs w:val="22"/>
          <w:rtl/>
        </w:rPr>
      </w:pPr>
      <w:r>
        <w:rPr>
          <w:rFonts w:cs="David" w:hint="cs"/>
          <w:szCs w:val="22"/>
          <w:rtl/>
        </w:rPr>
        <w:t>12</w:t>
      </w:r>
      <w:r w:rsidR="005329BD" w:rsidRPr="00FC48FA">
        <w:rPr>
          <w:rFonts w:cs="David" w:hint="cs"/>
          <w:szCs w:val="22"/>
          <w:rtl/>
        </w:rPr>
        <w:t xml:space="preserve"> ביו</w:t>
      </w:r>
      <w:r>
        <w:rPr>
          <w:rFonts w:cs="David" w:hint="cs"/>
          <w:szCs w:val="22"/>
          <w:rtl/>
        </w:rPr>
        <w:t>ל</w:t>
      </w:r>
      <w:r w:rsidR="005329BD" w:rsidRPr="00FC48FA">
        <w:rPr>
          <w:rFonts w:cs="David" w:hint="cs"/>
          <w:szCs w:val="22"/>
          <w:rtl/>
        </w:rPr>
        <w:t>י 2016</w:t>
      </w:r>
    </w:p>
    <w:bookmarkEnd w:id="0"/>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הייעוץ המשפטי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 xml:space="preserve">בעקבות זאת, במרס 2011 הקים היועץ המשפטי לממשלה דאז, עו"ד יהודה </w:t>
      </w:r>
      <w:proofErr w:type="spellStart"/>
      <w:r w:rsidRPr="000724EC">
        <w:rPr>
          <w:rFonts w:cs="David" w:hint="cs"/>
          <w:sz w:val="24"/>
          <w:rtl/>
        </w:rPr>
        <w:t>ו</w:t>
      </w:r>
      <w:r w:rsidR="00281C55" w:rsidRPr="000724EC">
        <w:rPr>
          <w:rFonts w:cs="David" w:hint="cs"/>
          <w:sz w:val="24"/>
          <w:rtl/>
        </w:rPr>
        <w:t>י</w:t>
      </w:r>
      <w:r w:rsidRPr="000724EC">
        <w:rPr>
          <w:rFonts w:cs="David" w:hint="cs"/>
          <w:sz w:val="24"/>
          <w:rtl/>
        </w:rPr>
        <w:t>ינשטיין</w:t>
      </w:r>
      <w:proofErr w:type="spellEnd"/>
      <w:r w:rsidRPr="000724EC">
        <w:rPr>
          <w:rFonts w:cs="David" w:hint="cs"/>
          <w:sz w:val="24"/>
          <w:rtl/>
        </w:rPr>
        <w:t>,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 xml:space="preserve">בהמשך להמלצות דוח הצוות, חתמו שרת המשפטים דאז, חה"כ ציפי </w:t>
      </w:r>
      <w:proofErr w:type="spellStart"/>
      <w:r w:rsidRPr="000724EC">
        <w:rPr>
          <w:rFonts w:cs="David" w:hint="cs"/>
          <w:sz w:val="24"/>
          <w:rtl/>
        </w:rPr>
        <w:t>ליבני</w:t>
      </w:r>
      <w:proofErr w:type="spellEnd"/>
      <w:r w:rsidRPr="000724EC">
        <w:rPr>
          <w:rFonts w:cs="David" w:hint="cs"/>
          <w:sz w:val="24"/>
          <w:rtl/>
        </w:rPr>
        <w:t xml:space="preserve">, והיועץ המשפטי לממשלה דאז, עו"ד יהודה </w:t>
      </w:r>
      <w:proofErr w:type="spellStart"/>
      <w:r w:rsidRPr="000724EC">
        <w:rPr>
          <w:rFonts w:cs="David" w:hint="cs"/>
          <w:sz w:val="24"/>
          <w:rtl/>
        </w:rPr>
        <w:t>ויינשטיין</w:t>
      </w:r>
      <w:proofErr w:type="spellEnd"/>
      <w:r w:rsidRPr="000724EC">
        <w:rPr>
          <w:rFonts w:cs="David" w:hint="cs"/>
          <w:sz w:val="24"/>
          <w:rtl/>
        </w:rPr>
        <w:t>,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w:t>
      </w:r>
      <w:proofErr w:type="spellStart"/>
      <w:r w:rsidRPr="000724EC">
        <w:rPr>
          <w:rFonts w:cs="David" w:hint="cs"/>
          <w:sz w:val="24"/>
          <w:rtl/>
        </w:rPr>
        <w:t>נבת"מ</w:t>
      </w:r>
      <w:proofErr w:type="spellEnd"/>
      <w:r w:rsidRPr="000724EC">
        <w:rPr>
          <w:rFonts w:cs="David" w:hint="cs"/>
          <w:sz w:val="24"/>
          <w:rtl/>
        </w:rPr>
        <w:t>)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 xml:space="preserve">נוכח הקביעה שבמסמך העקרונות ולפיה בחלוף שנה מיום הקמת </w:t>
      </w:r>
      <w:proofErr w:type="spellStart"/>
      <w:r w:rsidRPr="000724EC">
        <w:rPr>
          <w:rFonts w:cs="David" w:hint="cs"/>
          <w:sz w:val="24"/>
          <w:rtl/>
        </w:rPr>
        <w:t>נתב"מ</w:t>
      </w:r>
      <w:proofErr w:type="spellEnd"/>
      <w:r w:rsidRPr="000724EC">
        <w:rPr>
          <w:rFonts w:cs="David" w:hint="cs"/>
          <w:sz w:val="24"/>
          <w:rtl/>
        </w:rPr>
        <w:t xml:space="preserve">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w:t>
      </w:r>
      <w:proofErr w:type="spellStart"/>
      <w:r w:rsidR="00F97DEA" w:rsidRPr="000724EC">
        <w:rPr>
          <w:rFonts w:cs="David" w:hint="cs"/>
          <w:sz w:val="24"/>
          <w:rtl/>
        </w:rPr>
        <w:t>נבת"מ</w:t>
      </w:r>
      <w:proofErr w:type="spellEnd"/>
      <w:r w:rsidR="00F97DEA" w:rsidRPr="000724EC">
        <w:rPr>
          <w:rFonts w:cs="David" w:hint="cs"/>
          <w:sz w:val="24"/>
          <w:rtl/>
        </w:rPr>
        <w:t xml:space="preserve"> לבין ארגון הפרקליטים, פנו שרת המשפטים, חה"כ איילת שקד, והיועץ המשפטי לממשלה דאז, עו"ד יהודה </w:t>
      </w:r>
      <w:proofErr w:type="spellStart"/>
      <w:r w:rsidR="00F97DEA" w:rsidRPr="000724EC">
        <w:rPr>
          <w:rFonts w:cs="David" w:hint="cs"/>
          <w:sz w:val="24"/>
          <w:rtl/>
        </w:rPr>
        <w:t>ויינשטיין</w:t>
      </w:r>
      <w:proofErr w:type="spellEnd"/>
      <w:r w:rsidR="00F97DEA" w:rsidRPr="000724EC">
        <w:rPr>
          <w:rFonts w:cs="David" w:hint="cs"/>
          <w:sz w:val="24"/>
          <w:rtl/>
        </w:rPr>
        <w:t xml:space="preserve">,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w:t>
      </w:r>
      <w:proofErr w:type="spellStart"/>
      <w:r w:rsidR="00F97DEA" w:rsidRPr="000724EC">
        <w:rPr>
          <w:rFonts w:cs="David" w:hint="cs"/>
          <w:sz w:val="24"/>
          <w:rtl/>
        </w:rPr>
        <w:t>נתב"מ</w:t>
      </w:r>
      <w:proofErr w:type="spellEnd"/>
      <w:r w:rsidR="00F97DEA" w:rsidRPr="000724EC">
        <w:rPr>
          <w:rFonts w:cs="David" w:hint="cs"/>
          <w:sz w:val="24"/>
          <w:rtl/>
        </w:rPr>
        <w:t xml:space="preserve">.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xml:space="preserve">: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w:t>
      </w:r>
      <w:proofErr w:type="spellStart"/>
      <w:r w:rsidR="007007AB" w:rsidRPr="000724EC">
        <w:rPr>
          <w:rFonts w:cs="David" w:hint="cs"/>
          <w:sz w:val="24"/>
          <w:rtl/>
        </w:rPr>
        <w:t>היתה</w:t>
      </w:r>
      <w:proofErr w:type="spellEnd"/>
      <w:r w:rsidR="007007AB" w:rsidRPr="000724EC">
        <w:rPr>
          <w:rFonts w:cs="David" w:hint="cs"/>
          <w:sz w:val="24"/>
          <w:rtl/>
        </w:rPr>
        <w:t xml:space="preserve">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w:t>
      </w:r>
      <w:proofErr w:type="spellStart"/>
      <w:r w:rsidRPr="000724EC">
        <w:rPr>
          <w:rFonts w:cs="David" w:hint="cs"/>
          <w:sz w:val="24"/>
          <w:rtl/>
        </w:rPr>
        <w:t>ליבני</w:t>
      </w:r>
      <w:proofErr w:type="spellEnd"/>
      <w:r w:rsidRPr="000724EC">
        <w:rPr>
          <w:rFonts w:cs="David" w:hint="cs"/>
          <w:sz w:val="24"/>
          <w:rtl/>
        </w:rPr>
        <w:t xml:space="preserve">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lastRenderedPageBreak/>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 xml:space="preserve">החיסרון העיקרי יכול להיות מריבות על סמכויות </w:t>
      </w:r>
      <w:proofErr w:type="spellStart"/>
      <w:r w:rsidR="00BB256E">
        <w:rPr>
          <w:rFonts w:cs="David" w:hint="cs"/>
          <w:sz w:val="24"/>
          <w:rtl/>
        </w:rPr>
        <w:t>וכפיפויות</w:t>
      </w:r>
      <w:proofErr w:type="spellEnd"/>
      <w:r w:rsidR="00BB256E">
        <w:rPr>
          <w:rFonts w:cs="David" w:hint="cs"/>
          <w:sz w:val="24"/>
          <w:rtl/>
        </w:rPr>
        <w:t xml:space="preserve">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w:t>
      </w:r>
      <w:proofErr w:type="spellStart"/>
      <w:r w:rsidR="00396DF0" w:rsidRPr="00710ABB">
        <w:rPr>
          <w:rFonts w:cs="David" w:hint="cs"/>
          <w:sz w:val="24"/>
          <w:rtl/>
        </w:rPr>
        <w:t>ומתכללת</w:t>
      </w:r>
      <w:proofErr w:type="spellEnd"/>
      <w:r w:rsidR="00396DF0" w:rsidRPr="00710ABB">
        <w:rPr>
          <w:rFonts w:cs="David" w:hint="cs"/>
          <w:sz w:val="24"/>
          <w:rtl/>
        </w:rPr>
        <w:t xml:space="preserve"> על פעילותו של הגוף המבוקר. כך, ריבוי של תלונות פרטניות על נושא מסוים יכול </w:t>
      </w:r>
      <w:r w:rsidR="00396DF0" w:rsidRPr="00710ABB">
        <w:rPr>
          <w:rFonts w:cs="David" w:hint="cs"/>
          <w:sz w:val="24"/>
          <w:rtl/>
        </w:rPr>
        <w:lastRenderedPageBreak/>
        <w:t xml:space="preserve">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w:t>
      </w:r>
      <w:proofErr w:type="spellStart"/>
      <w:r w:rsidR="00380EE1" w:rsidRPr="00FC19C4">
        <w:rPr>
          <w:rFonts w:cs="David" w:hint="cs"/>
          <w:sz w:val="24"/>
          <w:rtl/>
        </w:rPr>
        <w:t>תיפקודו</w:t>
      </w:r>
      <w:proofErr w:type="spellEnd"/>
      <w:r w:rsidR="00380EE1" w:rsidRPr="00FC19C4">
        <w:rPr>
          <w:rFonts w:cs="David" w:hint="cs"/>
          <w:sz w:val="24"/>
          <w:rtl/>
        </w:rPr>
        <w:t xml:space="preserve">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w:t>
      </w:r>
      <w:proofErr w:type="spellStart"/>
      <w:r w:rsidR="0067670D" w:rsidRPr="00FC19C4">
        <w:rPr>
          <w:rFonts w:cs="David" w:hint="cs"/>
          <w:sz w:val="24"/>
          <w:rtl/>
        </w:rPr>
        <w:t>מינהלתיות</w:t>
      </w:r>
      <w:proofErr w:type="spellEnd"/>
      <w:r w:rsidR="0067670D" w:rsidRPr="00FC19C4">
        <w:rPr>
          <w:rFonts w:cs="David" w:hint="cs"/>
          <w:sz w:val="24"/>
          <w:rtl/>
        </w:rPr>
        <w:t xml:space="preserve">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 xml:space="preserve">ולהחיל אותו על פעולות שאינן בליבת שיקול הדעת המשפטי של </w:t>
      </w:r>
      <w:r w:rsidR="00AE6D0E" w:rsidRPr="00FC19C4">
        <w:rPr>
          <w:rFonts w:cs="David" w:hint="cs"/>
          <w:sz w:val="24"/>
          <w:u w:val="single"/>
          <w:rtl/>
        </w:rPr>
        <w:lastRenderedPageBreak/>
        <w:t xml:space="preserve">מערך הייצוג, ושקיים אינטרס ציבורי שהנציב רשאי יהיה </w:t>
      </w:r>
      <w:proofErr w:type="spellStart"/>
      <w:r w:rsidR="00AE6D0E" w:rsidRPr="00FC19C4">
        <w:rPr>
          <w:rFonts w:cs="David" w:hint="cs"/>
          <w:sz w:val="24"/>
          <w:u w:val="single"/>
          <w:rtl/>
        </w:rPr>
        <w:t>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proofErr w:type="spellEnd"/>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w:t>
      </w:r>
      <w:proofErr w:type="spellStart"/>
      <w:r w:rsidR="00FF61B9" w:rsidRPr="002B1F75">
        <w:rPr>
          <w:rFonts w:cs="David" w:hint="cs"/>
          <w:sz w:val="24"/>
          <w:rtl/>
        </w:rPr>
        <w:t>השניה</w:t>
      </w:r>
      <w:proofErr w:type="spellEnd"/>
      <w:r w:rsidR="00FF61B9" w:rsidRPr="002B1F75">
        <w:rPr>
          <w:rFonts w:cs="David" w:hint="cs"/>
          <w:sz w:val="24"/>
          <w:rtl/>
        </w:rPr>
        <w:t xml:space="preserve">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 xml:space="preserve">ה </w:t>
      </w:r>
      <w:r w:rsidR="00BE3DAE" w:rsidRPr="002B1F75">
        <w:rPr>
          <w:rFonts w:cs="David" w:hint="cs"/>
          <w:sz w:val="24"/>
          <w:rtl/>
        </w:rPr>
        <w:lastRenderedPageBreak/>
        <w:t>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 xml:space="preserve">בחודש דצמבר 2006, הגישה "הוועדה הציבורית לבחינת חוק הביקורת הפנימית, התשנ"ב-1992", בראשות השופט בדימוס </w:t>
      </w:r>
      <w:proofErr w:type="spellStart"/>
      <w:r w:rsidR="00426A5A" w:rsidRPr="002B1F75">
        <w:rPr>
          <w:rFonts w:cs="David" w:hint="cs"/>
          <w:sz w:val="24"/>
          <w:rtl/>
        </w:rPr>
        <w:t>ורדימוס</w:t>
      </w:r>
      <w:proofErr w:type="spellEnd"/>
      <w:r w:rsidR="00426A5A" w:rsidRPr="002B1F75">
        <w:rPr>
          <w:rFonts w:cs="David" w:hint="cs"/>
          <w:sz w:val="24"/>
          <w:rtl/>
        </w:rPr>
        <w:t xml:space="preserve"> </w:t>
      </w:r>
      <w:proofErr w:type="spellStart"/>
      <w:r w:rsidR="00426A5A" w:rsidRPr="002B1F75">
        <w:rPr>
          <w:rFonts w:cs="David" w:hint="cs"/>
          <w:sz w:val="24"/>
          <w:rtl/>
        </w:rPr>
        <w:t>זיילר</w:t>
      </w:r>
      <w:proofErr w:type="spellEnd"/>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w:t>
      </w:r>
      <w:r w:rsidR="00593124">
        <w:rPr>
          <w:rFonts w:cs="David" w:hint="cs"/>
          <w:sz w:val="24"/>
          <w:rtl/>
        </w:rPr>
        <w:t>ו</w:t>
      </w:r>
      <w:r w:rsidR="00285448" w:rsidRPr="002B1F75">
        <w:rPr>
          <w:rFonts w:cs="David" w:hint="cs"/>
          <w:sz w:val="24"/>
          <w:rtl/>
        </w:rPr>
        <w:t>, תנאי</w:t>
      </w:r>
      <w:r w:rsidR="00593124">
        <w:rPr>
          <w:rFonts w:cs="David" w:hint="cs"/>
          <w:sz w:val="24"/>
          <w:rtl/>
        </w:rPr>
        <w:t>ו</w:t>
      </w:r>
      <w:r w:rsidR="00285448" w:rsidRPr="002B1F75">
        <w:rPr>
          <w:rFonts w:cs="David" w:hint="cs"/>
          <w:sz w:val="24"/>
          <w:rtl/>
        </w:rPr>
        <w:t>,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 xml:space="preserve">לשר לביטחון הפנים </w:t>
      </w:r>
      <w:r w:rsidR="00F533F3" w:rsidRPr="002B1F75">
        <w:rPr>
          <w:rFonts w:cs="David" w:hint="cs"/>
          <w:sz w:val="24"/>
          <w:rtl/>
        </w:rPr>
        <w:lastRenderedPageBreak/>
        <w:t>(שאחראי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5C1F25">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proofErr w:type="spellStart"/>
      <w:r w:rsidR="0084226D" w:rsidRPr="00DD4372">
        <w:rPr>
          <w:rFonts w:cs="David" w:hint="cs"/>
          <w:b/>
          <w:bCs/>
          <w:sz w:val="26"/>
          <w:szCs w:val="26"/>
          <w:u w:val="single"/>
          <w:rtl/>
        </w:rPr>
        <w:t>כנילון</w:t>
      </w:r>
      <w:proofErr w:type="spellEnd"/>
      <w:r w:rsidR="0084226D" w:rsidRPr="00DD4372">
        <w:rPr>
          <w:rFonts w:cs="David" w:hint="cs"/>
          <w:b/>
          <w:bCs/>
          <w:sz w:val="26"/>
          <w:szCs w:val="26"/>
          <w:u w:val="single"/>
          <w:rtl/>
        </w:rPr>
        <w:t xml:space="preserve">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w:t>
      </w:r>
      <w:proofErr w:type="spellStart"/>
      <w:r w:rsidR="00E474E4" w:rsidRPr="00DD4372">
        <w:rPr>
          <w:rFonts w:cs="David" w:hint="cs"/>
          <w:sz w:val="24"/>
          <w:rtl/>
        </w:rPr>
        <w:t>היתה</w:t>
      </w:r>
      <w:proofErr w:type="spellEnd"/>
      <w:r w:rsidR="00E474E4" w:rsidRPr="00DD4372">
        <w:rPr>
          <w:rFonts w:cs="David" w:hint="cs"/>
          <w:sz w:val="24"/>
          <w:rtl/>
        </w:rPr>
        <w:t xml:space="preserve">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w:t>
      </w:r>
      <w:proofErr w:type="spellStart"/>
      <w:r w:rsidR="00835F6E" w:rsidRPr="00DD4372">
        <w:rPr>
          <w:rFonts w:cs="David" w:hint="cs"/>
          <w:sz w:val="24"/>
          <w:rtl/>
        </w:rPr>
        <w:t>מלבררה</w:t>
      </w:r>
      <w:proofErr w:type="spellEnd"/>
      <w:r w:rsidR="00835F6E" w:rsidRPr="00DD4372">
        <w:rPr>
          <w:rFonts w:cs="David" w:hint="cs"/>
          <w:sz w:val="24"/>
          <w:rtl/>
        </w:rPr>
        <w:t xml:space="preserve">)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w:t>
      </w:r>
      <w:proofErr w:type="spellStart"/>
      <w:r w:rsidR="005D0CAA" w:rsidRPr="00DD4372">
        <w:rPr>
          <w:rFonts w:ascii="Times New Roman" w:eastAsia="Times New Roman" w:hAnsi="Times New Roman" w:hint="cs"/>
          <w:snapToGrid/>
          <w:color w:val="auto"/>
          <w:sz w:val="24"/>
          <w:szCs w:val="24"/>
          <w:rtl/>
          <w:lang w:eastAsia="he-IL"/>
        </w:rPr>
        <w:t>הנילון</w:t>
      </w:r>
      <w:proofErr w:type="spellEnd"/>
      <w:r w:rsidR="005D0CAA" w:rsidRPr="00DD4372">
        <w:rPr>
          <w:rFonts w:ascii="Times New Roman" w:eastAsia="Times New Roman" w:hAnsi="Times New Roman" w:hint="cs"/>
          <w:snapToGrid/>
          <w:color w:val="auto"/>
          <w:sz w:val="24"/>
          <w:szCs w:val="24"/>
          <w:rtl/>
          <w:lang w:eastAsia="he-IL"/>
        </w:rPr>
        <w:t xml:space="preserve">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lastRenderedPageBreak/>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 xml:space="preserve">אינה חדשה </w:t>
      </w:r>
      <w:proofErr w:type="spellStart"/>
      <w:r w:rsidRPr="00CD600A">
        <w:rPr>
          <w:rFonts w:ascii="Times New Roman" w:eastAsia="Times New Roman" w:hAnsi="Times New Roman" w:hint="cs"/>
          <w:snapToGrid/>
          <w:color w:val="auto"/>
          <w:sz w:val="24"/>
          <w:szCs w:val="24"/>
          <w:rtl/>
          <w:lang w:eastAsia="he-IL"/>
        </w:rPr>
        <w:t>עימנו</w:t>
      </w:r>
      <w:proofErr w:type="spellEnd"/>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proofErr w:type="spellStart"/>
      <w:r w:rsidR="00897FF0" w:rsidRPr="00CD600A">
        <w:rPr>
          <w:rFonts w:ascii="Times New Roman" w:eastAsia="Times New Roman" w:hAnsi="Times New Roman" w:hint="cs"/>
          <w:snapToGrid/>
          <w:color w:val="auto"/>
          <w:sz w:val="24"/>
          <w:szCs w:val="24"/>
          <w:rtl/>
          <w:lang w:eastAsia="he-IL"/>
        </w:rPr>
        <w:t>המינהל</w:t>
      </w:r>
      <w:proofErr w:type="spellEnd"/>
      <w:r w:rsidR="00897FF0" w:rsidRPr="00CD600A">
        <w:rPr>
          <w:rFonts w:ascii="Times New Roman" w:eastAsia="Times New Roman" w:hAnsi="Times New Roman" w:hint="cs"/>
          <w:snapToGrid/>
          <w:color w:val="auto"/>
          <w:sz w:val="24"/>
          <w:szCs w:val="24"/>
          <w:rtl/>
          <w:lang w:eastAsia="he-IL"/>
        </w:rPr>
        <w:t xml:space="preserve">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w:t>
      </w:r>
      <w:proofErr w:type="spellStart"/>
      <w:r w:rsidR="00A962F1" w:rsidRPr="00CD600A">
        <w:rPr>
          <w:rFonts w:ascii="Times New Roman" w:eastAsia="Times New Roman" w:hAnsi="Times New Roman" w:hint="cs"/>
          <w:snapToGrid/>
          <w:color w:val="auto"/>
          <w:sz w:val="24"/>
          <w:szCs w:val="24"/>
          <w:rtl/>
          <w:lang w:eastAsia="he-IL"/>
        </w:rPr>
        <w:t>המינהל</w:t>
      </w:r>
      <w:proofErr w:type="spellEnd"/>
      <w:r w:rsidR="00A962F1" w:rsidRPr="00CD600A">
        <w:rPr>
          <w:rFonts w:ascii="Times New Roman" w:eastAsia="Times New Roman" w:hAnsi="Times New Roman" w:hint="cs"/>
          <w:snapToGrid/>
          <w:color w:val="auto"/>
          <w:sz w:val="24"/>
          <w:szCs w:val="24"/>
          <w:rtl/>
          <w:lang w:eastAsia="he-IL"/>
        </w:rPr>
        <w:t xml:space="preserve">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ED6EAC" w:rsidRPr="00ED6EAC">
          <w:rPr>
            <w:noProof/>
            <w:sz w:val="16"/>
            <w:szCs w:val="16"/>
            <w:rtl/>
            <w:lang w:val="he-IL"/>
          </w:rPr>
          <w:t>8</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 xml:space="preserve">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w:t>
      </w:r>
      <w:proofErr w:type="spellStart"/>
      <w:r w:rsidRPr="001F07A0">
        <w:rPr>
          <w:rFonts w:cs="David" w:hint="cs"/>
          <w:rtl/>
        </w:rPr>
        <w:t>נילון</w:t>
      </w:r>
      <w:proofErr w:type="spellEnd"/>
      <w:r w:rsidRPr="001F07A0">
        <w:rPr>
          <w:rFonts w:cs="David" w:hint="cs"/>
          <w:rtl/>
        </w:rPr>
        <w:t xml:space="preserve">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 xml:space="preserve">ספר </w:t>
      </w:r>
      <w:proofErr w:type="spellStart"/>
      <w:r w:rsidR="00A962F1" w:rsidRPr="00E71EEB">
        <w:rPr>
          <w:rFonts w:cs="David" w:hint="cs"/>
          <w:b/>
          <w:bCs/>
          <w:snapToGrid w:val="0"/>
          <w:rtl/>
        </w:rPr>
        <w:t>ברנזון</w:t>
      </w:r>
      <w:proofErr w:type="spellEnd"/>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 xml:space="preserve">פורת אף הרחיקה צעד נוסף וטענה, כי יש לתת לגוף </w:t>
      </w:r>
      <w:proofErr w:type="spellStart"/>
      <w:r w:rsidRPr="00A35118">
        <w:rPr>
          <w:rFonts w:cs="David" w:hint="cs"/>
          <w:rtl/>
        </w:rPr>
        <w:t>הנילון</w:t>
      </w:r>
      <w:proofErr w:type="spellEnd"/>
      <w:r w:rsidRPr="00A35118">
        <w:rPr>
          <w:rFonts w:cs="David" w:hint="cs"/>
          <w:rtl/>
        </w:rPr>
        <w:t xml:space="preserve">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957BA"/>
    <w:rsid w:val="001A0CD0"/>
    <w:rsid w:val="001A0DEA"/>
    <w:rsid w:val="001A1DDC"/>
    <w:rsid w:val="001A50A3"/>
    <w:rsid w:val="001A7827"/>
    <w:rsid w:val="001B75BD"/>
    <w:rsid w:val="001B7B13"/>
    <w:rsid w:val="001D08E5"/>
    <w:rsid w:val="001D0C8E"/>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329BD"/>
    <w:rsid w:val="005429BA"/>
    <w:rsid w:val="00560E16"/>
    <w:rsid w:val="00562F16"/>
    <w:rsid w:val="00567031"/>
    <w:rsid w:val="005718E9"/>
    <w:rsid w:val="0058538F"/>
    <w:rsid w:val="00593124"/>
    <w:rsid w:val="005A2270"/>
    <w:rsid w:val="005A4271"/>
    <w:rsid w:val="005B1200"/>
    <w:rsid w:val="005B338B"/>
    <w:rsid w:val="005B496C"/>
    <w:rsid w:val="005C1F25"/>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4AE5"/>
    <w:rsid w:val="008854FD"/>
    <w:rsid w:val="008856EE"/>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D6EAC"/>
    <w:rsid w:val="00EE2268"/>
    <w:rsid w:val="00EE2C0E"/>
    <w:rsid w:val="00EE3A93"/>
    <w:rsid w:val="00EE3E91"/>
    <w:rsid w:val="00EF72B8"/>
    <w:rsid w:val="00F162EA"/>
    <w:rsid w:val="00F25917"/>
    <w:rsid w:val="00F32A77"/>
    <w:rsid w:val="00F32B57"/>
    <w:rsid w:val="00F366FB"/>
    <w:rsid w:val="00F40F43"/>
    <w:rsid w:val="00F42527"/>
    <w:rsid w:val="00F4341C"/>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A304B0-DB4B-46F6-89CD-F6B4EE82B7C7}"/>
</file>

<file path=customXml/itemProps2.xml><?xml version="1.0" encoding="utf-8"?>
<ds:datastoreItem xmlns:ds="http://schemas.openxmlformats.org/officeDocument/2006/customXml" ds:itemID="{A8ECAA13-72C0-4635-A9CC-34AA76A58C08}"/>
</file>

<file path=customXml/itemProps3.xml><?xml version="1.0" encoding="utf-8"?>
<ds:datastoreItem xmlns:ds="http://schemas.openxmlformats.org/officeDocument/2006/customXml" ds:itemID="{210B68C6-56BD-4D34-B86F-14EA8399ED76}"/>
</file>

<file path=docProps/app.xml><?xml version="1.0" encoding="utf-8"?>
<Properties xmlns="http://schemas.openxmlformats.org/officeDocument/2006/extended-properties" xmlns:vt="http://schemas.openxmlformats.org/officeDocument/2006/docPropsVTypes">
  <Template>Normal</Template>
  <TotalTime>1331</TotalTime>
  <Pages>8</Pages>
  <Words>3827</Words>
  <Characters>19137</Characters>
  <Application>Microsoft Office Word</Application>
  <DocSecurity>0</DocSecurity>
  <Lines>159</Lines>
  <Paragraphs>45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545</cp:revision>
  <cp:lastPrinted>2016-05-26T12:14:00Z</cp:lastPrinted>
  <dcterms:created xsi:type="dcterms:W3CDTF">2016-05-24T12:17:00Z</dcterms:created>
  <dcterms:modified xsi:type="dcterms:W3CDTF">2016-07-12T06:38:00Z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2004816</vt:r8>
  </property>
</Properties>
</file>