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16D46D" w14:textId="77777777" w:rsidR="00D3478A" w:rsidRPr="0000131B" w:rsidRDefault="00D3478A" w:rsidP="00D3478A">
      <w:pPr>
        <w:pStyle w:val="HeadHatzaotHok"/>
        <w:jc w:val="right"/>
        <w:rPr>
          <w:b w:val="0"/>
          <w:bCs w:val="0"/>
          <w:szCs w:val="20"/>
        </w:rPr>
      </w:pPr>
      <w:bookmarkStart w:id="0" w:name="_GoBack"/>
      <w:bookmarkEnd w:id="0"/>
      <w:r w:rsidRPr="0000131B">
        <w:rPr>
          <w:rFonts w:hint="cs"/>
          <w:b w:val="0"/>
          <w:bCs w:val="0"/>
          <w:szCs w:val="20"/>
          <w:rtl/>
        </w:rPr>
        <w:t xml:space="preserve">מספר פנימי: </w:t>
      </w:r>
      <w:r>
        <w:rPr>
          <w:rFonts w:hint="cs"/>
          <w:b w:val="0"/>
          <w:bCs w:val="0"/>
          <w:szCs w:val="20"/>
          <w:rtl/>
        </w:rPr>
        <w:t>568469</w:t>
      </w:r>
    </w:p>
    <w:p w14:paraId="17E03D08" w14:textId="77777777" w:rsidR="00D3478A" w:rsidRPr="00DB7060" w:rsidRDefault="00D3478A" w:rsidP="00D3478A">
      <w:pPr>
        <w:pStyle w:val="HeadHatzaotHok"/>
        <w:rPr>
          <w:sz w:val="28"/>
          <w:szCs w:val="28"/>
          <w:rtl/>
        </w:rPr>
      </w:pPr>
      <w:r w:rsidRPr="00DB7060">
        <w:rPr>
          <w:rFonts w:hint="cs"/>
          <w:sz w:val="28"/>
          <w:szCs w:val="28"/>
          <w:rtl/>
        </w:rPr>
        <w:t xml:space="preserve">הכנסת </w:t>
      </w:r>
      <w:r>
        <w:rPr>
          <w:rFonts w:hint="cs"/>
          <w:sz w:val="28"/>
          <w:szCs w:val="28"/>
          <w:rtl/>
        </w:rPr>
        <w:t>העשרים</w:t>
      </w:r>
    </w:p>
    <w:p w14:paraId="109210CF" w14:textId="77777777" w:rsidR="00D3478A" w:rsidRPr="00F67051" w:rsidRDefault="00D3478A" w:rsidP="00D3478A">
      <w:pPr>
        <w:rPr>
          <w:rFonts w:cs="David"/>
          <w:b/>
          <w:bCs/>
          <w:sz w:val="26"/>
          <w:szCs w:val="26"/>
          <w:rtl/>
        </w:rPr>
      </w:pPr>
    </w:p>
    <w:p w14:paraId="4E9B91D1" w14:textId="0166326F" w:rsidR="00D3478A" w:rsidRDefault="007512F4" w:rsidP="00D3478A">
      <w:pPr>
        <w:pStyle w:val="David"/>
        <w:spacing w:line="360" w:lineRule="auto"/>
        <w:ind w:left="3544"/>
        <w:rPr>
          <w:b/>
          <w:bCs/>
          <w:rtl/>
        </w:rPr>
      </w:pPr>
      <w:r>
        <w:rPr>
          <w:b/>
          <w:bCs/>
          <w:rtl/>
        </w:rPr>
        <w:t>יוז</w:t>
      </w:r>
      <w:r>
        <w:rPr>
          <w:rFonts w:hint="cs"/>
          <w:b/>
          <w:bCs/>
          <w:rtl/>
        </w:rPr>
        <w:t>מים</w:t>
      </w:r>
      <w:r w:rsidR="00D3478A">
        <w:rPr>
          <w:b/>
          <w:bCs/>
          <w:rtl/>
        </w:rPr>
        <w:t>:</w:t>
      </w:r>
      <w:r w:rsidR="00D3478A">
        <w:tab/>
      </w:r>
      <w:r w:rsidR="00D3478A">
        <w:rPr>
          <w:b/>
          <w:bCs/>
          <w:rtl/>
        </w:rPr>
        <w:t xml:space="preserve">      חבר</w:t>
      </w:r>
      <w:r>
        <w:rPr>
          <w:rFonts w:hint="cs"/>
          <w:b/>
          <w:bCs/>
          <w:rtl/>
        </w:rPr>
        <w:t>י</w:t>
      </w:r>
      <w:r w:rsidR="00D3478A">
        <w:rPr>
          <w:b/>
          <w:bCs/>
          <w:rtl/>
        </w:rPr>
        <w:t xml:space="preserve"> הכנסת</w:t>
      </w:r>
      <w:r w:rsidR="00D3478A" w:rsidRPr="00F67051">
        <w:rPr>
          <w:b/>
          <w:bCs/>
        </w:rPr>
        <w:tab/>
      </w:r>
      <w:r w:rsidR="00D3478A">
        <w:rPr>
          <w:rFonts w:hint="cs"/>
          <w:b/>
          <w:bCs/>
          <w:rtl/>
        </w:rPr>
        <w:t>בצלאל סמוטריץ'</w:t>
      </w:r>
    </w:p>
    <w:p w14:paraId="4FEAE529" w14:textId="10B1908D" w:rsidR="007512F4" w:rsidRDefault="007512F4" w:rsidP="00D3478A">
      <w:pPr>
        <w:pStyle w:val="David"/>
        <w:spacing w:line="360" w:lineRule="auto"/>
        <w:ind w:left="3544"/>
        <w:rPr>
          <w:b/>
          <w:bCs/>
          <w:rtl/>
        </w:rPr>
      </w:pPr>
      <w:r>
        <w:rPr>
          <w:b/>
          <w:bCs/>
          <w:rtl/>
        </w:rPr>
        <w:tab/>
      </w:r>
      <w:r>
        <w:rPr>
          <w:b/>
          <w:bCs/>
          <w:rtl/>
        </w:rPr>
        <w:tab/>
      </w:r>
      <w:r>
        <w:rPr>
          <w:b/>
          <w:bCs/>
          <w:rtl/>
        </w:rPr>
        <w:tab/>
      </w:r>
      <w:r>
        <w:rPr>
          <w:b/>
          <w:bCs/>
          <w:rtl/>
        </w:rPr>
        <w:tab/>
      </w:r>
      <w:r>
        <w:rPr>
          <w:b/>
          <w:bCs/>
          <w:rtl/>
        </w:rPr>
        <w:tab/>
      </w:r>
      <w:r>
        <w:rPr>
          <w:rFonts w:hint="cs"/>
          <w:b/>
          <w:bCs/>
          <w:rtl/>
        </w:rPr>
        <w:t>שולי מועלם-רפאלי</w:t>
      </w:r>
    </w:p>
    <w:p w14:paraId="4135D6BE" w14:textId="77777777" w:rsidR="00D3478A" w:rsidRPr="002B79EF" w:rsidRDefault="00D3478A" w:rsidP="00D3478A">
      <w:pPr>
        <w:pStyle w:val="David"/>
        <w:spacing w:before="0" w:line="360" w:lineRule="auto"/>
        <w:ind w:left="3544"/>
        <w:rPr>
          <w:rtl/>
        </w:rPr>
      </w:pPr>
      <w:r>
        <w:rPr>
          <w:rtl/>
        </w:rPr>
        <w:t>______________________________________________</w:t>
      </w:r>
      <w:r>
        <w:br/>
      </w:r>
      <w:r>
        <w:rPr>
          <w:rtl/>
        </w:rPr>
        <w:t>מצטרפים: חברי הכנסת</w:t>
      </w:r>
      <w:r w:rsidRPr="00CF1AA2">
        <w:rPr>
          <w:rFonts w:hint="cs"/>
          <w:rtl/>
        </w:rPr>
        <w:tab/>
      </w:r>
      <w:r>
        <w:rPr>
          <w:rFonts w:hint="cs"/>
          <w:rtl/>
        </w:rPr>
        <w:t>ינון מגל</w:t>
      </w:r>
      <w:r>
        <w:br/>
      </w:r>
      <w:r>
        <w:rPr>
          <w:rFonts w:hint="cs"/>
          <w:rtl/>
        </w:rPr>
        <w:t xml:space="preserve"> </w:t>
      </w:r>
      <w:r>
        <w:tab/>
      </w:r>
      <w:r>
        <w:tab/>
      </w:r>
      <w:r>
        <w:tab/>
      </w:r>
      <w:r>
        <w:tab/>
      </w:r>
      <w:r>
        <w:rPr>
          <w:rFonts w:hint="cs"/>
          <w:rtl/>
        </w:rPr>
        <w:t>איתן כבל</w:t>
      </w:r>
      <w:r>
        <w:br/>
      </w:r>
      <w:r>
        <w:rPr>
          <w:rFonts w:hint="cs"/>
          <w:rtl/>
        </w:rPr>
        <w:t xml:space="preserve"> </w:t>
      </w:r>
      <w:r>
        <w:tab/>
      </w:r>
      <w:r>
        <w:tab/>
      </w:r>
      <w:r>
        <w:tab/>
      </w:r>
      <w:r>
        <w:tab/>
      </w:r>
      <w:proofErr w:type="spellStart"/>
      <w:r>
        <w:rPr>
          <w:rFonts w:hint="cs"/>
          <w:rtl/>
        </w:rPr>
        <w:t>מכלוף</w:t>
      </w:r>
      <w:proofErr w:type="spellEnd"/>
      <w:r>
        <w:rPr>
          <w:rFonts w:hint="cs"/>
          <w:rtl/>
        </w:rPr>
        <w:t xml:space="preserve"> מיקי זוהר</w:t>
      </w:r>
      <w:r>
        <w:br/>
      </w:r>
      <w:r>
        <w:rPr>
          <w:rFonts w:hint="cs"/>
          <w:rtl/>
        </w:rPr>
        <w:t xml:space="preserve"> </w:t>
      </w:r>
      <w:r>
        <w:tab/>
      </w:r>
      <w:r>
        <w:tab/>
      </w:r>
      <w:r>
        <w:tab/>
      </w:r>
      <w:r>
        <w:tab/>
      </w:r>
      <w:r>
        <w:rPr>
          <w:rFonts w:hint="cs"/>
          <w:rtl/>
        </w:rPr>
        <w:t>דב חנין</w:t>
      </w:r>
      <w:r>
        <w:br/>
      </w:r>
      <w:r>
        <w:rPr>
          <w:rFonts w:hint="cs"/>
          <w:rtl/>
        </w:rPr>
        <w:t xml:space="preserve"> </w:t>
      </w:r>
      <w:r>
        <w:tab/>
      </w:r>
      <w:r>
        <w:tab/>
      </w:r>
      <w:r>
        <w:tab/>
      </w:r>
      <w:r>
        <w:tab/>
      </w:r>
      <w:r>
        <w:rPr>
          <w:rFonts w:hint="cs"/>
          <w:rtl/>
        </w:rPr>
        <w:t>רחל עזריה</w:t>
      </w:r>
      <w:r>
        <w:br/>
      </w:r>
      <w:r>
        <w:rPr>
          <w:rFonts w:hint="cs"/>
          <w:rtl/>
        </w:rPr>
        <w:t xml:space="preserve"> </w:t>
      </w:r>
      <w:r>
        <w:tab/>
      </w:r>
      <w:r>
        <w:tab/>
      </w:r>
      <w:r>
        <w:tab/>
      </w:r>
      <w:r>
        <w:tab/>
      </w:r>
      <w:r>
        <w:rPr>
          <w:rFonts w:hint="cs"/>
          <w:rtl/>
        </w:rPr>
        <w:t>נורית קורן</w:t>
      </w:r>
      <w:r>
        <w:br/>
      </w:r>
      <w:r>
        <w:rPr>
          <w:rFonts w:hint="cs"/>
          <w:rtl/>
        </w:rPr>
        <w:t xml:space="preserve"> </w:t>
      </w:r>
      <w:r>
        <w:tab/>
      </w:r>
      <w:r>
        <w:tab/>
      </w:r>
      <w:r>
        <w:tab/>
      </w:r>
      <w:r>
        <w:tab/>
      </w:r>
      <w:r>
        <w:rPr>
          <w:rFonts w:hint="cs"/>
          <w:rtl/>
        </w:rPr>
        <w:t>יצחק וקנין</w:t>
      </w:r>
      <w:r>
        <w:br/>
      </w:r>
      <w:r>
        <w:rPr>
          <w:rFonts w:hint="cs"/>
          <w:rtl/>
        </w:rPr>
        <w:t xml:space="preserve"> </w:t>
      </w:r>
      <w:r>
        <w:tab/>
      </w:r>
      <w:r>
        <w:tab/>
      </w:r>
      <w:r>
        <w:tab/>
      </w:r>
      <w:r>
        <w:tab/>
      </w:r>
      <w:r>
        <w:rPr>
          <w:rFonts w:hint="cs"/>
          <w:rtl/>
        </w:rPr>
        <w:t>רוברט אילטוב</w:t>
      </w:r>
      <w:r>
        <w:br/>
      </w:r>
      <w:r>
        <w:rPr>
          <w:rFonts w:hint="cs"/>
          <w:rtl/>
        </w:rPr>
        <w:t xml:space="preserve"> </w:t>
      </w:r>
      <w:r>
        <w:tab/>
      </w:r>
      <w:r>
        <w:tab/>
      </w:r>
      <w:r>
        <w:tab/>
      </w:r>
      <w:r>
        <w:tab/>
      </w:r>
      <w:r>
        <w:rPr>
          <w:rFonts w:hint="cs"/>
          <w:rtl/>
        </w:rPr>
        <w:t>מירב בן ארי</w:t>
      </w:r>
      <w:r>
        <w:br/>
      </w:r>
      <w:r>
        <w:rPr>
          <w:rFonts w:hint="cs"/>
          <w:rtl/>
        </w:rPr>
        <w:t xml:space="preserve"> </w:t>
      </w:r>
      <w:r>
        <w:tab/>
      </w:r>
      <w:r>
        <w:tab/>
      </w:r>
      <w:r>
        <w:tab/>
      </w:r>
      <w:r>
        <w:tab/>
      </w:r>
      <w:r>
        <w:rPr>
          <w:rFonts w:hint="cs"/>
          <w:rtl/>
        </w:rPr>
        <w:t>יואב בן צור</w:t>
      </w:r>
      <w:r>
        <w:br/>
      </w:r>
      <w:r>
        <w:rPr>
          <w:rFonts w:hint="cs"/>
          <w:rtl/>
        </w:rPr>
        <w:t xml:space="preserve"> </w:t>
      </w:r>
      <w:r>
        <w:tab/>
      </w:r>
      <w:r>
        <w:tab/>
      </w:r>
      <w:r>
        <w:tab/>
      </w:r>
      <w:r>
        <w:tab/>
      </w:r>
      <w:r>
        <w:rPr>
          <w:rFonts w:hint="cs"/>
          <w:rtl/>
        </w:rPr>
        <w:t>נחמן שי</w:t>
      </w:r>
      <w:r>
        <w:br/>
      </w:r>
      <w:r>
        <w:rPr>
          <w:rFonts w:hint="cs"/>
          <w:rtl/>
        </w:rPr>
        <w:t xml:space="preserve"> </w:t>
      </w:r>
      <w:r>
        <w:tab/>
      </w:r>
      <w:r>
        <w:tab/>
      </w:r>
      <w:r>
        <w:tab/>
      </w:r>
      <w:r>
        <w:tab/>
      </w:r>
      <w:r>
        <w:rPr>
          <w:rFonts w:hint="cs"/>
          <w:rtl/>
        </w:rPr>
        <w:t>יעקב מרגי</w:t>
      </w:r>
      <w:r>
        <w:br/>
      </w:r>
      <w:r>
        <w:rPr>
          <w:rFonts w:hint="cs"/>
          <w:rtl/>
        </w:rPr>
        <w:t xml:space="preserve"> </w:t>
      </w:r>
      <w:r>
        <w:tab/>
      </w:r>
      <w:r>
        <w:tab/>
      </w:r>
      <w:r>
        <w:tab/>
      </w:r>
      <w:r>
        <w:tab/>
      </w:r>
      <w:r>
        <w:rPr>
          <w:rFonts w:hint="cs"/>
          <w:rtl/>
        </w:rPr>
        <w:t>יוסי יונה</w:t>
      </w:r>
      <w:r>
        <w:br/>
      </w:r>
      <w:r>
        <w:rPr>
          <w:rFonts w:hint="cs"/>
          <w:rtl/>
        </w:rPr>
        <w:t xml:space="preserve"> </w:t>
      </w:r>
      <w:r>
        <w:tab/>
      </w:r>
      <w:r>
        <w:tab/>
      </w:r>
      <w:r>
        <w:tab/>
      </w:r>
      <w:r>
        <w:tab/>
      </w:r>
      <w:r>
        <w:rPr>
          <w:rFonts w:hint="cs"/>
          <w:rtl/>
        </w:rPr>
        <w:t>יואל חסון</w:t>
      </w:r>
      <w:r>
        <w:br/>
      </w:r>
      <w:r>
        <w:rPr>
          <w:rFonts w:hint="cs"/>
          <w:rtl/>
        </w:rPr>
        <w:t xml:space="preserve"> </w:t>
      </w:r>
      <w:r>
        <w:tab/>
      </w:r>
      <w:r>
        <w:tab/>
      </w:r>
      <w:r>
        <w:tab/>
      </w:r>
      <w:r>
        <w:tab/>
      </w:r>
      <w:r>
        <w:rPr>
          <w:rFonts w:hint="cs"/>
          <w:rtl/>
        </w:rPr>
        <w:t>מיקי לוי</w:t>
      </w:r>
      <w:r>
        <w:br/>
      </w:r>
      <w:r>
        <w:rPr>
          <w:rFonts w:hint="cs"/>
          <w:rtl/>
        </w:rPr>
        <w:t xml:space="preserve"> </w:t>
      </w:r>
      <w:r>
        <w:tab/>
      </w:r>
      <w:r>
        <w:tab/>
      </w:r>
      <w:r>
        <w:tab/>
      </w:r>
      <w:r>
        <w:tab/>
      </w:r>
      <w:r>
        <w:rPr>
          <w:rFonts w:hint="cs"/>
          <w:rtl/>
        </w:rPr>
        <w:t>אורן אסף חזן</w:t>
      </w:r>
      <w:r>
        <w:br/>
      </w:r>
      <w:r>
        <w:rPr>
          <w:rFonts w:hint="cs"/>
          <w:rtl/>
        </w:rPr>
        <w:t xml:space="preserve"> </w:t>
      </w:r>
      <w:r>
        <w:tab/>
      </w:r>
      <w:r>
        <w:tab/>
      </w:r>
      <w:r>
        <w:tab/>
      </w:r>
      <w:r>
        <w:tab/>
      </w:r>
      <w:r>
        <w:rPr>
          <w:rFonts w:hint="cs"/>
          <w:rtl/>
        </w:rPr>
        <w:t>אראל מרגלית</w:t>
      </w:r>
    </w:p>
    <w:p w14:paraId="420F6FD8" w14:textId="19EFB038" w:rsidR="002B79EF" w:rsidRDefault="002B79EF" w:rsidP="002B79EF">
      <w:pPr>
        <w:pStyle w:val="David"/>
        <w:spacing w:before="0" w:line="360" w:lineRule="auto"/>
        <w:ind w:left="6424" w:firstLine="56"/>
        <w:rPr>
          <w:b/>
          <w:bCs/>
          <w:sz w:val="16"/>
          <w:szCs w:val="16"/>
          <w:rtl/>
        </w:rPr>
      </w:pPr>
      <w:r w:rsidRPr="002B79EF">
        <w:rPr>
          <w:rFonts w:hint="cs"/>
          <w:rtl/>
        </w:rPr>
        <w:t>מיכל רוזין</w:t>
      </w:r>
    </w:p>
    <w:p w14:paraId="4DD82B77" w14:textId="77777777" w:rsidR="002B79EF" w:rsidRPr="00CF1AA2" w:rsidRDefault="002B79EF" w:rsidP="00D3478A">
      <w:pPr>
        <w:pStyle w:val="David"/>
        <w:spacing w:before="0" w:line="360" w:lineRule="auto"/>
        <w:ind w:left="3544"/>
        <w:rPr>
          <w:b/>
          <w:bCs/>
          <w:sz w:val="16"/>
          <w:szCs w:val="16"/>
          <w:rtl/>
        </w:rPr>
      </w:pPr>
    </w:p>
    <w:p w14:paraId="497C0C5E" w14:textId="59E14D70" w:rsidR="00D3478A" w:rsidRPr="00904591" w:rsidRDefault="00D3478A" w:rsidP="00D3478A">
      <w:pPr>
        <w:pStyle w:val="David"/>
        <w:spacing w:before="0" w:line="360" w:lineRule="auto"/>
        <w:ind w:left="3544"/>
        <w:rPr>
          <w:sz w:val="4"/>
          <w:szCs w:val="4"/>
          <w:rtl/>
        </w:rPr>
      </w:pPr>
      <w:r>
        <w:t>______________________________________________</w:t>
      </w:r>
      <w:r w:rsidR="001935C1">
        <w:rPr>
          <w:rtl/>
        </w:rPr>
        <w:tab/>
      </w:r>
      <w:r w:rsidRPr="00E06736">
        <w:tab/>
      </w:r>
      <w:r w:rsidRPr="00E06736">
        <w:rPr>
          <w:rFonts w:hint="cs"/>
          <w:rtl/>
        </w:rPr>
        <w:tab/>
      </w:r>
      <w:r w:rsidRPr="00E06736">
        <w:rPr>
          <w:rFonts w:hint="cs"/>
          <w:rtl/>
        </w:rPr>
        <w:tab/>
      </w:r>
      <w:r w:rsidRPr="00E06736">
        <w:rPr>
          <w:rFonts w:hint="cs"/>
          <w:rtl/>
        </w:rPr>
        <w:tab/>
      </w:r>
      <w:r w:rsidR="001935C1">
        <w:rPr>
          <w:rFonts w:hint="cs"/>
          <w:rtl/>
        </w:rPr>
        <w:t>פ/2203/20</w:t>
      </w:r>
      <w:r>
        <w:t xml:space="preserve">           </w:t>
      </w:r>
    </w:p>
    <w:p w14:paraId="36F347B8" w14:textId="77777777" w:rsidR="00D3478A" w:rsidRDefault="00D3478A" w:rsidP="001935C1">
      <w:pPr>
        <w:pStyle w:val="HeadHatzaotHok"/>
        <w:spacing w:line="240" w:lineRule="auto"/>
        <w:rPr>
          <w:rtl/>
        </w:rPr>
      </w:pPr>
      <w:r>
        <w:rPr>
          <w:rFonts w:hint="cs"/>
          <w:rtl/>
        </w:rPr>
        <w:t xml:space="preserve">הצעת חוק גיל פרישה (תיקון </w:t>
      </w:r>
      <w:r>
        <w:rPr>
          <w:rFonts w:hint="eastAsia"/>
          <w:rtl/>
        </w:rPr>
        <w:t>–</w:t>
      </w:r>
      <w:r>
        <w:rPr>
          <w:rFonts w:hint="cs"/>
          <w:rtl/>
        </w:rPr>
        <w:t xml:space="preserve"> הורה שכול), </w:t>
      </w:r>
      <w:proofErr w:type="spellStart"/>
      <w:r>
        <w:rPr>
          <w:rFonts w:hint="cs"/>
          <w:rtl/>
        </w:rPr>
        <w:t>התשע"ו</w:t>
      </w:r>
      <w:proofErr w:type="spellEnd"/>
      <w:r>
        <w:rPr>
          <w:rFonts w:hint="eastAsia"/>
          <w:rtl/>
        </w:rPr>
        <w:t>–</w:t>
      </w:r>
      <w:r>
        <w:rPr>
          <w:rFonts w:hint="cs"/>
          <w:rtl/>
        </w:rPr>
        <w:t>2015</w:t>
      </w:r>
    </w:p>
    <w:p w14:paraId="3364AFC2" w14:textId="77777777" w:rsidR="001935C1" w:rsidRDefault="001935C1" w:rsidP="001935C1">
      <w:pPr>
        <w:pStyle w:val="HeadHatzaotHok"/>
        <w:spacing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D3478A" w14:paraId="1CD82F38" w14:textId="77777777" w:rsidTr="001861D6">
        <w:trPr>
          <w:cantSplit/>
          <w:trHeight w:val="60"/>
        </w:trPr>
        <w:tc>
          <w:tcPr>
            <w:tcW w:w="1871" w:type="dxa"/>
          </w:tcPr>
          <w:p w14:paraId="2E1321F4" w14:textId="7C9945C8" w:rsidR="00D3478A" w:rsidRDefault="001935C1" w:rsidP="001861D6">
            <w:pPr>
              <w:pStyle w:val="TableSideHeading"/>
              <w:keepLines w:val="0"/>
            </w:pPr>
            <w:r>
              <w:rPr>
                <w:rFonts w:hint="cs"/>
                <w:rtl/>
              </w:rPr>
              <w:t>הוספת סעיף 12א</w:t>
            </w:r>
          </w:p>
        </w:tc>
        <w:tc>
          <w:tcPr>
            <w:tcW w:w="624" w:type="dxa"/>
          </w:tcPr>
          <w:p w14:paraId="2F0A6BC0" w14:textId="77777777" w:rsidR="00D3478A" w:rsidRDefault="00D3478A" w:rsidP="001861D6">
            <w:pPr>
              <w:pStyle w:val="TableText"/>
              <w:keepLines w:val="0"/>
              <w:numPr>
                <w:ilvl w:val="0"/>
                <w:numId w:val="12"/>
              </w:numPr>
            </w:pPr>
          </w:p>
        </w:tc>
        <w:tc>
          <w:tcPr>
            <w:tcW w:w="7146" w:type="dxa"/>
            <w:gridSpan w:val="5"/>
          </w:tcPr>
          <w:p w14:paraId="3DD483FC" w14:textId="77777777" w:rsidR="00D3478A" w:rsidRPr="00C34DE2" w:rsidRDefault="00D3478A" w:rsidP="001861D6">
            <w:pPr>
              <w:pStyle w:val="TableBlock"/>
              <w:keepLines w:val="0"/>
            </w:pPr>
            <w:r>
              <w:rPr>
                <w:rFonts w:hint="cs"/>
                <w:sz w:val="26"/>
                <w:rtl/>
              </w:rPr>
              <w:t xml:space="preserve">בחוק גיל פרישה, </w:t>
            </w:r>
            <w:proofErr w:type="spellStart"/>
            <w:r>
              <w:rPr>
                <w:rFonts w:hint="cs"/>
                <w:sz w:val="26"/>
                <w:rtl/>
              </w:rPr>
              <w:t>התשס"ד</w:t>
            </w:r>
            <w:proofErr w:type="spellEnd"/>
            <w:r>
              <w:rPr>
                <w:rFonts w:hint="eastAsia"/>
                <w:sz w:val="26"/>
                <w:rtl/>
              </w:rPr>
              <w:t>–</w:t>
            </w:r>
            <w:r>
              <w:rPr>
                <w:rFonts w:hint="cs"/>
                <w:sz w:val="26"/>
                <w:rtl/>
              </w:rPr>
              <w:t>2004</w:t>
            </w:r>
            <w:r>
              <w:rPr>
                <w:rStyle w:val="a6"/>
                <w:sz w:val="26"/>
                <w:rtl/>
              </w:rPr>
              <w:footnoteReference w:id="2"/>
            </w:r>
            <w:r>
              <w:rPr>
                <w:rFonts w:hint="cs"/>
                <w:sz w:val="26"/>
                <w:rtl/>
              </w:rPr>
              <w:t>, אחרי סעיף 12 יבוא:</w:t>
            </w:r>
          </w:p>
        </w:tc>
      </w:tr>
      <w:tr w:rsidR="00D3478A" w14:paraId="20984EA3" w14:textId="77777777" w:rsidTr="001861D6">
        <w:trPr>
          <w:cantSplit/>
          <w:trHeight w:val="60"/>
        </w:trPr>
        <w:tc>
          <w:tcPr>
            <w:tcW w:w="1871" w:type="dxa"/>
          </w:tcPr>
          <w:p w14:paraId="2C983490" w14:textId="77777777" w:rsidR="00D3478A" w:rsidRDefault="00D3478A" w:rsidP="001861D6">
            <w:pPr>
              <w:pStyle w:val="TableSideHeading"/>
              <w:keepLines w:val="0"/>
            </w:pPr>
          </w:p>
        </w:tc>
        <w:tc>
          <w:tcPr>
            <w:tcW w:w="624" w:type="dxa"/>
          </w:tcPr>
          <w:p w14:paraId="66253B26" w14:textId="77777777" w:rsidR="00D3478A" w:rsidRDefault="00D3478A" w:rsidP="001861D6">
            <w:pPr>
              <w:pStyle w:val="TableText"/>
              <w:keepLines w:val="0"/>
            </w:pPr>
          </w:p>
        </w:tc>
        <w:tc>
          <w:tcPr>
            <w:tcW w:w="1872" w:type="dxa"/>
            <w:gridSpan w:val="3"/>
          </w:tcPr>
          <w:p w14:paraId="3D5AFB8B" w14:textId="77777777" w:rsidR="00D3478A" w:rsidRDefault="00D3478A" w:rsidP="001861D6">
            <w:pPr>
              <w:pStyle w:val="TableInnerSideHeading"/>
            </w:pPr>
            <w:r>
              <w:rPr>
                <w:rFonts w:hint="cs"/>
                <w:rtl/>
              </w:rPr>
              <w:t>"גיל פרישה להורה שכול</w:t>
            </w:r>
          </w:p>
        </w:tc>
        <w:tc>
          <w:tcPr>
            <w:tcW w:w="624" w:type="dxa"/>
          </w:tcPr>
          <w:p w14:paraId="6670DC0F" w14:textId="77777777" w:rsidR="00D3478A" w:rsidRDefault="00D3478A" w:rsidP="001861D6">
            <w:pPr>
              <w:pStyle w:val="TableText"/>
            </w:pPr>
            <w:r>
              <w:rPr>
                <w:rFonts w:hint="cs"/>
                <w:rtl/>
              </w:rPr>
              <w:t>12א.</w:t>
            </w:r>
          </w:p>
        </w:tc>
        <w:tc>
          <w:tcPr>
            <w:tcW w:w="4650" w:type="dxa"/>
          </w:tcPr>
          <w:p w14:paraId="411D6AD5" w14:textId="0CE70CF2" w:rsidR="00D3478A" w:rsidRDefault="00D3478A" w:rsidP="00D3478A">
            <w:pPr>
              <w:pStyle w:val="TableBlock"/>
            </w:pPr>
            <w:r>
              <w:rPr>
                <w:rFonts w:hint="cs"/>
                <w:rtl/>
              </w:rPr>
              <w:t xml:space="preserve">(א) </w:t>
            </w:r>
            <w:r>
              <w:rPr>
                <w:rtl/>
              </w:rPr>
              <w:tab/>
            </w:r>
            <w:r w:rsidRPr="005A5201">
              <w:rPr>
                <w:rFonts w:hint="cs"/>
                <w:rtl/>
              </w:rPr>
              <w:t xml:space="preserve">לא יפטר מעסיק עובד </w:t>
            </w:r>
            <w:r>
              <w:rPr>
                <w:rFonts w:hint="cs"/>
                <w:rtl/>
              </w:rPr>
              <w:t>שהוא הורה שכול שהגיע לגיל פרישה</w:t>
            </w:r>
            <w:r w:rsidRPr="005A5201">
              <w:rPr>
                <w:rFonts w:hint="cs"/>
                <w:rtl/>
              </w:rPr>
              <w:t xml:space="preserve"> </w:t>
            </w:r>
            <w:r>
              <w:rPr>
                <w:rFonts w:hint="cs"/>
                <w:rtl/>
              </w:rPr>
              <w:t>במשך תקופה שלא תעלה על חמש שנים מיום הגיעו לגיל פרישה,</w:t>
            </w:r>
            <w:r w:rsidRPr="005A5201">
              <w:rPr>
                <w:rFonts w:hint="cs"/>
                <w:rtl/>
              </w:rPr>
              <w:t xml:space="preserve"> אלא בהסכמת העובד</w:t>
            </w:r>
            <w:r>
              <w:rPr>
                <w:rFonts w:hint="cs"/>
                <w:rtl/>
              </w:rPr>
              <w:t>.</w:t>
            </w:r>
          </w:p>
        </w:tc>
      </w:tr>
      <w:tr w:rsidR="00D3478A" w14:paraId="3C7AFF25" w14:textId="77777777">
        <w:trPr>
          <w:cantSplit/>
          <w:trHeight w:val="60"/>
        </w:trPr>
        <w:tc>
          <w:tcPr>
            <w:tcW w:w="1871" w:type="dxa"/>
          </w:tcPr>
          <w:p w14:paraId="7F415FD1" w14:textId="77777777" w:rsidR="00D3478A" w:rsidRDefault="00D3478A">
            <w:pPr>
              <w:pStyle w:val="TableSideHeading"/>
            </w:pPr>
          </w:p>
        </w:tc>
        <w:tc>
          <w:tcPr>
            <w:tcW w:w="624" w:type="dxa"/>
          </w:tcPr>
          <w:p w14:paraId="0A05DEB9" w14:textId="77777777" w:rsidR="00D3478A" w:rsidRDefault="00D3478A">
            <w:pPr>
              <w:pStyle w:val="TableText"/>
            </w:pPr>
          </w:p>
        </w:tc>
        <w:tc>
          <w:tcPr>
            <w:tcW w:w="624" w:type="dxa"/>
          </w:tcPr>
          <w:p w14:paraId="1E3E142F" w14:textId="77777777" w:rsidR="00D3478A" w:rsidRDefault="00D3478A">
            <w:pPr>
              <w:pStyle w:val="TableText"/>
            </w:pPr>
          </w:p>
        </w:tc>
        <w:tc>
          <w:tcPr>
            <w:tcW w:w="624" w:type="dxa"/>
          </w:tcPr>
          <w:p w14:paraId="4E9912A9" w14:textId="77777777" w:rsidR="00D3478A" w:rsidRDefault="00D3478A">
            <w:pPr>
              <w:pStyle w:val="TableText"/>
            </w:pPr>
          </w:p>
        </w:tc>
        <w:tc>
          <w:tcPr>
            <w:tcW w:w="624" w:type="dxa"/>
          </w:tcPr>
          <w:p w14:paraId="616DB116" w14:textId="77777777" w:rsidR="00D3478A" w:rsidRDefault="00D3478A">
            <w:pPr>
              <w:pStyle w:val="TableText"/>
            </w:pPr>
          </w:p>
        </w:tc>
        <w:tc>
          <w:tcPr>
            <w:tcW w:w="624" w:type="dxa"/>
          </w:tcPr>
          <w:p w14:paraId="482F9513" w14:textId="77777777" w:rsidR="00D3478A" w:rsidRDefault="00D3478A">
            <w:pPr>
              <w:pStyle w:val="TableText"/>
            </w:pPr>
          </w:p>
        </w:tc>
        <w:tc>
          <w:tcPr>
            <w:tcW w:w="4650" w:type="dxa"/>
          </w:tcPr>
          <w:p w14:paraId="6476CBF2" w14:textId="021CACFB" w:rsidR="00D3478A" w:rsidRDefault="00D3478A" w:rsidP="00D3478A">
            <w:pPr>
              <w:pStyle w:val="TableBlock"/>
            </w:pPr>
            <w:r>
              <w:rPr>
                <w:rFonts w:hint="cs"/>
                <w:rtl/>
              </w:rPr>
              <w:t xml:space="preserve">(ב) </w:t>
            </w:r>
            <w:r>
              <w:rPr>
                <w:rtl/>
              </w:rPr>
              <w:tab/>
            </w:r>
            <w:r>
              <w:rPr>
                <w:rFonts w:hint="cs"/>
                <w:rtl/>
              </w:rPr>
              <w:t>שר הכלכלה יתקין תקנות בדבר חובתו של מעסיק להמשיך להעסיק עובד שהוא הורה שכול כאמור בסעיף קטן (א) ובדבר התנאים והסייגים לתחולתו של סעיף זה.</w:t>
            </w:r>
          </w:p>
        </w:tc>
      </w:tr>
      <w:tr w:rsidR="00D3478A" w14:paraId="604BACA0" w14:textId="77777777" w:rsidTr="001861D6">
        <w:trPr>
          <w:cantSplit/>
          <w:trHeight w:val="60"/>
        </w:trPr>
        <w:tc>
          <w:tcPr>
            <w:tcW w:w="1871" w:type="dxa"/>
          </w:tcPr>
          <w:p w14:paraId="0E0D9437" w14:textId="77777777" w:rsidR="00D3478A" w:rsidRPr="008142DA" w:rsidRDefault="00D3478A" w:rsidP="001861D6">
            <w:pPr>
              <w:pStyle w:val="TableSideHeading"/>
            </w:pPr>
          </w:p>
        </w:tc>
        <w:tc>
          <w:tcPr>
            <w:tcW w:w="624" w:type="dxa"/>
          </w:tcPr>
          <w:p w14:paraId="39FBC305" w14:textId="77777777" w:rsidR="00D3478A" w:rsidRDefault="00D3478A" w:rsidP="001861D6">
            <w:pPr>
              <w:pStyle w:val="TableText"/>
            </w:pPr>
          </w:p>
        </w:tc>
        <w:tc>
          <w:tcPr>
            <w:tcW w:w="624" w:type="dxa"/>
          </w:tcPr>
          <w:p w14:paraId="0A7563C5" w14:textId="77777777" w:rsidR="00D3478A" w:rsidRDefault="00D3478A" w:rsidP="001861D6">
            <w:pPr>
              <w:pStyle w:val="TableText"/>
            </w:pPr>
          </w:p>
        </w:tc>
        <w:tc>
          <w:tcPr>
            <w:tcW w:w="624" w:type="dxa"/>
          </w:tcPr>
          <w:p w14:paraId="548144F2" w14:textId="77777777" w:rsidR="00D3478A" w:rsidRDefault="00D3478A" w:rsidP="001861D6">
            <w:pPr>
              <w:pStyle w:val="TableText"/>
            </w:pPr>
          </w:p>
        </w:tc>
        <w:tc>
          <w:tcPr>
            <w:tcW w:w="624" w:type="dxa"/>
          </w:tcPr>
          <w:p w14:paraId="7E3EE395" w14:textId="77777777" w:rsidR="00D3478A" w:rsidRDefault="00D3478A" w:rsidP="001861D6">
            <w:pPr>
              <w:pStyle w:val="TableText"/>
            </w:pPr>
          </w:p>
        </w:tc>
        <w:tc>
          <w:tcPr>
            <w:tcW w:w="624" w:type="dxa"/>
          </w:tcPr>
          <w:p w14:paraId="4DADCC01" w14:textId="77777777" w:rsidR="00D3478A" w:rsidRDefault="00D3478A" w:rsidP="001861D6">
            <w:pPr>
              <w:pStyle w:val="TableText"/>
            </w:pPr>
          </w:p>
        </w:tc>
        <w:tc>
          <w:tcPr>
            <w:tcW w:w="4650" w:type="dxa"/>
          </w:tcPr>
          <w:p w14:paraId="1F782C64" w14:textId="77777777" w:rsidR="00D3478A" w:rsidRDefault="00D3478A" w:rsidP="001861D6">
            <w:pPr>
              <w:pStyle w:val="TableBlock"/>
            </w:pPr>
            <w:r>
              <w:rPr>
                <w:rFonts w:hint="cs"/>
                <w:rtl/>
              </w:rPr>
              <w:t xml:space="preserve">(ג) </w:t>
            </w:r>
            <w:r>
              <w:rPr>
                <w:rtl/>
              </w:rPr>
              <w:tab/>
            </w:r>
            <w:r>
              <w:rPr>
                <w:rFonts w:hint="cs"/>
                <w:rtl/>
              </w:rPr>
              <w:t xml:space="preserve">עובד שהוא הורה שכול שפוטר מעבודתו סמוך לפני הגיעו לגיל הפרישה יחולו עליו הוראות סעיף זה כאילו הגיע אותה שעה לגיל הפרישה זולת אם הוכח כי פיטוריו נעשו שלא כדי להימנע ממילוי הוראות סעיף זה. </w:t>
            </w:r>
          </w:p>
        </w:tc>
      </w:tr>
      <w:tr w:rsidR="00D3478A" w14:paraId="0F3380C2" w14:textId="77777777" w:rsidTr="001861D6">
        <w:trPr>
          <w:cantSplit/>
          <w:trHeight w:val="60"/>
        </w:trPr>
        <w:tc>
          <w:tcPr>
            <w:tcW w:w="1871" w:type="dxa"/>
          </w:tcPr>
          <w:p w14:paraId="522A6E16" w14:textId="77777777" w:rsidR="00D3478A" w:rsidRDefault="00D3478A" w:rsidP="001861D6">
            <w:pPr>
              <w:pStyle w:val="TableSideHeading"/>
            </w:pPr>
          </w:p>
        </w:tc>
        <w:tc>
          <w:tcPr>
            <w:tcW w:w="624" w:type="dxa"/>
          </w:tcPr>
          <w:p w14:paraId="40CE146A" w14:textId="77777777" w:rsidR="00D3478A" w:rsidRDefault="00D3478A" w:rsidP="001861D6">
            <w:pPr>
              <w:pStyle w:val="TableText"/>
            </w:pPr>
          </w:p>
        </w:tc>
        <w:tc>
          <w:tcPr>
            <w:tcW w:w="624" w:type="dxa"/>
          </w:tcPr>
          <w:p w14:paraId="3CF1F8DB" w14:textId="77777777" w:rsidR="00D3478A" w:rsidRDefault="00D3478A" w:rsidP="001861D6">
            <w:pPr>
              <w:pStyle w:val="TableText"/>
            </w:pPr>
          </w:p>
        </w:tc>
        <w:tc>
          <w:tcPr>
            <w:tcW w:w="624" w:type="dxa"/>
          </w:tcPr>
          <w:p w14:paraId="29E4B4F0" w14:textId="77777777" w:rsidR="00D3478A" w:rsidRDefault="00D3478A" w:rsidP="001861D6">
            <w:pPr>
              <w:pStyle w:val="TableText"/>
            </w:pPr>
          </w:p>
        </w:tc>
        <w:tc>
          <w:tcPr>
            <w:tcW w:w="624" w:type="dxa"/>
          </w:tcPr>
          <w:p w14:paraId="45FE2AB0" w14:textId="77777777" w:rsidR="00D3478A" w:rsidRDefault="00D3478A" w:rsidP="001861D6">
            <w:pPr>
              <w:pStyle w:val="TableText"/>
            </w:pPr>
          </w:p>
        </w:tc>
        <w:tc>
          <w:tcPr>
            <w:tcW w:w="624" w:type="dxa"/>
          </w:tcPr>
          <w:p w14:paraId="42B87110" w14:textId="77777777" w:rsidR="00D3478A" w:rsidRDefault="00D3478A" w:rsidP="001861D6">
            <w:pPr>
              <w:pStyle w:val="TableText"/>
            </w:pPr>
          </w:p>
        </w:tc>
        <w:tc>
          <w:tcPr>
            <w:tcW w:w="4650" w:type="dxa"/>
          </w:tcPr>
          <w:p w14:paraId="38D64576" w14:textId="77777777" w:rsidR="00D3478A" w:rsidRDefault="00D3478A" w:rsidP="001861D6">
            <w:pPr>
              <w:pStyle w:val="TableBlock"/>
              <w:rPr>
                <w:rtl/>
              </w:rPr>
            </w:pPr>
            <w:r>
              <w:rPr>
                <w:rFonts w:hint="cs"/>
                <w:rtl/>
              </w:rPr>
              <w:t xml:space="preserve">(ד) </w:t>
            </w:r>
            <w:r>
              <w:rPr>
                <w:rtl/>
              </w:rPr>
              <w:tab/>
            </w:r>
            <w:r>
              <w:rPr>
                <w:rFonts w:hint="cs"/>
                <w:rtl/>
              </w:rPr>
              <w:t xml:space="preserve">לעניין סעיף זה </w:t>
            </w:r>
            <w:r>
              <w:rPr>
                <w:rFonts w:hint="eastAsia"/>
                <w:rtl/>
              </w:rPr>
              <w:t>–</w:t>
            </w:r>
          </w:p>
        </w:tc>
      </w:tr>
      <w:tr w:rsidR="00D3478A" w14:paraId="31453C95" w14:textId="77777777" w:rsidTr="001861D6">
        <w:trPr>
          <w:cantSplit/>
          <w:trHeight w:val="60"/>
        </w:trPr>
        <w:tc>
          <w:tcPr>
            <w:tcW w:w="1871" w:type="dxa"/>
          </w:tcPr>
          <w:p w14:paraId="45DF517E" w14:textId="77777777" w:rsidR="00D3478A" w:rsidRDefault="00D3478A" w:rsidP="001861D6">
            <w:pPr>
              <w:pStyle w:val="TableSideHeading"/>
            </w:pPr>
          </w:p>
        </w:tc>
        <w:tc>
          <w:tcPr>
            <w:tcW w:w="624" w:type="dxa"/>
          </w:tcPr>
          <w:p w14:paraId="23461F66" w14:textId="77777777" w:rsidR="00D3478A" w:rsidRDefault="00D3478A" w:rsidP="001861D6">
            <w:pPr>
              <w:pStyle w:val="TableText"/>
            </w:pPr>
          </w:p>
        </w:tc>
        <w:tc>
          <w:tcPr>
            <w:tcW w:w="624" w:type="dxa"/>
          </w:tcPr>
          <w:p w14:paraId="542F509D" w14:textId="77777777" w:rsidR="00D3478A" w:rsidRDefault="00D3478A" w:rsidP="001861D6">
            <w:pPr>
              <w:pStyle w:val="TableText"/>
            </w:pPr>
          </w:p>
        </w:tc>
        <w:tc>
          <w:tcPr>
            <w:tcW w:w="624" w:type="dxa"/>
          </w:tcPr>
          <w:p w14:paraId="36347898" w14:textId="77777777" w:rsidR="00D3478A" w:rsidRDefault="00D3478A" w:rsidP="001861D6">
            <w:pPr>
              <w:pStyle w:val="TableText"/>
            </w:pPr>
          </w:p>
        </w:tc>
        <w:tc>
          <w:tcPr>
            <w:tcW w:w="624" w:type="dxa"/>
          </w:tcPr>
          <w:p w14:paraId="160325BB" w14:textId="77777777" w:rsidR="00D3478A" w:rsidRDefault="00D3478A" w:rsidP="001861D6">
            <w:pPr>
              <w:pStyle w:val="TableText"/>
            </w:pPr>
          </w:p>
        </w:tc>
        <w:tc>
          <w:tcPr>
            <w:tcW w:w="624" w:type="dxa"/>
          </w:tcPr>
          <w:p w14:paraId="11CB277E" w14:textId="77777777" w:rsidR="00D3478A" w:rsidRDefault="00D3478A" w:rsidP="001861D6">
            <w:pPr>
              <w:pStyle w:val="TableText"/>
            </w:pPr>
          </w:p>
        </w:tc>
        <w:tc>
          <w:tcPr>
            <w:tcW w:w="4650" w:type="dxa"/>
          </w:tcPr>
          <w:p w14:paraId="39B6B4DC" w14:textId="17EE1A59" w:rsidR="00D3478A" w:rsidRDefault="00D3478A" w:rsidP="008C084E">
            <w:pPr>
              <w:pStyle w:val="TableBlock"/>
              <w:rPr>
                <w:rtl/>
              </w:rPr>
            </w:pPr>
            <w:r>
              <w:rPr>
                <w:rFonts w:hint="cs"/>
                <w:rtl/>
              </w:rPr>
              <w:t xml:space="preserve">"הורה שכול" </w:t>
            </w:r>
            <w:r>
              <w:rPr>
                <w:rFonts w:hint="eastAsia"/>
                <w:rtl/>
              </w:rPr>
              <w:t>–</w:t>
            </w:r>
            <w:r>
              <w:rPr>
                <w:rFonts w:hint="cs"/>
                <w:rtl/>
              </w:rPr>
              <w:t xml:space="preserve"> מי שילדו נפטר על פניו</w:t>
            </w:r>
            <w:r w:rsidR="008C084E">
              <w:rPr>
                <w:rFonts w:hint="cs"/>
                <w:rtl/>
              </w:rPr>
              <w:t>".</w:t>
            </w:r>
          </w:p>
        </w:tc>
      </w:tr>
    </w:tbl>
    <w:p w14:paraId="3C615E08" w14:textId="77777777" w:rsidR="00D3478A" w:rsidRDefault="00D3478A" w:rsidP="00D3478A">
      <w:pPr>
        <w:pStyle w:val="HeadDivreiHesber"/>
        <w:rPr>
          <w:rtl/>
        </w:rPr>
      </w:pPr>
      <w:r w:rsidRPr="0027450A">
        <w:rPr>
          <w:rFonts w:hint="cs"/>
          <w:rtl/>
        </w:rPr>
        <w:t>דברי הסבר</w:t>
      </w:r>
    </w:p>
    <w:p w14:paraId="7E6122DB" w14:textId="77777777" w:rsidR="00D3478A" w:rsidRPr="0059497D" w:rsidRDefault="00D3478A" w:rsidP="00D3478A">
      <w:pPr>
        <w:pStyle w:val="Hesber"/>
        <w:rPr>
          <w:rtl/>
        </w:rPr>
      </w:pPr>
      <w:r w:rsidRPr="0059497D">
        <w:rPr>
          <w:rFonts w:hint="cs"/>
          <w:rtl/>
        </w:rPr>
        <w:t>כחלק מהניסיון שלא לשקוע באסונם מחפשים הורים שכולים עיסוקים שיאפשרו להם להתמודד עם האובדן. חלקם מוצאים מסגרות התנדבות, חלקם שוקעים בעבודה. חובת גיל הפרישה, שלב בחיים בו אדם מוצא את עצמו חסר מסגרת קבועה בחיי היום יום, יכולה להיות נקודת שבר להורים שכולים.</w:t>
      </w:r>
    </w:p>
    <w:p w14:paraId="6F833679" w14:textId="66B11DA1" w:rsidR="00D3478A" w:rsidRPr="0059497D" w:rsidRDefault="00D3478A" w:rsidP="00D3478A">
      <w:pPr>
        <w:pStyle w:val="Hesber"/>
        <w:rPr>
          <w:rtl/>
        </w:rPr>
      </w:pPr>
      <w:r w:rsidRPr="0059497D">
        <w:rPr>
          <w:rFonts w:hint="cs"/>
          <w:rtl/>
        </w:rPr>
        <w:t xml:space="preserve">בעיה מוכרת זו באה לידי ביטוי בחוק לפני כמעט 40 שנה, כאשר קבע המחוקק </w:t>
      </w:r>
      <w:r w:rsidRPr="00023E12">
        <w:rPr>
          <w:rFonts w:hint="eastAsia"/>
          <w:rtl/>
        </w:rPr>
        <w:t>ב</w:t>
      </w:r>
      <w:r w:rsidRPr="00023E12">
        <w:rPr>
          <w:rtl/>
        </w:rPr>
        <w:t xml:space="preserve">חוק משפחות חיילים שנספו במערכה (תגמולים ושיקום), </w:t>
      </w:r>
      <w:r>
        <w:rPr>
          <w:rFonts w:hint="cs"/>
          <w:rtl/>
        </w:rPr>
        <w:t>ה</w:t>
      </w:r>
      <w:r w:rsidRPr="00023E12">
        <w:rPr>
          <w:rtl/>
        </w:rPr>
        <w:t xml:space="preserve">תש"י-1950, </w:t>
      </w:r>
      <w:r w:rsidRPr="00023E12">
        <w:rPr>
          <w:rFonts w:hint="eastAsia"/>
          <w:rtl/>
        </w:rPr>
        <w:t>בתיקון</w:t>
      </w:r>
      <w:r w:rsidRPr="00023E12">
        <w:rPr>
          <w:rtl/>
        </w:rPr>
        <w:t xml:space="preserve"> </w:t>
      </w:r>
      <w:r w:rsidRPr="00023E12">
        <w:rPr>
          <w:rFonts w:hint="eastAsia"/>
          <w:rtl/>
        </w:rPr>
        <w:t>מס</w:t>
      </w:r>
      <w:r w:rsidRPr="00023E12">
        <w:rPr>
          <w:rtl/>
        </w:rPr>
        <w:t xml:space="preserve">' 10 </w:t>
      </w:r>
      <w:r w:rsidRPr="00023E12">
        <w:rPr>
          <w:rFonts w:hint="eastAsia"/>
          <w:rtl/>
        </w:rPr>
        <w:t>לחוק</w:t>
      </w:r>
      <w:r w:rsidRPr="0059497D">
        <w:rPr>
          <w:rFonts w:hint="cs"/>
          <w:rtl/>
        </w:rPr>
        <w:t>, חובת העסקה לאחר גיל פרישה. בתיקון חוק זה קבע המחוקק שלמעסיק אין אפשרות לפטר עובד שהינו אב שכול שילדו נהרג במ</w:t>
      </w:r>
      <w:r>
        <w:rPr>
          <w:rFonts w:hint="cs"/>
          <w:rtl/>
        </w:rPr>
        <w:t xml:space="preserve">ערכה צבאית, ולפיכך </w:t>
      </w:r>
      <w:proofErr w:type="spellStart"/>
      <w:r>
        <w:rPr>
          <w:rFonts w:hint="cs"/>
          <w:rtl/>
        </w:rPr>
        <w:t>מחוייב</w:t>
      </w:r>
      <w:proofErr w:type="spellEnd"/>
      <w:r>
        <w:rPr>
          <w:rFonts w:hint="cs"/>
          <w:rtl/>
        </w:rPr>
        <w:t xml:space="preserve"> המעסיק</w:t>
      </w:r>
      <w:r w:rsidRPr="0059497D">
        <w:rPr>
          <w:rFonts w:hint="cs"/>
          <w:rtl/>
        </w:rPr>
        <w:t xml:space="preserve"> להעסיקו לתקופה של 5 שנים נוספות לאחר גיל הפרישה. </w:t>
      </w:r>
    </w:p>
    <w:p w14:paraId="49F8C629" w14:textId="70ADC4D2" w:rsidR="00D3478A" w:rsidRPr="006A2395" w:rsidRDefault="00D3478A" w:rsidP="001935C1">
      <w:pPr>
        <w:pStyle w:val="Hesber"/>
        <w:rPr>
          <w:rtl/>
        </w:rPr>
      </w:pPr>
      <w:r w:rsidRPr="006A2395">
        <w:rPr>
          <w:rFonts w:hint="cs"/>
          <w:rtl/>
        </w:rPr>
        <w:t>הצעת חוק זו</w:t>
      </w:r>
      <w:r w:rsidRPr="006A2395">
        <w:rPr>
          <w:rtl/>
        </w:rPr>
        <w:t xml:space="preserve"> </w:t>
      </w:r>
      <w:r w:rsidR="001935C1">
        <w:rPr>
          <w:rFonts w:hint="cs"/>
          <w:rtl/>
        </w:rPr>
        <w:t>נועדה</w:t>
      </w:r>
      <w:r w:rsidRPr="006A2395">
        <w:rPr>
          <w:rFonts w:hint="cs"/>
          <w:rtl/>
        </w:rPr>
        <w:t xml:space="preserve"> לקבוע מנגנון דומה לזה הקיים על הורים שכולים שילדם נספה במערכה צבאית על כלל ההורים השכולים. הורה שכול הוא ה</w:t>
      </w:r>
      <w:r>
        <w:rPr>
          <w:rFonts w:hint="cs"/>
          <w:rtl/>
        </w:rPr>
        <w:t>ורה שכול, ואת הכאב לא ניתן לרפא,</w:t>
      </w:r>
      <w:r w:rsidRPr="006A2395">
        <w:rPr>
          <w:rFonts w:hint="cs"/>
          <w:rtl/>
        </w:rPr>
        <w:t xml:space="preserve"> בין אם מדובר על ילד שנהרג במערכה צבאית ובין אם הוא נהרג בתאונת דרכים, מחלה קשה או בכל דרך אחרת, קשה ככל שתהיה. עקב רגישות הנושא ההצעה מאפשרת לשר להתקין תקנות, בין השאר לגבי חריגים לחוק.</w:t>
      </w:r>
    </w:p>
    <w:p w14:paraId="67D6EF0E" w14:textId="77777777" w:rsidR="00D3478A" w:rsidRDefault="00D3478A" w:rsidP="00D3478A">
      <w:pPr>
        <w:pStyle w:val="Hesber"/>
        <w:rPr>
          <w:rtl/>
        </w:rPr>
      </w:pPr>
    </w:p>
    <w:p w14:paraId="5564938A" w14:textId="77777777" w:rsidR="001935C1" w:rsidRPr="0022704F" w:rsidRDefault="001935C1" w:rsidP="001935C1">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0E7CFAAA" w14:textId="77777777" w:rsidR="001935C1" w:rsidRPr="0022704F" w:rsidRDefault="001935C1" w:rsidP="001935C1">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6BA903F4" w14:textId="77777777" w:rsidR="001935C1" w:rsidRPr="0022704F" w:rsidRDefault="001935C1" w:rsidP="001935C1">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31260B18" w14:textId="319599C7" w:rsidR="00D3478A" w:rsidRPr="00557D2C" w:rsidRDefault="001935C1" w:rsidP="001935C1">
      <w:pPr>
        <w:spacing w:before="0" w:line="360" w:lineRule="auto"/>
        <w:ind w:left="340" w:firstLine="0"/>
        <w:rPr>
          <w:rtl/>
        </w:rPr>
      </w:pPr>
      <w:r>
        <w:rPr>
          <w:rFonts w:ascii="Arial" w:eastAsia="Arial Unicode MS" w:hAnsi="Arial" w:cs="David" w:hint="cs"/>
          <w:snapToGrid w:val="0"/>
          <w:spacing w:val="0"/>
          <w:sz w:val="20"/>
          <w:szCs w:val="26"/>
          <w:rtl/>
        </w:rPr>
        <w:t xml:space="preserve">כ"ז בחשוון </w:t>
      </w:r>
      <w:proofErr w:type="spellStart"/>
      <w:r>
        <w:rPr>
          <w:rFonts w:ascii="Arial" w:eastAsia="Arial Unicode MS" w:hAnsi="Arial" w:cs="David" w:hint="cs"/>
          <w:snapToGrid w:val="0"/>
          <w:spacing w:val="0"/>
          <w:sz w:val="20"/>
          <w:szCs w:val="26"/>
          <w:rtl/>
        </w:rPr>
        <w:t>התשע"ו</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9</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11</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6C525100" w14:textId="76CA8704" w:rsidR="0008646B" w:rsidRPr="00557D2C" w:rsidRDefault="0008646B" w:rsidP="0008646B">
      <w:pPr>
        <w:pStyle w:val="Hesber"/>
        <w:rPr>
          <w:rtl/>
        </w:rPr>
      </w:pPr>
    </w:p>
    <w:sectPr w:rsidR="0008646B" w:rsidRPr="00557D2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A2E690" w14:textId="77777777" w:rsidR="00E70830" w:rsidRDefault="00E70830">
      <w:r>
        <w:separator/>
      </w:r>
    </w:p>
  </w:endnote>
  <w:endnote w:type="continuationSeparator" w:id="0">
    <w:p w14:paraId="55F67D57" w14:textId="77777777" w:rsidR="00E70830" w:rsidRDefault="00E70830">
      <w:r>
        <w:continuationSeparator/>
      </w:r>
    </w:p>
  </w:endnote>
  <w:endnote w:type="continuationNotice" w:id="1">
    <w:p w14:paraId="084A749B" w14:textId="77777777" w:rsidR="00E70830" w:rsidRDefault="00E70830">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A4169">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AEF488" w14:textId="77777777" w:rsidR="00E70830" w:rsidRDefault="00E70830">
      <w:r>
        <w:separator/>
      </w:r>
    </w:p>
  </w:footnote>
  <w:footnote w:type="continuationSeparator" w:id="0">
    <w:p w14:paraId="1B6F50F1" w14:textId="77777777" w:rsidR="00E70830" w:rsidRDefault="00E70830">
      <w:r>
        <w:continuationSeparator/>
      </w:r>
    </w:p>
  </w:footnote>
  <w:footnote w:type="continuationNotice" w:id="1">
    <w:p w14:paraId="25CF3DFD" w14:textId="77777777" w:rsidR="00E70830" w:rsidRDefault="00E70830"/>
  </w:footnote>
  <w:footnote w:id="2">
    <w:p w14:paraId="1B84718F" w14:textId="77777777" w:rsidR="00D3478A" w:rsidRDefault="00D3478A" w:rsidP="00D3478A">
      <w:pPr>
        <w:pStyle w:val="a4"/>
        <w:rPr>
          <w:rtl/>
        </w:rPr>
      </w:pPr>
      <w:r>
        <w:rPr>
          <w:rStyle w:val="a6"/>
        </w:rPr>
        <w:footnoteRef/>
      </w:r>
      <w:r>
        <w:rPr>
          <w:rtl/>
        </w:rPr>
        <w:t xml:space="preserve"> </w:t>
      </w:r>
      <w:r>
        <w:rPr>
          <w:rFonts w:hint="cs"/>
          <w:rtl/>
        </w:rPr>
        <w:t xml:space="preserve">ס"ח </w:t>
      </w:r>
      <w:proofErr w:type="spellStart"/>
      <w:r>
        <w:rPr>
          <w:rFonts w:hint="cs"/>
          <w:rtl/>
        </w:rPr>
        <w:t>התשס"ד</w:t>
      </w:r>
      <w:proofErr w:type="spellEnd"/>
      <w:r>
        <w:rPr>
          <w:rFonts w:hint="cs"/>
          <w:rtl/>
        </w:rPr>
        <w:t>, עמ' 46.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4D247A"/>
    <w:multiLevelType w:val="hybridMultilevel"/>
    <w:tmpl w:val="8488E7C8"/>
    <w:lvl w:ilvl="0" w:tplc="49BE7798">
      <w:start w:val="1"/>
      <w:numFmt w:val="hebrew1"/>
      <w:lvlText w:val="(%1)"/>
      <w:lvlJc w:val="left"/>
      <w:pPr>
        <w:ind w:left="630" w:hanging="63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8646B"/>
    <w:rsid w:val="000A542E"/>
    <w:rsid w:val="00102B6B"/>
    <w:rsid w:val="001052D4"/>
    <w:rsid w:val="0010644B"/>
    <w:rsid w:val="001207F8"/>
    <w:rsid w:val="00121924"/>
    <w:rsid w:val="001279A8"/>
    <w:rsid w:val="0014195F"/>
    <w:rsid w:val="00152609"/>
    <w:rsid w:val="00153E1B"/>
    <w:rsid w:val="001935C1"/>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169"/>
    <w:rsid w:val="002A487D"/>
    <w:rsid w:val="002B79EF"/>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A61C3"/>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512F4"/>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084E"/>
    <w:rsid w:val="008C2DDC"/>
    <w:rsid w:val="008C7516"/>
    <w:rsid w:val="008E6EC7"/>
    <w:rsid w:val="008F0D63"/>
    <w:rsid w:val="008F1308"/>
    <w:rsid w:val="008F2C35"/>
    <w:rsid w:val="008F6665"/>
    <w:rsid w:val="00904591"/>
    <w:rsid w:val="00905E5F"/>
    <w:rsid w:val="0091204F"/>
    <w:rsid w:val="00917861"/>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62F07"/>
    <w:rsid w:val="00C9176A"/>
    <w:rsid w:val="00CF1AA2"/>
    <w:rsid w:val="00D17774"/>
    <w:rsid w:val="00D3478A"/>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70830"/>
    <w:rsid w:val="00EA01E6"/>
    <w:rsid w:val="00EA3DE8"/>
    <w:rsid w:val="00EA758F"/>
    <w:rsid w:val="00ED4A6F"/>
    <w:rsid w:val="00EF3A3A"/>
    <w:rsid w:val="00F20AE9"/>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701CAED7-9A37-46F1-ACA0-AA798B058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08646B"/>
    <w:rPr>
      <w:rFonts w:ascii="Arial" w:eastAsia="Arial Unicode MS" w:hAnsi="Arial" w:cs="David"/>
      <w:snapToGrid w:val="0"/>
      <w:color w:val="000000"/>
      <w:sz w:val="14"/>
      <w:lang w:eastAsia="ja-JP"/>
    </w:rPr>
  </w:style>
  <w:style w:type="character" w:customStyle="1" w:styleId="default">
    <w:name w:val="default"/>
    <w:basedOn w:val="a0"/>
    <w:rsid w:val="00C62F07"/>
    <w:rPr>
      <w:rFonts w:ascii="Times New Roman" w:hAnsi="Times New Roman" w:cs="Times New Roman"/>
      <w:sz w:val="26"/>
      <w:szCs w:val="26"/>
    </w:rPr>
  </w:style>
  <w:style w:type="paragraph" w:customStyle="1" w:styleId="P22">
    <w:name w:val="P22"/>
    <w:basedOn w:val="a"/>
    <w:rsid w:val="00C62F07"/>
    <w:pPr>
      <w:tabs>
        <w:tab w:val="left" w:pos="1474"/>
        <w:tab w:val="left" w:pos="1928"/>
        <w:tab w:val="left" w:pos="2381"/>
        <w:tab w:val="left" w:pos="2835"/>
        <w:tab w:val="right" w:leader="dot" w:pos="6259"/>
      </w:tabs>
      <w:suppressAutoHyphens/>
      <w:adjustRightInd/>
      <w:spacing w:before="60" w:line="240" w:lineRule="auto"/>
      <w:ind w:left="2835" w:right="1021" w:firstLine="0"/>
      <w:textAlignment w:val="auto"/>
    </w:pPr>
    <w:rPr>
      <w:rFonts w:ascii="Times New Roman" w:eastAsia="Times New Roman" w:hAnsi="Times New Roman" w:cs="Times New Roman"/>
      <w:noProof/>
      <w:color w:val="auto"/>
      <w:spacing w:val="0"/>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221FF1-24D9-4804-8580-829590220356}"/>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BDCB3E14-8653-4FA0-BAD6-D3FE6A1202F7}"/>
</file>

<file path=docProps/app.xml><?xml version="1.0" encoding="utf-8"?>
<Properties xmlns="http://schemas.openxmlformats.org/officeDocument/2006/extended-properties" xmlns:vt="http://schemas.openxmlformats.org/officeDocument/2006/docPropsVTypes">
  <Template>Normal</Template>
  <TotalTime>1</TotalTime>
  <Pages>2</Pages>
  <Words>379</Words>
  <Characters>1896</Characters>
  <Application>Microsoft Office Word</Application>
  <DocSecurity>0</DocSecurity>
  <Lines>15</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2015-11-08T09:32:00Z</cp:lastPrinted>
  <dcterms:created xsi:type="dcterms:W3CDTF">2016-07-13T10:46:00Z</dcterms:created>
  <dcterms:modified xsi:type="dcterms:W3CDTF">2016-07-13T10:46:00Z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2005762</vt:r8>
  </property>
</Properties>
</file>