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577361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עיסאווי פריג'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עאידה תומא סלימאן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פ/2862/20</w:t>
      </w:r>
      <w:bookmarkEnd w:id="7"/>
    </w:p>
    <w:p w14:paraId="7F6961AD" w14:textId="05E5736F" w:rsidR="00E13C27" w:rsidRPr="009E6188" w:rsidRDefault="00A443CF" w:rsidP="002B161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שידורי טלוויזיה (כתוביות ושפת סימנים) (תיקון </w:t>
      </w:r>
      <w:r w:rsidR="002B1614">
        <w:rPr>
          <w:rFonts w:hint="eastAsia"/>
          <w:rtl/>
        </w:rPr>
        <w:t>–</w:t>
      </w:r>
      <w:r>
        <w:rPr>
          <w:rFonts w:hint="cs"/>
          <w:rtl/>
        </w:rPr>
        <w:t xml:space="preserve"> החלת החוק על פרסומות שאורכן אינו עולה על חמש דקות), התשע"ו</w:t>
      </w:r>
      <w:r w:rsidR="002B1614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Pr="00B7132A" w:rsidRDefault="00E13C27" w:rsidP="0021633A">
      <w:pPr>
        <w:pStyle w:val="HeadDivreiHesber"/>
        <w:spacing w:before="0" w:after="0"/>
        <w:rPr>
          <w:b w:val="0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2F1D80" w:rsidRPr="00B7132A" w14:paraId="035EEF3D" w14:textId="77777777" w:rsidTr="006258DA">
        <w:trPr>
          <w:cantSplit/>
        </w:trPr>
        <w:tc>
          <w:tcPr>
            <w:tcW w:w="1871" w:type="dxa"/>
          </w:tcPr>
          <w:p w14:paraId="3863FF98" w14:textId="50E6D3D6" w:rsidR="000F376F" w:rsidRPr="00B7132A" w:rsidRDefault="006258DA" w:rsidP="006258D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10</w:t>
            </w:r>
          </w:p>
        </w:tc>
        <w:tc>
          <w:tcPr>
            <w:tcW w:w="624" w:type="dxa"/>
          </w:tcPr>
          <w:p w14:paraId="6F513EF6" w14:textId="2B162C36" w:rsidR="002F1D80" w:rsidRPr="00B7132A" w:rsidRDefault="00E93CF4" w:rsidP="002C3041">
            <w:pPr>
              <w:pStyle w:val="TableText"/>
              <w:keepLines w:val="0"/>
            </w:pPr>
            <w:r w:rsidRPr="00B7132A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1AE94DEB" w14:textId="5B70DCA2" w:rsidR="002F1D80" w:rsidRPr="004F29F6" w:rsidRDefault="00E93CF4" w:rsidP="004F29F6">
            <w:pPr>
              <w:pStyle w:val="TableBlock"/>
            </w:pPr>
            <w:r w:rsidRPr="006258DA">
              <w:rPr>
                <w:rFonts w:hint="eastAsia"/>
                <w:rtl/>
              </w:rPr>
              <w:t>בחוק</w:t>
            </w:r>
            <w:r w:rsidRPr="006258DA">
              <w:rPr>
                <w:rtl/>
              </w:rPr>
              <w:t xml:space="preserve"> </w:t>
            </w:r>
            <w:r w:rsidRPr="006258DA">
              <w:rPr>
                <w:rFonts w:hint="eastAsia"/>
                <w:rtl/>
              </w:rPr>
              <w:t>שידור</w:t>
            </w:r>
            <w:r w:rsidR="006258DA">
              <w:rPr>
                <w:rFonts w:hint="cs"/>
                <w:rtl/>
              </w:rPr>
              <w:t>י</w:t>
            </w:r>
            <w:r w:rsidRPr="006258DA">
              <w:rPr>
                <w:rtl/>
              </w:rPr>
              <w:t xml:space="preserve"> טלוויזיה (כתוביות ושפת סימנים), </w:t>
            </w:r>
            <w:r w:rsidR="006258DA">
              <w:rPr>
                <w:rFonts w:hint="cs"/>
                <w:rtl/>
              </w:rPr>
              <w:t>ה</w:t>
            </w:r>
            <w:r w:rsidRPr="006258DA">
              <w:rPr>
                <w:rFonts w:hint="eastAsia"/>
                <w:rtl/>
              </w:rPr>
              <w:t>תשס</w:t>
            </w:r>
            <w:r w:rsidRPr="006258DA">
              <w:rPr>
                <w:rtl/>
              </w:rPr>
              <w:t>"ה</w:t>
            </w:r>
            <w:r w:rsidR="006258DA">
              <w:rPr>
                <w:rFonts w:hint="eastAsia"/>
                <w:rtl/>
              </w:rPr>
              <w:t>–</w:t>
            </w:r>
            <w:r w:rsidR="00537525" w:rsidRPr="006258DA">
              <w:rPr>
                <w:rtl/>
              </w:rPr>
              <w:t>2005</w:t>
            </w:r>
            <w:r w:rsidR="006258DA">
              <w:rPr>
                <w:rStyle w:val="a5"/>
                <w:rtl/>
              </w:rPr>
              <w:footnoteReference w:id="2"/>
            </w:r>
            <w:r w:rsidR="006258DA">
              <w:rPr>
                <w:rFonts w:hint="cs"/>
                <w:rtl/>
              </w:rPr>
              <w:t>,</w:t>
            </w:r>
            <w:r w:rsidR="005930B6" w:rsidRPr="006258DA">
              <w:rPr>
                <w:rtl/>
              </w:rPr>
              <w:t xml:space="preserve"> </w:t>
            </w:r>
            <w:r w:rsidR="006258DA">
              <w:rPr>
                <w:rFonts w:hint="cs"/>
                <w:rtl/>
              </w:rPr>
              <w:t xml:space="preserve">בסעיף 10, סעיף קטן (ח) </w:t>
            </w:r>
            <w:r w:rsidR="006258DA">
              <w:rPr>
                <w:rFonts w:hint="eastAsia"/>
                <w:rtl/>
              </w:rPr>
              <w:t>– יימחק.</w:t>
            </w:r>
          </w:p>
        </w:tc>
      </w:tr>
    </w:tbl>
    <w:p w14:paraId="55427E35" w14:textId="29237BF1" w:rsidR="00C42195" w:rsidRPr="004F29F6" w:rsidRDefault="002D1EE3" w:rsidP="004F29F6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D039CBA" w14:textId="5CAA6AED" w:rsidR="004574CB" w:rsidRDefault="004574CB" w:rsidP="004F29F6">
      <w:pPr>
        <w:pStyle w:val="Hesber"/>
        <w:rPr>
          <w:rtl/>
        </w:rPr>
      </w:pPr>
      <w:r>
        <w:rPr>
          <w:rFonts w:hint="cs"/>
          <w:rtl/>
        </w:rPr>
        <w:t>חוק שידורי טלוויזיה (כתוביות ושפת סימנים), התשס"ה</w:t>
      </w:r>
      <w:r>
        <w:rPr>
          <w:rFonts w:hint="eastAsia"/>
          <w:rtl/>
        </w:rPr>
        <w:t>–2005</w:t>
      </w:r>
      <w:r w:rsidR="00A524E5">
        <w:rPr>
          <w:rFonts w:hint="cs"/>
          <w:rtl/>
        </w:rPr>
        <w:t xml:space="preserve"> (להלן </w:t>
      </w:r>
      <w:r w:rsidR="00A524E5">
        <w:rPr>
          <w:rFonts w:hint="eastAsia"/>
          <w:rtl/>
        </w:rPr>
        <w:t>– החוק</w:t>
      </w:r>
      <w:r w:rsidR="00A524E5">
        <w:rPr>
          <w:rFonts w:hint="cs"/>
          <w:rtl/>
        </w:rPr>
        <w:t>)</w:t>
      </w:r>
      <w:r>
        <w:rPr>
          <w:rFonts w:hint="eastAsia"/>
          <w:rtl/>
        </w:rPr>
        <w:t>, קובע הוראות לעניין ליווי משדרי טלוויזיה, מסוגים שונים, בכתוביות</w:t>
      </w:r>
      <w:r w:rsidR="00A524E5">
        <w:rPr>
          <w:rFonts w:hint="cs"/>
          <w:rtl/>
        </w:rPr>
        <w:t xml:space="preserve"> ובתרגום לשפת סימנים</w:t>
      </w:r>
      <w:r>
        <w:rPr>
          <w:rFonts w:hint="eastAsia"/>
          <w:rtl/>
        </w:rPr>
        <w:t xml:space="preserve">. </w:t>
      </w:r>
      <w:r>
        <w:rPr>
          <w:rFonts w:hint="cs"/>
          <w:rtl/>
        </w:rPr>
        <w:t>סעיף 10</w:t>
      </w:r>
      <w:r w:rsidR="00A524E5">
        <w:rPr>
          <w:rFonts w:hint="cs"/>
          <w:rtl/>
        </w:rPr>
        <w:t xml:space="preserve"> לחוק קובע פטורים מתחולת הוראות החוק,</w:t>
      </w:r>
      <w:r>
        <w:rPr>
          <w:rFonts w:hint="cs"/>
          <w:rtl/>
        </w:rPr>
        <w:t xml:space="preserve"> </w:t>
      </w:r>
      <w:r w:rsidR="00A524E5">
        <w:rPr>
          <w:rFonts w:hint="cs"/>
          <w:rtl/>
        </w:rPr>
        <w:t xml:space="preserve">ובכלל זה </w:t>
      </w:r>
      <w:r>
        <w:rPr>
          <w:rFonts w:hint="cs"/>
          <w:rtl/>
        </w:rPr>
        <w:t>כי "הוראות חוק זה לא יחולו על תשדיר פרסומת שאורכו אינו עולה על חמש דקות".</w:t>
      </w:r>
      <w:r w:rsidR="00526FFE">
        <w:rPr>
          <w:rFonts w:hint="cs"/>
          <w:rtl/>
        </w:rPr>
        <w:t xml:space="preserve"> דהיינו, לפי סעיף זה, לא חלה חובה</w:t>
      </w:r>
      <w:r w:rsidR="00A524E5">
        <w:rPr>
          <w:rFonts w:hint="cs"/>
          <w:rtl/>
        </w:rPr>
        <w:t xml:space="preserve"> ללוות בכתוביות או בתרגום לשפת סימנים תשדיר פרסומת שאורכו אינו</w:t>
      </w:r>
      <w:r w:rsidR="00526FFE">
        <w:rPr>
          <w:rFonts w:hint="cs"/>
          <w:rtl/>
        </w:rPr>
        <w:t xml:space="preserve"> </w:t>
      </w:r>
      <w:r w:rsidR="00A524E5">
        <w:rPr>
          <w:rFonts w:hint="cs"/>
          <w:rtl/>
        </w:rPr>
        <w:t>עולה על חמש דקות</w:t>
      </w:r>
      <w:r w:rsidR="00526FFE">
        <w:rPr>
          <w:rFonts w:hint="cs"/>
          <w:rtl/>
        </w:rPr>
        <w:t>.</w:t>
      </w:r>
    </w:p>
    <w:p w14:paraId="57A1A24E" w14:textId="2D73A03B" w:rsidR="00B14884" w:rsidRPr="004F29F6" w:rsidRDefault="00C42195" w:rsidP="004F29F6">
      <w:pPr>
        <w:pStyle w:val="Hesber"/>
        <w:rPr>
          <w:rtl/>
        </w:rPr>
      </w:pPr>
      <w:r w:rsidRPr="004F29F6">
        <w:rPr>
          <w:rtl/>
        </w:rPr>
        <w:t>בשל הפטור ה</w:t>
      </w:r>
      <w:r w:rsidR="00526FFE">
        <w:rPr>
          <w:rFonts w:hint="cs"/>
          <w:rtl/>
        </w:rPr>
        <w:t>אמור</w:t>
      </w:r>
      <w:r w:rsidRPr="00526FFE">
        <w:rPr>
          <w:rFonts w:hint="cs"/>
          <w:rtl/>
        </w:rPr>
        <w:t xml:space="preserve">, </w:t>
      </w:r>
      <w:r w:rsidR="00526FFE">
        <w:rPr>
          <w:rFonts w:hint="cs"/>
          <w:rtl/>
        </w:rPr>
        <w:t xml:space="preserve">אנשים </w:t>
      </w:r>
      <w:r w:rsidR="00A524E5">
        <w:rPr>
          <w:rFonts w:hint="cs"/>
          <w:rtl/>
        </w:rPr>
        <w:t>עם מוגבלות בשמיעה</w:t>
      </w:r>
      <w:r w:rsidR="00F22569" w:rsidRPr="004F29F6">
        <w:rPr>
          <w:rtl/>
        </w:rPr>
        <w:t xml:space="preserve"> מודרים</w:t>
      </w:r>
      <w:r w:rsidRPr="004F29F6">
        <w:rPr>
          <w:rtl/>
        </w:rPr>
        <w:t>,</w:t>
      </w:r>
      <w:r w:rsidR="00F22569" w:rsidRPr="004F29F6">
        <w:rPr>
          <w:rtl/>
        </w:rPr>
        <w:t xml:space="preserve"> הלכה למעשה</w:t>
      </w:r>
      <w:r w:rsidRPr="004F29F6">
        <w:rPr>
          <w:rtl/>
        </w:rPr>
        <w:t>,</w:t>
      </w:r>
      <w:r w:rsidR="00F22569" w:rsidRPr="004F29F6">
        <w:rPr>
          <w:rtl/>
        </w:rPr>
        <w:t xml:space="preserve"> מהפרסום בטלוויזיה, וכל הפסקת פרסומות הופכת ב</w:t>
      </w:r>
      <w:r w:rsidR="00A117F6" w:rsidRPr="004F29F6">
        <w:rPr>
          <w:rtl/>
        </w:rPr>
        <w:t>עבורם לתזכורת לשונותם ול</w:t>
      </w:r>
      <w:r w:rsidRPr="004F29F6">
        <w:rPr>
          <w:rtl/>
        </w:rPr>
        <w:t>מוגבלותם</w:t>
      </w:r>
      <w:r w:rsidR="00A117F6" w:rsidRPr="004F29F6">
        <w:rPr>
          <w:rtl/>
        </w:rPr>
        <w:t>.</w:t>
      </w:r>
      <w:r w:rsidR="00A524E5" w:rsidRPr="004F29F6">
        <w:rPr>
          <w:rtl/>
        </w:rPr>
        <w:t xml:space="preserve"> </w:t>
      </w:r>
      <w:r w:rsidRPr="004F29F6">
        <w:rPr>
          <w:rtl/>
        </w:rPr>
        <w:t>פטור</w:t>
      </w:r>
      <w:r w:rsidR="00A524E5">
        <w:rPr>
          <w:rFonts w:hint="cs"/>
          <w:rtl/>
        </w:rPr>
        <w:t xml:space="preserve"> זה</w:t>
      </w:r>
      <w:r w:rsidRPr="004F29F6">
        <w:rPr>
          <w:rtl/>
        </w:rPr>
        <w:t xml:space="preserve"> מחריג מתחולת החוק</w:t>
      </w:r>
      <w:r w:rsidR="004F29F6" w:rsidRPr="004F29F6">
        <w:rPr>
          <w:rtl/>
        </w:rPr>
        <w:t xml:space="preserve"> דווקא את ה</w:t>
      </w:r>
      <w:r w:rsidR="004F29F6">
        <w:rPr>
          <w:rFonts w:hint="cs"/>
          <w:rtl/>
        </w:rPr>
        <w:t>מישדרים</w:t>
      </w:r>
      <w:r w:rsidRPr="004F29F6">
        <w:rPr>
          <w:rtl/>
        </w:rPr>
        <w:t xml:space="preserve"> הקצרים ביותר</w:t>
      </w:r>
      <w:r w:rsidR="00DF1377">
        <w:rPr>
          <w:rFonts w:hint="cs"/>
          <w:rtl/>
        </w:rPr>
        <w:t>, שהכנת הכתוביות עבורם היא הקלה ביותר</w:t>
      </w:r>
      <w:r w:rsidR="00B14884" w:rsidRPr="004F29F6">
        <w:rPr>
          <w:rtl/>
        </w:rPr>
        <w:t>. הצעת חוק זו נועדה ל</w:t>
      </w:r>
      <w:r w:rsidR="00A524E5">
        <w:rPr>
          <w:rFonts w:hint="cs"/>
          <w:rtl/>
        </w:rPr>
        <w:t>בטל את הפטור האמור, שאין בו היגיון כפי שצוין לעיל, ולמחוק את סעיף קטן (ח) מסעיף 10 לחוק.</w:t>
      </w:r>
    </w:p>
    <w:p w14:paraId="4E8A28CA" w14:textId="77777777" w:rsidR="002B1614" w:rsidRPr="00D73212" w:rsidRDefault="002B1614" w:rsidP="002B1614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54BA174" w14:textId="77777777" w:rsidR="002B1614" w:rsidRPr="00D73212" w:rsidRDefault="002B1614" w:rsidP="002B1614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17DB156" w14:textId="77777777" w:rsidR="002B1614" w:rsidRPr="00D73212" w:rsidRDefault="002B1614" w:rsidP="002B1614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6F688C5F" w:rsidR="00E13C27" w:rsidRPr="002B1614" w:rsidRDefault="002B1614" w:rsidP="002B1614">
      <w:pPr>
        <w:pStyle w:val="Hesber"/>
        <w:spacing w:line="240" w:lineRule="auto"/>
        <w:rPr>
          <w:sz w:val="26"/>
          <w:rtl/>
        </w:rPr>
      </w:pPr>
      <w:r>
        <w:rPr>
          <w:rFonts w:hint="cs"/>
          <w:color w:val="auto"/>
          <w:rtl/>
          <w:lang w:eastAsia="en-US"/>
        </w:rPr>
        <w:t>י"ח באדר ב'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E13C27" w:rsidRPr="002B1614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FDB7E" w14:textId="77777777" w:rsidR="0063047C" w:rsidRDefault="0063047C">
      <w:r>
        <w:separator/>
      </w:r>
    </w:p>
  </w:endnote>
  <w:endnote w:type="continuationSeparator" w:id="0">
    <w:p w14:paraId="2167A028" w14:textId="77777777" w:rsidR="0063047C" w:rsidRDefault="0063047C">
      <w:r>
        <w:continuationSeparator/>
      </w:r>
    </w:p>
  </w:endnote>
  <w:endnote w:type="continuationNotice" w:id="1">
    <w:p w14:paraId="56A01BC8" w14:textId="77777777" w:rsidR="0063047C" w:rsidRDefault="0063047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B1614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6DC586" w14:textId="77777777" w:rsidR="0063047C" w:rsidRDefault="0063047C">
      <w:r>
        <w:separator/>
      </w:r>
    </w:p>
  </w:footnote>
  <w:footnote w:type="continuationSeparator" w:id="0">
    <w:p w14:paraId="2C00E609" w14:textId="77777777" w:rsidR="0063047C" w:rsidRDefault="0063047C">
      <w:r>
        <w:continuationSeparator/>
      </w:r>
    </w:p>
  </w:footnote>
  <w:footnote w:type="continuationNotice" w:id="1">
    <w:p w14:paraId="5BE0BA3F" w14:textId="77777777" w:rsidR="0063047C" w:rsidRDefault="0063047C"/>
  </w:footnote>
  <w:footnote w:id="2">
    <w:p w14:paraId="6198526A" w14:textId="1DCA6B11" w:rsidR="006258DA" w:rsidRDefault="006258D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התשס"ה, עמ' 956.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05F1"/>
    <w:rsid w:val="00063A3E"/>
    <w:rsid w:val="00066A3B"/>
    <w:rsid w:val="00072CAC"/>
    <w:rsid w:val="0007681A"/>
    <w:rsid w:val="000A542E"/>
    <w:rsid w:val="000F376F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F32C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B1614"/>
    <w:rsid w:val="002C2E29"/>
    <w:rsid w:val="002C3041"/>
    <w:rsid w:val="002D1BD3"/>
    <w:rsid w:val="002D1EE3"/>
    <w:rsid w:val="002F1D80"/>
    <w:rsid w:val="003232A2"/>
    <w:rsid w:val="00325C14"/>
    <w:rsid w:val="0036422C"/>
    <w:rsid w:val="00364FB7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34BC1"/>
    <w:rsid w:val="004522A9"/>
    <w:rsid w:val="004574CB"/>
    <w:rsid w:val="004A06DC"/>
    <w:rsid w:val="004B24ED"/>
    <w:rsid w:val="004B6625"/>
    <w:rsid w:val="004D2D82"/>
    <w:rsid w:val="004D3876"/>
    <w:rsid w:val="004E4552"/>
    <w:rsid w:val="004E6CDF"/>
    <w:rsid w:val="004F29F6"/>
    <w:rsid w:val="00526FFE"/>
    <w:rsid w:val="00537525"/>
    <w:rsid w:val="00553C9D"/>
    <w:rsid w:val="00554BDB"/>
    <w:rsid w:val="00562A66"/>
    <w:rsid w:val="005930B6"/>
    <w:rsid w:val="005B064E"/>
    <w:rsid w:val="005D51AE"/>
    <w:rsid w:val="006258DA"/>
    <w:rsid w:val="0062674B"/>
    <w:rsid w:val="0063047C"/>
    <w:rsid w:val="006363B2"/>
    <w:rsid w:val="00644940"/>
    <w:rsid w:val="006818A9"/>
    <w:rsid w:val="006A2D81"/>
    <w:rsid w:val="006C1D0D"/>
    <w:rsid w:val="0070601E"/>
    <w:rsid w:val="00712C72"/>
    <w:rsid w:val="00726BC3"/>
    <w:rsid w:val="00735FE9"/>
    <w:rsid w:val="00763CAA"/>
    <w:rsid w:val="00765F66"/>
    <w:rsid w:val="0078664F"/>
    <w:rsid w:val="007C3AB5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4016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161AC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6CF4"/>
    <w:rsid w:val="009A0DB8"/>
    <w:rsid w:val="009A7257"/>
    <w:rsid w:val="009D6E0A"/>
    <w:rsid w:val="009E1E33"/>
    <w:rsid w:val="009E6188"/>
    <w:rsid w:val="00A117F6"/>
    <w:rsid w:val="00A14672"/>
    <w:rsid w:val="00A26BD6"/>
    <w:rsid w:val="00A443CF"/>
    <w:rsid w:val="00A524E5"/>
    <w:rsid w:val="00A6611D"/>
    <w:rsid w:val="00A82CB7"/>
    <w:rsid w:val="00A942C1"/>
    <w:rsid w:val="00AA2F03"/>
    <w:rsid w:val="00AC36F7"/>
    <w:rsid w:val="00AC63A4"/>
    <w:rsid w:val="00AD239E"/>
    <w:rsid w:val="00B10265"/>
    <w:rsid w:val="00B14884"/>
    <w:rsid w:val="00B16A99"/>
    <w:rsid w:val="00B21211"/>
    <w:rsid w:val="00B35784"/>
    <w:rsid w:val="00B7132A"/>
    <w:rsid w:val="00B733A7"/>
    <w:rsid w:val="00B75C91"/>
    <w:rsid w:val="00B800B9"/>
    <w:rsid w:val="00B975AD"/>
    <w:rsid w:val="00BC45FB"/>
    <w:rsid w:val="00BF148D"/>
    <w:rsid w:val="00C22A04"/>
    <w:rsid w:val="00C23B1A"/>
    <w:rsid w:val="00C310EB"/>
    <w:rsid w:val="00C42195"/>
    <w:rsid w:val="00C9176A"/>
    <w:rsid w:val="00CA7DB7"/>
    <w:rsid w:val="00CE3601"/>
    <w:rsid w:val="00CF1AA2"/>
    <w:rsid w:val="00D02221"/>
    <w:rsid w:val="00D17774"/>
    <w:rsid w:val="00D63620"/>
    <w:rsid w:val="00D76C81"/>
    <w:rsid w:val="00D8410D"/>
    <w:rsid w:val="00D867D7"/>
    <w:rsid w:val="00DB7060"/>
    <w:rsid w:val="00DE3153"/>
    <w:rsid w:val="00DF1377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0DCB"/>
    <w:rsid w:val="00E93CF4"/>
    <w:rsid w:val="00EA01E6"/>
    <w:rsid w:val="00EA3DE8"/>
    <w:rsid w:val="00EA758F"/>
    <w:rsid w:val="00ED4A6F"/>
    <w:rsid w:val="00EF3A3A"/>
    <w:rsid w:val="00F11791"/>
    <w:rsid w:val="00F22569"/>
    <w:rsid w:val="00F628D6"/>
    <w:rsid w:val="00F67051"/>
    <w:rsid w:val="00F86A1E"/>
    <w:rsid w:val="00FA5E88"/>
    <w:rsid w:val="00FF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D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6258D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258DA"/>
    <w:rPr>
      <w:sz w:val="36"/>
      <w:szCs w:val="52"/>
    </w:rPr>
  </w:style>
  <w:style w:type="paragraph" w:customStyle="1" w:styleId="Cover3-Haknesset">
    <w:name w:val="Cover 3-Haknesset"/>
    <w:basedOn w:val="Cover1-Reshumot"/>
    <w:rsid w:val="006258DA"/>
    <w:rPr>
      <w:b/>
      <w:bCs/>
      <w:spacing w:val="60"/>
    </w:rPr>
  </w:style>
  <w:style w:type="paragraph" w:customStyle="1" w:styleId="Cover4-Date">
    <w:name w:val="Cover 4-Date"/>
    <w:basedOn w:val="a"/>
    <w:rsid w:val="006258D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6258D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6258D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6258D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6258D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6258D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6258DA"/>
  </w:style>
  <w:style w:type="paragraph" w:customStyle="1" w:styleId="TableBlock">
    <w:name w:val="Table Block"/>
    <w:basedOn w:val="TableText"/>
    <w:rsid w:val="006258DA"/>
    <w:pPr>
      <w:ind w:right="0"/>
      <w:jc w:val="both"/>
    </w:pPr>
  </w:style>
  <w:style w:type="paragraph" w:customStyle="1" w:styleId="TableHead">
    <w:name w:val="Table Head"/>
    <w:basedOn w:val="TableText"/>
    <w:rsid w:val="006258D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6258DA"/>
  </w:style>
  <w:style w:type="paragraph" w:customStyle="1" w:styleId="Hesber">
    <w:name w:val="Hesber"/>
    <w:basedOn w:val="a"/>
    <w:rsid w:val="006258D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6258D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6258DA"/>
    <w:rPr>
      <w:vertAlign w:val="superscript"/>
    </w:rPr>
  </w:style>
  <w:style w:type="paragraph" w:customStyle="1" w:styleId="HesberHeading">
    <w:name w:val="Hesber Heading"/>
    <w:basedOn w:val="Hesber"/>
    <w:rsid w:val="006258D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258D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6258DA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6258DA"/>
    <w:rPr>
      <w:vertAlign w:val="superscript"/>
    </w:rPr>
  </w:style>
  <w:style w:type="paragraph" w:customStyle="1" w:styleId="TableBlockOutdent">
    <w:name w:val="Table BlockOutdent"/>
    <w:basedOn w:val="TableBlock"/>
    <w:rsid w:val="006258DA"/>
    <w:pPr>
      <w:ind w:left="624" w:hanging="624"/>
    </w:pPr>
  </w:style>
  <w:style w:type="paragraph" w:styleId="a7">
    <w:name w:val="header"/>
    <w:basedOn w:val="a"/>
    <w:link w:val="a8"/>
    <w:rsid w:val="006258D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6258D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6258D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6258D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6258D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8">
    <w:name w:val="כותרת עליונה תו"/>
    <w:basedOn w:val="a0"/>
    <w:link w:val="a7"/>
    <w:rsid w:val="002D1BD3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D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6258D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258DA"/>
    <w:rPr>
      <w:sz w:val="36"/>
      <w:szCs w:val="52"/>
    </w:rPr>
  </w:style>
  <w:style w:type="paragraph" w:customStyle="1" w:styleId="Cover3-Haknesset">
    <w:name w:val="Cover 3-Haknesset"/>
    <w:basedOn w:val="Cover1-Reshumot"/>
    <w:rsid w:val="006258DA"/>
    <w:rPr>
      <w:b/>
      <w:bCs/>
      <w:spacing w:val="60"/>
    </w:rPr>
  </w:style>
  <w:style w:type="paragraph" w:customStyle="1" w:styleId="Cover4-Date">
    <w:name w:val="Cover 4-Date"/>
    <w:basedOn w:val="a"/>
    <w:rsid w:val="006258D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6258D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6258D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6258D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6258D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6258D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6258DA"/>
  </w:style>
  <w:style w:type="paragraph" w:customStyle="1" w:styleId="TableBlock">
    <w:name w:val="Table Block"/>
    <w:basedOn w:val="TableText"/>
    <w:rsid w:val="006258DA"/>
    <w:pPr>
      <w:ind w:right="0"/>
      <w:jc w:val="both"/>
    </w:pPr>
  </w:style>
  <w:style w:type="paragraph" w:customStyle="1" w:styleId="TableHead">
    <w:name w:val="Table Head"/>
    <w:basedOn w:val="TableText"/>
    <w:rsid w:val="006258D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6258DA"/>
  </w:style>
  <w:style w:type="paragraph" w:customStyle="1" w:styleId="Hesber">
    <w:name w:val="Hesber"/>
    <w:basedOn w:val="a"/>
    <w:rsid w:val="006258D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6258D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6258DA"/>
    <w:rPr>
      <w:vertAlign w:val="superscript"/>
    </w:rPr>
  </w:style>
  <w:style w:type="paragraph" w:customStyle="1" w:styleId="HesberHeading">
    <w:name w:val="Hesber Heading"/>
    <w:basedOn w:val="Hesber"/>
    <w:rsid w:val="006258D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258D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6258DA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6258DA"/>
    <w:rPr>
      <w:vertAlign w:val="superscript"/>
    </w:rPr>
  </w:style>
  <w:style w:type="paragraph" w:customStyle="1" w:styleId="TableBlockOutdent">
    <w:name w:val="Table BlockOutdent"/>
    <w:basedOn w:val="TableBlock"/>
    <w:rsid w:val="006258DA"/>
    <w:pPr>
      <w:ind w:left="624" w:hanging="624"/>
    </w:pPr>
  </w:style>
  <w:style w:type="paragraph" w:styleId="a7">
    <w:name w:val="header"/>
    <w:basedOn w:val="a"/>
    <w:link w:val="a8"/>
    <w:rsid w:val="006258D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6258D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6258D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6258D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6258D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8">
    <w:name w:val="כותרת עליונה תו"/>
    <w:basedOn w:val="a0"/>
    <w:link w:val="a7"/>
    <w:rsid w:val="002D1BD3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47EBD6-137A-4471-B299-33D665C04950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CA2AA70C-0C3E-4D25-A681-62CE5E2329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2016-03-27T06:58:00Z</cp:lastPrinted>
  <dcterms:created xsi:type="dcterms:W3CDTF">2016-07-14T06:14:00Z</dcterms:created>
  <dcterms:modified xsi:type="dcterms:W3CDTF">2016-07-14T06:14:00Z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2005843</vt:r8>
  </property>
</Properties>
</file>