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DD3" w:rsidRDefault="00A36DD3" w:rsidP="00B9528F">
      <w:pPr>
        <w:spacing w:before="10"/>
        <w:jc w:val="both"/>
        <w:rPr>
          <w:rFonts w:cs="David"/>
          <w:rtl/>
        </w:rPr>
      </w:pPr>
      <w:bookmarkStart w:id="0" w:name="_GoBack"/>
      <w:bookmarkEnd w:id="0"/>
    </w:p>
    <w:p w:rsidR="00A36DD3" w:rsidRDefault="00925F1D" w:rsidP="00925F1D">
      <w:pPr>
        <w:bidi w:val="0"/>
        <w:spacing w:before="10"/>
        <w:jc w:val="both"/>
        <w:rPr>
          <w:rFonts w:cs="David"/>
        </w:rPr>
      </w:pPr>
      <w:r>
        <w:rPr>
          <w:rFonts w:cs="David" w:hint="cs"/>
          <w:rtl/>
        </w:rPr>
        <w:t>י"א</w:t>
      </w:r>
      <w:r w:rsidR="00A36DD3">
        <w:rPr>
          <w:rFonts w:cs="David"/>
          <w:rtl/>
        </w:rPr>
        <w:t xml:space="preserve"> תמוז, תשע"ו</w:t>
      </w:r>
    </w:p>
    <w:p w:rsidR="00A36DD3" w:rsidRDefault="00A36DD3" w:rsidP="00925F1D">
      <w:pPr>
        <w:bidi w:val="0"/>
        <w:spacing w:before="10"/>
        <w:jc w:val="both"/>
        <w:rPr>
          <w:rFonts w:cs="David"/>
        </w:rPr>
      </w:pPr>
      <w:r>
        <w:rPr>
          <w:rFonts w:cs="David" w:hint="eastAsia"/>
          <w:rtl/>
        </w:rPr>
        <w:t>‏</w:t>
      </w:r>
      <w:r w:rsidR="00925F1D">
        <w:rPr>
          <w:rFonts w:cs="David" w:hint="cs"/>
          <w:rtl/>
        </w:rPr>
        <w:t>17</w:t>
      </w:r>
      <w:r>
        <w:rPr>
          <w:rFonts w:cs="David"/>
          <w:rtl/>
        </w:rPr>
        <w:t xml:space="preserve"> יולי, 2016</w:t>
      </w:r>
    </w:p>
    <w:p w:rsidR="00A36DD3" w:rsidRDefault="00A36DD3" w:rsidP="00B9528F">
      <w:pPr>
        <w:spacing w:before="10"/>
        <w:jc w:val="both"/>
        <w:rPr>
          <w:rFonts w:cs="David"/>
          <w:rtl/>
        </w:rPr>
      </w:pPr>
    </w:p>
    <w:p w:rsidR="00E967CF" w:rsidRPr="00BD1C8A" w:rsidRDefault="00E967CF" w:rsidP="00A36DD3">
      <w:pPr>
        <w:spacing w:before="10"/>
        <w:jc w:val="both"/>
        <w:rPr>
          <w:rFonts w:cs="David"/>
          <w:rtl/>
        </w:rPr>
      </w:pPr>
      <w:r w:rsidRPr="00BD1C8A">
        <w:rPr>
          <w:rFonts w:cs="David" w:hint="cs"/>
          <w:rtl/>
        </w:rPr>
        <w:t xml:space="preserve">אל: חברי ועדת החוקה חוק ומשפט </w:t>
      </w:r>
      <w:r w:rsidRPr="00BD1C8A">
        <w:rPr>
          <w:rFonts w:cs="David"/>
          <w:rtl/>
        </w:rPr>
        <w:tab/>
      </w:r>
      <w:r w:rsidRPr="00BD1C8A">
        <w:rPr>
          <w:rFonts w:cs="David" w:hint="cs"/>
          <w:rtl/>
        </w:rPr>
        <w:tab/>
      </w:r>
      <w:r w:rsidRPr="00BD1C8A">
        <w:rPr>
          <w:rFonts w:cs="David"/>
          <w:rtl/>
        </w:rPr>
        <w:tab/>
      </w:r>
      <w:r w:rsidRPr="00BD1C8A">
        <w:rPr>
          <w:rFonts w:cs="David" w:hint="cs"/>
          <w:rtl/>
        </w:rPr>
        <w:tab/>
      </w:r>
      <w:r w:rsidRPr="00BD1C8A">
        <w:rPr>
          <w:rFonts w:cs="David" w:hint="cs"/>
          <w:rtl/>
        </w:rPr>
        <w:tab/>
      </w:r>
    </w:p>
    <w:p w:rsidR="00E967CF" w:rsidRPr="00BD1C8A" w:rsidRDefault="00E967CF" w:rsidP="00A36DD3">
      <w:pPr>
        <w:spacing w:before="10"/>
        <w:jc w:val="both"/>
        <w:rPr>
          <w:rFonts w:cs="David"/>
          <w:rtl/>
        </w:rPr>
      </w:pPr>
      <w:r w:rsidRPr="00BD1C8A">
        <w:rPr>
          <w:rFonts w:cs="David" w:hint="cs"/>
          <w:rtl/>
        </w:rPr>
        <w:t>מאת: הייעוץ המשפטי לוועדה</w:t>
      </w:r>
      <w:r w:rsidRPr="00BD1C8A">
        <w:rPr>
          <w:rFonts w:cs="David"/>
          <w:rtl/>
        </w:rPr>
        <w:tab/>
      </w:r>
      <w:r w:rsidRPr="00BD1C8A">
        <w:rPr>
          <w:rFonts w:cs="David" w:hint="cs"/>
          <w:rtl/>
        </w:rPr>
        <w:tab/>
      </w:r>
      <w:r w:rsidRPr="00BD1C8A">
        <w:rPr>
          <w:rFonts w:cs="David"/>
          <w:rtl/>
        </w:rPr>
        <w:tab/>
      </w:r>
      <w:r w:rsidRPr="00BD1C8A">
        <w:rPr>
          <w:rFonts w:cs="David" w:hint="cs"/>
          <w:rtl/>
        </w:rPr>
        <w:tab/>
      </w:r>
      <w:r w:rsidRPr="00BD1C8A">
        <w:rPr>
          <w:rFonts w:cs="David"/>
          <w:rtl/>
        </w:rPr>
        <w:tab/>
      </w:r>
      <w:r w:rsidRPr="00BD1C8A">
        <w:rPr>
          <w:rFonts w:cs="David" w:hint="cs"/>
          <w:rtl/>
        </w:rPr>
        <w:tab/>
        <w:t xml:space="preserve">    </w:t>
      </w:r>
    </w:p>
    <w:p w:rsidR="00E967CF" w:rsidRPr="00BD1C8A" w:rsidRDefault="00E967CF" w:rsidP="00E967CF">
      <w:pPr>
        <w:spacing w:before="10"/>
        <w:jc w:val="both"/>
        <w:rPr>
          <w:rFonts w:cs="David"/>
          <w:rtl/>
        </w:rPr>
      </w:pPr>
    </w:p>
    <w:p w:rsidR="00E967CF" w:rsidRPr="00BD1C8A" w:rsidRDefault="00E967CF" w:rsidP="00E967CF">
      <w:pPr>
        <w:spacing w:before="10"/>
        <w:jc w:val="both"/>
        <w:rPr>
          <w:rFonts w:cs="David"/>
          <w:rtl/>
        </w:rPr>
      </w:pPr>
    </w:p>
    <w:p w:rsidR="00E967CF" w:rsidRPr="00BD1C8A" w:rsidRDefault="00E967CF" w:rsidP="00E40612">
      <w:pPr>
        <w:jc w:val="center"/>
        <w:rPr>
          <w:rFonts w:cs="David"/>
          <w:b/>
          <w:bCs/>
          <w:u w:val="single"/>
          <w:rtl/>
        </w:rPr>
      </w:pPr>
      <w:r w:rsidRPr="00BD1C8A">
        <w:rPr>
          <w:rFonts w:cs="David"/>
          <w:b/>
          <w:bCs/>
          <w:u w:val="single"/>
          <w:rtl/>
        </w:rPr>
        <w:t>הצעת חוק ח</w:t>
      </w:r>
      <w:r w:rsidRPr="00BD1C8A">
        <w:rPr>
          <w:rFonts w:cs="David" w:hint="cs"/>
          <w:b/>
          <w:bCs/>
          <w:u w:val="single"/>
          <w:rtl/>
        </w:rPr>
        <w:t>י</w:t>
      </w:r>
      <w:r w:rsidRPr="00BD1C8A">
        <w:rPr>
          <w:rFonts w:cs="David"/>
          <w:b/>
          <w:bCs/>
          <w:u w:val="single"/>
          <w:rtl/>
        </w:rPr>
        <w:t>סיון חומר מודיעיני (תיקוני חקיקה), התשע"ד-2014</w:t>
      </w:r>
      <w:r w:rsidR="00032355" w:rsidRPr="00BD1C8A">
        <w:rPr>
          <w:rFonts w:cs="David" w:hint="cs"/>
          <w:b/>
          <w:bCs/>
          <w:u w:val="single"/>
          <w:rtl/>
        </w:rPr>
        <w:t xml:space="preserve"> (מ-848)</w:t>
      </w:r>
    </w:p>
    <w:p w:rsidR="00E967CF" w:rsidRPr="00BD1C8A" w:rsidRDefault="003D5C41" w:rsidP="00E40612">
      <w:pPr>
        <w:jc w:val="center"/>
        <w:rPr>
          <w:rFonts w:cs="David"/>
          <w:b/>
          <w:bCs/>
          <w:u w:val="single"/>
          <w:rtl/>
        </w:rPr>
      </w:pPr>
      <w:r>
        <w:rPr>
          <w:rFonts w:cs="David" w:hint="cs"/>
          <w:b/>
          <w:bCs/>
          <w:u w:val="single"/>
          <w:rtl/>
        </w:rPr>
        <w:t>נוסח לדיון והצבעות  ביום 18.7.2016</w:t>
      </w:r>
    </w:p>
    <w:p w:rsidR="00DB1121" w:rsidRPr="00BD1C8A" w:rsidRDefault="00DB1121" w:rsidP="00D36F73">
      <w:pPr>
        <w:rPr>
          <w:rFonts w:ascii="Garamond" w:hAnsi="Garamond" w:cs="David"/>
          <w:rtl/>
        </w:rPr>
      </w:pPr>
    </w:p>
    <w:p w:rsidR="00026C60" w:rsidRPr="00026C60" w:rsidRDefault="00026C60" w:rsidP="00026C60">
      <w:pPr>
        <w:pStyle w:val="Hesber"/>
        <w:spacing w:before="10"/>
        <w:rPr>
          <w:rFonts w:asciiTheme="minorHAnsi" w:hAnsiTheme="minorHAnsi"/>
          <w:sz w:val="24"/>
          <w:szCs w:val="24"/>
          <w:rtl/>
        </w:rPr>
      </w:pPr>
      <w:r>
        <w:rPr>
          <w:rFonts w:asciiTheme="minorHAnsi" w:hAnsiTheme="minorHAnsi" w:hint="cs"/>
          <w:sz w:val="24"/>
          <w:szCs w:val="24"/>
          <w:rtl/>
        </w:rPr>
        <w:t xml:space="preserve">כפי שנסקר בהרחבה במסמך הרקע שהופץ מטעמנו ביום 7.7.2016, </w:t>
      </w:r>
      <w:r w:rsidRPr="00026C60">
        <w:rPr>
          <w:rFonts w:asciiTheme="minorHAnsi" w:hAnsiTheme="minorHAnsi"/>
          <w:sz w:val="24"/>
          <w:szCs w:val="24"/>
          <w:rtl/>
        </w:rPr>
        <w:t xml:space="preserve">הצעת חוק חיסיון חומר מודיעיני (תיקוני חקיקה), התשע"ד-2014 הונחה על שולחן הכנסת ה-19 בפברואר 2014, וועדת החוקה חוק ומשפט קיימה לגביה מספר דיונים. ביום 4.1.2016 החליטה הכנסת ה-20 להחיל דין רציפות על ההצעה, </w:t>
      </w:r>
      <w:r>
        <w:rPr>
          <w:rFonts w:asciiTheme="minorHAnsi" w:hAnsiTheme="minorHAnsi" w:hint="cs"/>
          <w:sz w:val="24"/>
          <w:szCs w:val="24"/>
          <w:rtl/>
        </w:rPr>
        <w:t>ו</w:t>
      </w:r>
      <w:r w:rsidRPr="00026C60">
        <w:rPr>
          <w:rFonts w:asciiTheme="minorHAnsi" w:hAnsiTheme="minorHAnsi"/>
          <w:sz w:val="24"/>
          <w:szCs w:val="24"/>
          <w:rtl/>
        </w:rPr>
        <w:t>היא חזרה לוועדה להמשך הדיונים</w:t>
      </w:r>
      <w:r>
        <w:rPr>
          <w:rFonts w:asciiTheme="minorHAnsi" w:hAnsiTheme="minorHAnsi" w:hint="cs"/>
          <w:sz w:val="24"/>
          <w:szCs w:val="24"/>
          <w:rtl/>
        </w:rPr>
        <w:t xml:space="preserve"> וסיום הליך החקיקה</w:t>
      </w:r>
      <w:r w:rsidRPr="00026C60">
        <w:rPr>
          <w:rFonts w:asciiTheme="minorHAnsi" w:hAnsiTheme="minorHAnsi"/>
          <w:sz w:val="24"/>
          <w:szCs w:val="24"/>
          <w:rtl/>
        </w:rPr>
        <w:t xml:space="preserve">. </w:t>
      </w:r>
    </w:p>
    <w:p w:rsidR="005E282D" w:rsidRDefault="00631196" w:rsidP="00631196">
      <w:pPr>
        <w:pStyle w:val="Hesber"/>
        <w:spacing w:before="10"/>
        <w:ind w:firstLine="0"/>
        <w:rPr>
          <w:rFonts w:ascii="David" w:hAnsi="David"/>
          <w:sz w:val="24"/>
          <w:szCs w:val="24"/>
          <w:rtl/>
        </w:rPr>
      </w:pPr>
      <w:r>
        <w:rPr>
          <w:rFonts w:asciiTheme="minorHAnsi" w:hAnsiTheme="minorHAnsi" w:hint="cs"/>
          <w:sz w:val="24"/>
          <w:szCs w:val="24"/>
          <w:rtl/>
        </w:rPr>
        <w:t xml:space="preserve">כפי שפירטנו בדיון בוועדה בשבוע שעבר, </w:t>
      </w:r>
      <w:r w:rsidR="00026C60" w:rsidRPr="00026C60">
        <w:rPr>
          <w:rFonts w:asciiTheme="minorHAnsi" w:hAnsiTheme="minorHAnsi"/>
          <w:sz w:val="24"/>
          <w:szCs w:val="24"/>
          <w:rtl/>
        </w:rPr>
        <w:t>ועדת החוקה חוק ומשפט של הכנסת ה-19 הכירה בבעיה שבבסיס הצעת החוק – זליגת חומר מודיעיני – אך סברה שיש לפתור אותה בדרך אחרת, מידתית יותר, שתביא לתוצאה דומה.</w:t>
      </w:r>
      <w:r w:rsidR="005E282D">
        <w:rPr>
          <w:rFonts w:asciiTheme="minorHAnsi" w:hAnsiTheme="minorHAnsi" w:hint="cs"/>
          <w:sz w:val="24"/>
          <w:szCs w:val="24"/>
          <w:rtl/>
        </w:rPr>
        <w:t xml:space="preserve"> </w:t>
      </w:r>
      <w:r w:rsidR="005E282D" w:rsidRPr="00BD1C8A">
        <w:rPr>
          <w:rFonts w:ascii="David" w:hAnsi="David" w:hint="cs"/>
          <w:sz w:val="24"/>
          <w:szCs w:val="24"/>
          <w:rtl/>
        </w:rPr>
        <w:t xml:space="preserve">בניסיון להציע פתרון חקיקתי מידתי יותר, מבלי לפגוע באופן חמור מדי בזכות להליך הוגן, </w:t>
      </w:r>
      <w:r w:rsidR="005E282D" w:rsidRPr="00BD1C8A">
        <w:rPr>
          <w:rFonts w:ascii="David" w:hAnsi="David" w:hint="cs"/>
          <w:sz w:val="24"/>
          <w:szCs w:val="24"/>
          <w:u w:val="single"/>
          <w:rtl/>
        </w:rPr>
        <w:t xml:space="preserve">הוחלט בוועדה לקדם מתווה חילופי ולפיו </w:t>
      </w:r>
      <w:r w:rsidR="005E282D" w:rsidRPr="00BD1C8A">
        <w:rPr>
          <w:rFonts w:ascii="David" w:hAnsi="David"/>
          <w:sz w:val="24"/>
          <w:szCs w:val="24"/>
          <w:u w:val="single"/>
          <w:rtl/>
        </w:rPr>
        <w:t xml:space="preserve">המנגנון של </w:t>
      </w:r>
      <w:r w:rsidR="005E282D" w:rsidRPr="00BD1C8A">
        <w:rPr>
          <w:rFonts w:ascii="David" w:hAnsi="David" w:hint="cs"/>
          <w:sz w:val="24"/>
          <w:szCs w:val="24"/>
          <w:u w:val="single"/>
          <w:rtl/>
        </w:rPr>
        <w:t xml:space="preserve">הוצאת </w:t>
      </w:r>
      <w:r w:rsidR="005E282D" w:rsidRPr="00BD1C8A">
        <w:rPr>
          <w:rFonts w:ascii="David" w:hAnsi="David"/>
          <w:sz w:val="24"/>
          <w:szCs w:val="24"/>
          <w:u w:val="single"/>
          <w:rtl/>
        </w:rPr>
        <w:t>תעודות הח</w:t>
      </w:r>
      <w:r w:rsidR="005E282D" w:rsidRPr="00BD1C8A">
        <w:rPr>
          <w:rFonts w:ascii="David" w:hAnsi="David" w:hint="cs"/>
          <w:sz w:val="24"/>
          <w:szCs w:val="24"/>
          <w:u w:val="single"/>
          <w:rtl/>
        </w:rPr>
        <w:t>י</w:t>
      </w:r>
      <w:r w:rsidR="005E282D" w:rsidRPr="00BD1C8A">
        <w:rPr>
          <w:rFonts w:ascii="David" w:hAnsi="David"/>
          <w:sz w:val="24"/>
          <w:szCs w:val="24"/>
          <w:u w:val="single"/>
          <w:rtl/>
        </w:rPr>
        <w:t>סיון יישאר על כנו, ולא ייקבע חסיון סטטוטורי</w:t>
      </w:r>
      <w:r w:rsidR="005E282D" w:rsidRPr="00BD1C8A">
        <w:rPr>
          <w:rFonts w:ascii="David" w:hAnsi="David" w:hint="cs"/>
          <w:sz w:val="24"/>
          <w:szCs w:val="24"/>
          <w:u w:val="single"/>
          <w:rtl/>
        </w:rPr>
        <w:t xml:space="preserve">, אך תצומצם </w:t>
      </w:r>
      <w:r w:rsidR="005E282D" w:rsidRPr="00BD1C8A">
        <w:rPr>
          <w:rFonts w:ascii="David" w:hAnsi="David"/>
          <w:sz w:val="24"/>
          <w:szCs w:val="24"/>
          <w:u w:val="single"/>
          <w:rtl/>
        </w:rPr>
        <w:t>ההגדרה של "חומר חקירה" שיש לנאשם זכות עיון לגביו, ככל שמדובר בחומר חקירה מודיעיני</w:t>
      </w:r>
      <w:r w:rsidR="005E282D" w:rsidRPr="00BD1C8A">
        <w:rPr>
          <w:rFonts w:ascii="David" w:hAnsi="David" w:hint="cs"/>
          <w:sz w:val="24"/>
          <w:szCs w:val="24"/>
          <w:rtl/>
        </w:rPr>
        <w:t xml:space="preserve">. הנזק שנגרם למערך המודיעין בהעברת מידע מודיעיני, בצירוף לעובדה שחומר חקירה, לפי הפרשנות של בית המשפט, יכול להיות מאוד פריפריאלי, </w:t>
      </w:r>
      <w:r w:rsidR="005E282D">
        <w:rPr>
          <w:rFonts w:ascii="David" w:hAnsi="David" w:hint="cs"/>
          <w:sz w:val="24"/>
          <w:szCs w:val="24"/>
          <w:rtl/>
        </w:rPr>
        <w:t xml:space="preserve">יכולים להצדיק, לטעמנו, </w:t>
      </w:r>
      <w:r w:rsidR="005E282D" w:rsidRPr="00BD1C8A">
        <w:rPr>
          <w:rFonts w:ascii="David" w:hAnsi="David" w:hint="cs"/>
          <w:sz w:val="24"/>
          <w:szCs w:val="24"/>
          <w:rtl/>
        </w:rPr>
        <w:t xml:space="preserve">קביעה </w:t>
      </w:r>
      <w:r w:rsidR="005E282D">
        <w:rPr>
          <w:rFonts w:ascii="David" w:hAnsi="David" w:hint="cs"/>
          <w:sz w:val="24"/>
          <w:szCs w:val="24"/>
          <w:rtl/>
        </w:rPr>
        <w:t>ש</w:t>
      </w:r>
      <w:r w:rsidR="005E282D" w:rsidRPr="00BD1C8A">
        <w:rPr>
          <w:rFonts w:ascii="David" w:hAnsi="David" w:hint="cs"/>
          <w:sz w:val="24"/>
          <w:szCs w:val="24"/>
          <w:rtl/>
        </w:rPr>
        <w:t>כזו.</w:t>
      </w:r>
      <w:r w:rsidR="005E282D" w:rsidRPr="00BD1C8A">
        <w:rPr>
          <w:rFonts w:ascii="David" w:hAnsi="David"/>
          <w:sz w:val="24"/>
          <w:szCs w:val="24"/>
          <w:rtl/>
        </w:rPr>
        <w:t xml:space="preserve"> </w:t>
      </w:r>
    </w:p>
    <w:p w:rsidR="005E282D" w:rsidRDefault="00631196" w:rsidP="00631196">
      <w:pPr>
        <w:pStyle w:val="Hesber"/>
        <w:spacing w:before="10"/>
        <w:ind w:firstLine="0"/>
        <w:rPr>
          <w:rFonts w:ascii="David" w:hAnsi="David"/>
          <w:sz w:val="24"/>
          <w:szCs w:val="24"/>
          <w:rtl/>
        </w:rPr>
      </w:pPr>
      <w:r>
        <w:rPr>
          <w:rFonts w:ascii="David" w:hAnsi="David" w:hint="cs"/>
          <w:sz w:val="24"/>
          <w:szCs w:val="24"/>
          <w:rtl/>
        </w:rPr>
        <w:t>השארת מנגנון תעודות החיסיון על כנו מבטיח כי</w:t>
      </w:r>
      <w:r w:rsidR="005E282D" w:rsidRPr="00BD1C8A">
        <w:rPr>
          <w:rFonts w:ascii="David" w:hAnsi="David" w:hint="cs"/>
          <w:sz w:val="24"/>
          <w:szCs w:val="24"/>
          <w:rtl/>
        </w:rPr>
        <w:t xml:space="preserve"> </w:t>
      </w:r>
      <w:r>
        <w:rPr>
          <w:rFonts w:ascii="David" w:hAnsi="David" w:hint="cs"/>
          <w:sz w:val="24"/>
          <w:szCs w:val="24"/>
          <w:u w:val="single"/>
          <w:rtl/>
        </w:rPr>
        <w:t xml:space="preserve">הנטל ימשיך להיות על המדינה שתצטרך להצדיק בבקרה פנימית וגם כלפי בית המשפט </w:t>
      </w:r>
      <w:r w:rsidR="005E282D" w:rsidRPr="00BD1C8A">
        <w:rPr>
          <w:rFonts w:ascii="David" w:hAnsi="David"/>
          <w:sz w:val="24"/>
          <w:szCs w:val="24"/>
          <w:u w:val="single"/>
          <w:rtl/>
        </w:rPr>
        <w:t xml:space="preserve">את </w:t>
      </w:r>
      <w:r w:rsidR="005E282D">
        <w:rPr>
          <w:rFonts w:ascii="David" w:hAnsi="David" w:hint="cs"/>
          <w:sz w:val="24"/>
          <w:szCs w:val="24"/>
          <w:u w:val="single"/>
          <w:rtl/>
        </w:rPr>
        <w:t>אי-העברת החומר לנאשם</w:t>
      </w:r>
      <w:r w:rsidR="005E282D">
        <w:rPr>
          <w:rFonts w:ascii="David" w:hAnsi="David" w:hint="cs"/>
          <w:sz w:val="24"/>
          <w:szCs w:val="24"/>
          <w:rtl/>
        </w:rPr>
        <w:t>.</w:t>
      </w:r>
      <w:r w:rsidR="005E282D" w:rsidRPr="00BD1C8A">
        <w:rPr>
          <w:rFonts w:ascii="David" w:hAnsi="David"/>
          <w:sz w:val="24"/>
          <w:szCs w:val="24"/>
          <w:rtl/>
        </w:rPr>
        <w:t xml:space="preserve"> חומר מודיעיני "ישיר" </w:t>
      </w:r>
      <w:r w:rsidR="005E282D">
        <w:rPr>
          <w:rFonts w:ascii="David" w:hAnsi="David" w:hint="cs"/>
          <w:sz w:val="24"/>
          <w:szCs w:val="24"/>
          <w:rtl/>
        </w:rPr>
        <w:t xml:space="preserve">ימשיך להיות </w:t>
      </w:r>
      <w:r w:rsidR="005E282D">
        <w:rPr>
          <w:rFonts w:ascii="David" w:hAnsi="David"/>
          <w:sz w:val="24"/>
          <w:szCs w:val="24"/>
          <w:rtl/>
        </w:rPr>
        <w:t>חלק מ</w:t>
      </w:r>
      <w:r w:rsidR="005E282D" w:rsidRPr="00BD1C8A">
        <w:rPr>
          <w:rFonts w:ascii="David" w:hAnsi="David"/>
          <w:sz w:val="24"/>
          <w:szCs w:val="24"/>
          <w:rtl/>
        </w:rPr>
        <w:t xml:space="preserve">חומר </w:t>
      </w:r>
      <w:r w:rsidR="005E282D">
        <w:rPr>
          <w:rFonts w:ascii="David" w:hAnsi="David" w:hint="cs"/>
          <w:sz w:val="24"/>
          <w:szCs w:val="24"/>
          <w:rtl/>
        </w:rPr>
        <w:t xml:space="preserve">החקירה </w:t>
      </w:r>
      <w:r w:rsidR="005E282D">
        <w:rPr>
          <w:rFonts w:ascii="David" w:hAnsi="David"/>
          <w:sz w:val="24"/>
          <w:szCs w:val="24"/>
          <w:rtl/>
        </w:rPr>
        <w:t>בתיק</w:t>
      </w:r>
      <w:r w:rsidR="005E282D">
        <w:rPr>
          <w:rFonts w:ascii="David" w:hAnsi="David" w:hint="cs"/>
          <w:sz w:val="24"/>
          <w:szCs w:val="24"/>
          <w:rtl/>
        </w:rPr>
        <w:t xml:space="preserve"> </w:t>
      </w:r>
      <w:r w:rsidR="005E282D">
        <w:rPr>
          <w:rFonts w:ascii="David" w:hAnsi="David"/>
          <w:sz w:val="24"/>
          <w:szCs w:val="24"/>
          <w:rtl/>
        </w:rPr>
        <w:t>–</w:t>
      </w:r>
      <w:r w:rsidR="005E282D" w:rsidRPr="00BD1C8A">
        <w:rPr>
          <w:rFonts w:ascii="David" w:hAnsi="David" w:hint="cs"/>
          <w:sz w:val="24"/>
          <w:szCs w:val="24"/>
          <w:rtl/>
        </w:rPr>
        <w:t xml:space="preserve"> </w:t>
      </w:r>
      <w:r w:rsidR="005E282D">
        <w:rPr>
          <w:rFonts w:ascii="David" w:hAnsi="David" w:hint="cs"/>
          <w:sz w:val="24"/>
          <w:szCs w:val="24"/>
          <w:rtl/>
        </w:rPr>
        <w:t>ו</w:t>
      </w:r>
      <w:r w:rsidR="005E282D" w:rsidRPr="00BD1C8A">
        <w:rPr>
          <w:rFonts w:ascii="David" w:hAnsi="David" w:hint="cs"/>
          <w:sz w:val="24"/>
          <w:szCs w:val="24"/>
          <w:rtl/>
        </w:rPr>
        <w:t xml:space="preserve">אולם </w:t>
      </w:r>
      <w:r w:rsidR="005E282D" w:rsidRPr="00BD1C8A">
        <w:rPr>
          <w:rFonts w:ascii="David" w:hAnsi="David" w:hint="cs"/>
          <w:sz w:val="24"/>
          <w:szCs w:val="24"/>
          <w:u w:val="single"/>
          <w:rtl/>
        </w:rPr>
        <w:t>מידע מודיעיני שאינו קשור בצורה ישירה לכתב האישום, לא ייחשב חומר חקירה, ולכן לא יועבר מלכתחילה לנאשם</w:t>
      </w:r>
      <w:r w:rsidR="005E282D" w:rsidRPr="00BD1C8A">
        <w:rPr>
          <w:rFonts w:ascii="David" w:hAnsi="David" w:hint="cs"/>
          <w:sz w:val="24"/>
          <w:szCs w:val="24"/>
          <w:rtl/>
        </w:rPr>
        <w:t xml:space="preserve"> (הנאשם עדיין יקבל </w:t>
      </w:r>
      <w:r w:rsidR="005E282D" w:rsidRPr="00BD1C8A">
        <w:rPr>
          <w:rFonts w:ascii="David" w:hAnsi="David" w:hint="cs"/>
          <w:sz w:val="24"/>
          <w:szCs w:val="24"/>
          <w:u w:val="single"/>
          <w:rtl/>
        </w:rPr>
        <w:t>רשימה</w:t>
      </w:r>
      <w:r w:rsidR="005E282D" w:rsidRPr="00BD1C8A">
        <w:rPr>
          <w:rFonts w:ascii="David" w:hAnsi="David" w:hint="cs"/>
          <w:sz w:val="24"/>
          <w:szCs w:val="24"/>
          <w:rtl/>
        </w:rPr>
        <w:t xml:space="preserve"> של כל החומר הרחב, כפי שהוצע גם בהצעה הממשלתית המקורית). </w:t>
      </w:r>
      <w:r w:rsidR="005E282D" w:rsidRPr="005E282D">
        <w:rPr>
          <w:rFonts w:ascii="David" w:hAnsi="David" w:hint="cs"/>
          <w:sz w:val="24"/>
          <w:szCs w:val="24"/>
          <w:rtl/>
        </w:rPr>
        <w:t>ככל שהמידע המודיעיני אכן קשור לכתב האישום עצמו, ובכל זאת רשויות המדינה מבקשות שלא להעבירו לעיונו של הנאשם, התביעה תצטרך להוציא תעודת חיסיון לגבי אותו חומר, לפי המנגנון הקיים היום ולפי המבחנים הקיימים</w:t>
      </w:r>
      <w:r w:rsidR="005E282D" w:rsidRPr="00BD1C8A">
        <w:rPr>
          <w:rFonts w:ascii="David" w:hAnsi="David" w:hint="cs"/>
          <w:sz w:val="24"/>
          <w:szCs w:val="24"/>
          <w:rtl/>
        </w:rPr>
        <w:t>. לפי הצעה זו, ש</w:t>
      </w:r>
      <w:r w:rsidR="005E282D">
        <w:rPr>
          <w:rFonts w:ascii="David" w:hAnsi="David" w:hint="cs"/>
          <w:sz w:val="24"/>
          <w:szCs w:val="24"/>
          <w:rtl/>
        </w:rPr>
        <w:t>פרטיה מובאים</w:t>
      </w:r>
      <w:r w:rsidR="005E282D" w:rsidRPr="00BD1C8A">
        <w:rPr>
          <w:rFonts w:ascii="David" w:hAnsi="David" w:hint="cs"/>
          <w:sz w:val="24"/>
          <w:szCs w:val="24"/>
          <w:rtl/>
        </w:rPr>
        <w:t xml:space="preserve"> להלן, החוק יחייב את ה</w:t>
      </w:r>
      <w:r w:rsidR="005E282D" w:rsidRPr="00BD1C8A">
        <w:rPr>
          <w:rFonts w:ascii="David" w:hAnsi="David"/>
          <w:sz w:val="24"/>
          <w:szCs w:val="24"/>
          <w:rtl/>
        </w:rPr>
        <w:t xml:space="preserve">תובע </w:t>
      </w:r>
      <w:r w:rsidR="005E282D" w:rsidRPr="00BD1C8A">
        <w:rPr>
          <w:rFonts w:ascii="David" w:hAnsi="David" w:hint="cs"/>
          <w:sz w:val="24"/>
          <w:szCs w:val="24"/>
          <w:rtl/>
        </w:rPr>
        <w:t xml:space="preserve">בתיק </w:t>
      </w:r>
      <w:r w:rsidR="005E282D" w:rsidRPr="00BD1C8A">
        <w:rPr>
          <w:rFonts w:ascii="David" w:hAnsi="David"/>
          <w:sz w:val="24"/>
          <w:szCs w:val="24"/>
          <w:rtl/>
        </w:rPr>
        <w:t>לעבור על החומר המלא</w:t>
      </w:r>
      <w:r w:rsidR="005E282D" w:rsidRPr="00BD1C8A">
        <w:rPr>
          <w:rFonts w:ascii="David" w:hAnsi="David" w:hint="cs"/>
          <w:sz w:val="24"/>
          <w:szCs w:val="24"/>
          <w:rtl/>
        </w:rPr>
        <w:t xml:space="preserve">, כולל החומר המודיעיני שנאסף, בדומה למצב היום, </w:t>
      </w:r>
      <w:r w:rsidR="005E282D" w:rsidRPr="00BD1C8A">
        <w:rPr>
          <w:rFonts w:ascii="David" w:hAnsi="David"/>
          <w:sz w:val="24"/>
          <w:szCs w:val="24"/>
          <w:rtl/>
        </w:rPr>
        <w:t xml:space="preserve">כדי לסנן מתוכו </w:t>
      </w:r>
      <w:r w:rsidR="005E282D" w:rsidRPr="00BD1C8A">
        <w:rPr>
          <w:rFonts w:ascii="David" w:hAnsi="David" w:hint="cs"/>
          <w:sz w:val="24"/>
          <w:szCs w:val="24"/>
          <w:rtl/>
        </w:rPr>
        <w:t>מהו "</w:t>
      </w:r>
      <w:r w:rsidR="005E282D" w:rsidRPr="00BD1C8A">
        <w:rPr>
          <w:rFonts w:ascii="David" w:hAnsi="David"/>
          <w:sz w:val="24"/>
          <w:szCs w:val="24"/>
          <w:rtl/>
        </w:rPr>
        <w:t>חומר חקירה</w:t>
      </w:r>
      <w:r w:rsidR="005E282D" w:rsidRPr="00BD1C8A">
        <w:rPr>
          <w:rFonts w:ascii="David" w:hAnsi="David" w:hint="cs"/>
          <w:sz w:val="24"/>
          <w:szCs w:val="24"/>
          <w:rtl/>
        </w:rPr>
        <w:t>"</w:t>
      </w:r>
      <w:r w:rsidR="005E282D" w:rsidRPr="00BD1C8A">
        <w:rPr>
          <w:rFonts w:ascii="David" w:hAnsi="David"/>
          <w:sz w:val="24"/>
          <w:szCs w:val="24"/>
          <w:rtl/>
        </w:rPr>
        <w:t xml:space="preserve"> ולערוך את רשימת החומר</w:t>
      </w:r>
      <w:r w:rsidR="005E282D" w:rsidRPr="00BD1C8A">
        <w:rPr>
          <w:rFonts w:ascii="David" w:hAnsi="David" w:hint="cs"/>
          <w:sz w:val="24"/>
          <w:szCs w:val="24"/>
          <w:rtl/>
        </w:rPr>
        <w:t>,</w:t>
      </w:r>
      <w:r w:rsidR="005E282D" w:rsidRPr="00BD1C8A">
        <w:rPr>
          <w:rFonts w:ascii="David" w:hAnsi="David"/>
          <w:sz w:val="24"/>
          <w:szCs w:val="24"/>
          <w:rtl/>
        </w:rPr>
        <w:t xml:space="preserve"> לפי הנחיות של היועץ המשפטי לממשלה/פרקליט המדינה</w:t>
      </w:r>
      <w:r w:rsidR="005E282D" w:rsidRPr="00BD1C8A">
        <w:rPr>
          <w:rFonts w:ascii="David" w:hAnsi="David" w:hint="cs"/>
          <w:sz w:val="24"/>
          <w:szCs w:val="24"/>
          <w:rtl/>
        </w:rPr>
        <w:t xml:space="preserve">. </w:t>
      </w:r>
    </w:p>
    <w:p w:rsidR="005E282D" w:rsidRDefault="00631196" w:rsidP="00041C5D">
      <w:pPr>
        <w:pStyle w:val="Hesber"/>
        <w:spacing w:before="10"/>
        <w:ind w:firstLine="0"/>
        <w:rPr>
          <w:rFonts w:ascii="David" w:hAnsi="David"/>
          <w:sz w:val="24"/>
          <w:szCs w:val="24"/>
          <w:rtl/>
        </w:rPr>
      </w:pPr>
      <w:r w:rsidRPr="00631196">
        <w:rPr>
          <w:rFonts w:ascii="David" w:hAnsi="David" w:hint="cs"/>
          <w:sz w:val="24"/>
          <w:szCs w:val="24"/>
          <w:u w:val="single"/>
          <w:rtl/>
        </w:rPr>
        <w:t>תיקון נוסף שהוא חלק מהמתווה נוגע לפרוצדורה של הדיונים בהשגות בעניין חומר חקירה מודיעיני שיידמו לעתירה לגילוי ראיה</w:t>
      </w:r>
      <w:r>
        <w:rPr>
          <w:rFonts w:ascii="David" w:hAnsi="David" w:hint="cs"/>
          <w:sz w:val="24"/>
          <w:szCs w:val="24"/>
          <w:rtl/>
        </w:rPr>
        <w:t xml:space="preserve">: הצורך להגן על המידע המודיעיני דומה, ויש טעם ביצירת אחידות פרוצדורלית. בין היתר מוצע שבית המשפט </w:t>
      </w:r>
      <w:r w:rsidRPr="00631196">
        <w:rPr>
          <w:rFonts w:ascii="David" w:hAnsi="David" w:hint="cs"/>
          <w:sz w:val="24"/>
          <w:szCs w:val="24"/>
          <w:u w:val="single"/>
          <w:rtl/>
        </w:rPr>
        <w:t>יתרשם מיריעת המחלוקת</w:t>
      </w:r>
      <w:r>
        <w:rPr>
          <w:rFonts w:ascii="David" w:hAnsi="David" w:hint="cs"/>
          <w:sz w:val="24"/>
          <w:szCs w:val="24"/>
          <w:rtl/>
        </w:rPr>
        <w:t xml:space="preserve"> כשהוא מקבל החלטה בהשגה על נושא של חומר חקירה, מה שיחייב את ההגנה להסביר לבית המשפט (וניתן לעשות זאת במעמד צד אחד) את קו ההגנה. </w:t>
      </w:r>
      <w:r w:rsidR="005E282D" w:rsidRPr="00BD1C8A">
        <w:rPr>
          <w:rFonts w:ascii="David" w:hAnsi="David" w:hint="cs"/>
          <w:sz w:val="24"/>
          <w:szCs w:val="24"/>
          <w:rtl/>
        </w:rPr>
        <w:t xml:space="preserve">בנוסף, </w:t>
      </w:r>
      <w:r w:rsidR="005E282D" w:rsidRPr="00631196">
        <w:rPr>
          <w:rFonts w:ascii="David" w:hAnsi="David" w:hint="cs"/>
          <w:sz w:val="24"/>
          <w:szCs w:val="24"/>
          <w:u w:val="single"/>
          <w:rtl/>
        </w:rPr>
        <w:t>מוצע לתקן את הסעיפים הקיימים היום בעניין תעודות החיסיון במספר נקודות, שיביאו לייעול ההליך</w:t>
      </w:r>
      <w:r w:rsidR="005E282D">
        <w:rPr>
          <w:rFonts w:ascii="David" w:hAnsi="David" w:hint="cs"/>
          <w:sz w:val="24"/>
          <w:szCs w:val="24"/>
          <w:rtl/>
        </w:rPr>
        <w:t>,</w:t>
      </w:r>
      <w:r w:rsidR="005E282D" w:rsidRPr="00BD1C8A">
        <w:rPr>
          <w:rFonts w:ascii="David" w:hAnsi="David" w:hint="cs"/>
          <w:sz w:val="24"/>
          <w:szCs w:val="24"/>
          <w:rtl/>
        </w:rPr>
        <w:t xml:space="preserve"> וביניהם האפשרות שהשר יאצול את הסמכות לחתום על תעודת חסיון לגורם בכיר,</w:t>
      </w:r>
      <w:r w:rsidR="005E282D">
        <w:rPr>
          <w:rFonts w:ascii="David" w:hAnsi="David" w:hint="cs"/>
          <w:sz w:val="24"/>
          <w:szCs w:val="24"/>
          <w:rtl/>
        </w:rPr>
        <w:t xml:space="preserve"> </w:t>
      </w:r>
      <w:r w:rsidR="005E282D" w:rsidRPr="00041C5D">
        <w:rPr>
          <w:rFonts w:ascii="David" w:hAnsi="David" w:hint="cs"/>
          <w:sz w:val="24"/>
          <w:szCs w:val="24"/>
          <w:u w:val="single"/>
          <w:rtl/>
        </w:rPr>
        <w:t xml:space="preserve">וכן </w:t>
      </w:r>
      <w:r w:rsidR="00041C5D" w:rsidRPr="00041C5D">
        <w:rPr>
          <w:rFonts w:ascii="David" w:hAnsi="David" w:hint="cs"/>
          <w:sz w:val="24"/>
          <w:szCs w:val="24"/>
          <w:u w:val="single"/>
          <w:rtl/>
        </w:rPr>
        <w:t xml:space="preserve">להוסיף עילה </w:t>
      </w:r>
      <w:r w:rsidR="005E282D" w:rsidRPr="00041C5D">
        <w:rPr>
          <w:rFonts w:ascii="David" w:hAnsi="David" w:hint="cs"/>
          <w:sz w:val="24"/>
          <w:szCs w:val="24"/>
          <w:u w:val="single"/>
          <w:rtl/>
        </w:rPr>
        <w:t xml:space="preserve"> </w:t>
      </w:r>
      <w:r w:rsidR="005E282D" w:rsidRPr="00041C5D">
        <w:rPr>
          <w:rFonts w:ascii="David" w:hAnsi="David"/>
          <w:sz w:val="24"/>
          <w:szCs w:val="24"/>
          <w:u w:val="single"/>
          <w:rtl/>
        </w:rPr>
        <w:t>להוצ</w:t>
      </w:r>
      <w:r w:rsidR="00041C5D" w:rsidRPr="00041C5D">
        <w:rPr>
          <w:rFonts w:ascii="David" w:hAnsi="David" w:hint="cs"/>
          <w:sz w:val="24"/>
          <w:szCs w:val="24"/>
          <w:u w:val="single"/>
          <w:rtl/>
        </w:rPr>
        <w:t>את</w:t>
      </w:r>
      <w:r w:rsidR="005E282D" w:rsidRPr="00041C5D">
        <w:rPr>
          <w:rFonts w:ascii="David" w:hAnsi="David"/>
          <w:sz w:val="24"/>
          <w:szCs w:val="24"/>
          <w:u w:val="single"/>
          <w:rtl/>
        </w:rPr>
        <w:t xml:space="preserve"> תעודת חסיון אם הפגיעה עלולה להיגרם מצירוף של הראיות</w:t>
      </w:r>
      <w:r w:rsidR="005E282D" w:rsidRPr="005E282D">
        <w:rPr>
          <w:rFonts w:ascii="David" w:hAnsi="David"/>
          <w:sz w:val="24"/>
          <w:szCs w:val="24"/>
          <w:rtl/>
        </w:rPr>
        <w:t xml:space="preserve"> לראיות אחרות שאינן קשורות לאותו הליך</w:t>
      </w:r>
      <w:r w:rsidR="00041C5D">
        <w:rPr>
          <w:rFonts w:ascii="David" w:hAnsi="David" w:hint="cs"/>
          <w:sz w:val="24"/>
          <w:szCs w:val="24"/>
          <w:rtl/>
        </w:rPr>
        <w:t>. עוד מוצע לעגן את מבחני הפסיקה בעניין גילוי ראייה.</w:t>
      </w:r>
      <w:r w:rsidR="005E282D" w:rsidRPr="00BD1C8A">
        <w:rPr>
          <w:rFonts w:ascii="David" w:hAnsi="David" w:hint="cs"/>
          <w:sz w:val="24"/>
          <w:szCs w:val="24"/>
          <w:rtl/>
        </w:rPr>
        <w:t xml:space="preserve"> </w:t>
      </w:r>
    </w:p>
    <w:p w:rsidR="005B3C49" w:rsidRDefault="005B3C49" w:rsidP="004E15E9">
      <w:pPr>
        <w:pStyle w:val="Hesber"/>
        <w:spacing w:before="10"/>
        <w:ind w:firstLine="0"/>
        <w:rPr>
          <w:rFonts w:asciiTheme="minorHAnsi" w:hAnsiTheme="minorHAnsi"/>
          <w:sz w:val="24"/>
          <w:szCs w:val="24"/>
          <w:rtl/>
        </w:rPr>
      </w:pPr>
    </w:p>
    <w:p w:rsidR="005E282D" w:rsidRDefault="005E282D" w:rsidP="004E15E9">
      <w:pPr>
        <w:pStyle w:val="Hesber"/>
        <w:spacing w:before="10"/>
        <w:ind w:firstLine="0"/>
        <w:rPr>
          <w:rFonts w:asciiTheme="minorHAnsi" w:hAnsiTheme="minorHAnsi"/>
          <w:sz w:val="24"/>
          <w:szCs w:val="24"/>
          <w:rtl/>
        </w:rPr>
      </w:pPr>
    </w:p>
    <w:p w:rsidR="005E282D" w:rsidRPr="00BD1C8A" w:rsidRDefault="005E282D" w:rsidP="004E15E9">
      <w:pPr>
        <w:pStyle w:val="Hesber"/>
        <w:spacing w:before="10"/>
        <w:ind w:firstLine="0"/>
        <w:rPr>
          <w:rFonts w:asciiTheme="minorHAnsi" w:hAnsiTheme="minorHAnsi"/>
          <w:sz w:val="24"/>
          <w:szCs w:val="24"/>
          <w:rtl/>
        </w:rPr>
      </w:pPr>
    </w:p>
    <w:p w:rsidR="005E282D" w:rsidRDefault="005E282D" w:rsidP="00026C60">
      <w:pPr>
        <w:pStyle w:val="Hesber"/>
        <w:spacing w:before="10"/>
        <w:ind w:firstLine="0"/>
        <w:rPr>
          <w:rFonts w:ascii="David" w:hAnsi="David"/>
          <w:b/>
          <w:bCs/>
          <w:sz w:val="24"/>
          <w:szCs w:val="24"/>
          <w:u w:val="single"/>
          <w:rtl/>
        </w:rPr>
      </w:pPr>
    </w:p>
    <w:p w:rsidR="00026C60" w:rsidRPr="00EB0057" w:rsidRDefault="00026C60" w:rsidP="00026C60">
      <w:pPr>
        <w:pStyle w:val="Hesber"/>
        <w:spacing w:before="10"/>
        <w:ind w:firstLine="0"/>
        <w:rPr>
          <w:rFonts w:ascii="David" w:hAnsi="David"/>
          <w:b/>
          <w:bCs/>
          <w:sz w:val="24"/>
          <w:szCs w:val="24"/>
          <w:u w:val="single"/>
          <w:rtl/>
        </w:rPr>
      </w:pPr>
      <w:r w:rsidRPr="00EB0057">
        <w:rPr>
          <w:rFonts w:ascii="David" w:hAnsi="David" w:hint="cs"/>
          <w:b/>
          <w:bCs/>
          <w:sz w:val="24"/>
          <w:szCs w:val="24"/>
          <w:u w:val="single"/>
          <w:rtl/>
        </w:rPr>
        <w:t>נוסח משולב</w:t>
      </w:r>
      <w:r>
        <w:rPr>
          <w:rFonts w:ascii="David" w:hAnsi="David" w:hint="cs"/>
          <w:b/>
          <w:bCs/>
          <w:sz w:val="24"/>
          <w:szCs w:val="24"/>
          <w:u w:val="single"/>
          <w:rtl/>
        </w:rPr>
        <w:t xml:space="preserve"> לדיון</w:t>
      </w:r>
      <w:r w:rsidRPr="00EB0057">
        <w:rPr>
          <w:rFonts w:ascii="David" w:hAnsi="David" w:hint="cs"/>
          <w:b/>
          <w:bCs/>
          <w:sz w:val="24"/>
          <w:szCs w:val="24"/>
          <w:u w:val="single"/>
          <w:rtl/>
        </w:rPr>
        <w:t>:</w:t>
      </w:r>
    </w:p>
    <w:p w:rsidR="00026C60" w:rsidRDefault="00026C60" w:rsidP="003D5C41">
      <w:pPr>
        <w:pStyle w:val="Hesber"/>
        <w:spacing w:before="10"/>
        <w:ind w:firstLine="0"/>
        <w:rPr>
          <w:rFonts w:asciiTheme="minorHAnsi" w:hAnsiTheme="minorHAnsi"/>
          <w:sz w:val="24"/>
          <w:szCs w:val="24"/>
          <w:rtl/>
        </w:rPr>
      </w:pPr>
    </w:p>
    <w:p w:rsidR="002C2D98" w:rsidRPr="00BD1C8A" w:rsidRDefault="002C2D98" w:rsidP="003D5C41">
      <w:pPr>
        <w:pStyle w:val="Hesber"/>
        <w:spacing w:before="10"/>
        <w:ind w:firstLine="0"/>
        <w:rPr>
          <w:rFonts w:asciiTheme="minorHAnsi" w:hAnsiTheme="minorHAnsi"/>
          <w:sz w:val="24"/>
          <w:szCs w:val="24"/>
          <w:rtl/>
        </w:rPr>
      </w:pPr>
      <w:r w:rsidRPr="00BD1C8A">
        <w:rPr>
          <w:rFonts w:asciiTheme="minorHAnsi" w:hAnsiTheme="minorHAnsi" w:hint="cs"/>
          <w:sz w:val="24"/>
          <w:szCs w:val="24"/>
          <w:rtl/>
        </w:rPr>
        <w:t>להלן נוסח לדיון</w:t>
      </w:r>
      <w:r w:rsidR="005F52F8">
        <w:rPr>
          <w:rFonts w:asciiTheme="minorHAnsi" w:hAnsiTheme="minorHAnsi" w:hint="cs"/>
          <w:sz w:val="24"/>
          <w:szCs w:val="24"/>
          <w:rtl/>
        </w:rPr>
        <w:t>, משולב בחוק הקיים</w:t>
      </w:r>
      <w:r w:rsidR="003D5C41">
        <w:rPr>
          <w:rFonts w:asciiTheme="minorHAnsi" w:hAnsiTheme="minorHAnsi" w:hint="cs"/>
          <w:sz w:val="24"/>
          <w:szCs w:val="24"/>
          <w:rtl/>
        </w:rPr>
        <w:t xml:space="preserve"> (</w:t>
      </w:r>
      <w:r w:rsidR="00134945">
        <w:rPr>
          <w:rFonts w:asciiTheme="minorHAnsi" w:hAnsiTheme="minorHAnsi" w:hint="cs"/>
          <w:sz w:val="24"/>
          <w:szCs w:val="24"/>
          <w:rtl/>
        </w:rPr>
        <w:t>החוק הקיים מופיע בשחור, ו</w:t>
      </w:r>
      <w:r w:rsidR="003D5C41">
        <w:rPr>
          <w:rFonts w:asciiTheme="minorHAnsi" w:hAnsiTheme="minorHAnsi" w:hint="cs"/>
          <w:sz w:val="24"/>
          <w:szCs w:val="24"/>
          <w:rtl/>
        </w:rPr>
        <w:t>התיקונים מסומנים באדום)</w:t>
      </w:r>
      <w:r w:rsidR="005F52F8">
        <w:rPr>
          <w:rFonts w:asciiTheme="minorHAnsi" w:hAnsiTheme="minorHAnsi" w:hint="cs"/>
          <w:sz w:val="24"/>
          <w:szCs w:val="24"/>
          <w:rtl/>
        </w:rPr>
        <w:t>,</w:t>
      </w:r>
      <w:r w:rsidRPr="00BD1C8A">
        <w:rPr>
          <w:rFonts w:asciiTheme="minorHAnsi" w:hAnsiTheme="minorHAnsi" w:hint="cs"/>
          <w:sz w:val="24"/>
          <w:szCs w:val="24"/>
          <w:rtl/>
        </w:rPr>
        <w:t xml:space="preserve"> עם דברי הסבר קצרים</w:t>
      </w:r>
      <w:r w:rsidR="00002E53">
        <w:rPr>
          <w:rFonts w:asciiTheme="minorHAnsi" w:hAnsiTheme="minorHAnsi" w:hint="cs"/>
          <w:sz w:val="24"/>
          <w:szCs w:val="24"/>
          <w:rtl/>
        </w:rPr>
        <w:t>:</w:t>
      </w:r>
    </w:p>
    <w:p w:rsidR="00BD1C8A" w:rsidRPr="00BD1C8A" w:rsidRDefault="00BD1C8A" w:rsidP="00AC2442">
      <w:pPr>
        <w:pStyle w:val="Hesber"/>
        <w:spacing w:before="10"/>
        <w:ind w:firstLine="0"/>
        <w:rPr>
          <w:rFonts w:ascii="David" w:hAnsi="David"/>
          <w:sz w:val="24"/>
          <w:szCs w:val="24"/>
          <w:rtl/>
        </w:rPr>
      </w:pPr>
    </w:p>
    <w:p w:rsidR="00BD1C8A" w:rsidRPr="00E81433" w:rsidRDefault="00BD1C8A" w:rsidP="005045EC">
      <w:pPr>
        <w:pStyle w:val="ab"/>
        <w:numPr>
          <w:ilvl w:val="0"/>
          <w:numId w:val="7"/>
        </w:numPr>
        <w:spacing w:after="200" w:line="276" w:lineRule="auto"/>
        <w:jc w:val="both"/>
        <w:rPr>
          <w:rFonts w:asciiTheme="minorHAnsi" w:eastAsiaTheme="minorHAnsi" w:hAnsiTheme="minorHAnsi" w:cs="David"/>
          <w:b/>
          <w:bCs/>
          <w:u w:val="single"/>
          <w:rtl/>
          <w:lang w:eastAsia="en-US"/>
        </w:rPr>
      </w:pPr>
      <w:r w:rsidRPr="00E81433">
        <w:rPr>
          <w:rFonts w:asciiTheme="minorHAnsi" w:eastAsiaTheme="minorHAnsi" w:hAnsiTheme="minorHAnsi" w:cs="David"/>
          <w:b/>
          <w:bCs/>
          <w:u w:val="single"/>
          <w:rtl/>
          <w:lang w:eastAsia="en-US"/>
        </w:rPr>
        <w:t>מוצע לקבוע מהו "חומר חקירה" מודיעיני, באופן המצמצם את הפסיקה לגבי חומר חקירה "כללי"</w:t>
      </w:r>
      <w:r w:rsidRPr="00E81433">
        <w:rPr>
          <w:rFonts w:asciiTheme="minorHAnsi" w:eastAsiaTheme="minorHAnsi" w:hAnsiTheme="minorHAnsi" w:cs="David" w:hint="cs"/>
          <w:b/>
          <w:bCs/>
          <w:u w:val="single"/>
          <w:rtl/>
          <w:lang w:eastAsia="en-US"/>
        </w:rPr>
        <w:t>. רק חומר שקשור "לגרעין" האישום יוגדר כחומר חקירה שיש להעבירו לנאשם</w:t>
      </w:r>
      <w:r w:rsidR="005045EC">
        <w:rPr>
          <w:rFonts w:asciiTheme="minorHAnsi" w:eastAsiaTheme="minorHAnsi" w:hAnsiTheme="minorHAnsi" w:cs="David" w:hint="cs"/>
          <w:b/>
          <w:bCs/>
          <w:u w:val="single"/>
          <w:rtl/>
          <w:lang w:eastAsia="en-US"/>
        </w:rPr>
        <w:t>, ו</w:t>
      </w:r>
      <w:r w:rsidR="005045EC" w:rsidRPr="005045EC">
        <w:rPr>
          <w:rFonts w:asciiTheme="minorHAnsi" w:eastAsiaTheme="minorHAnsi" w:hAnsiTheme="minorHAnsi" w:cs="David"/>
          <w:b/>
          <w:bCs/>
          <w:u w:val="single"/>
          <w:rtl/>
          <w:lang w:eastAsia="en-US"/>
        </w:rPr>
        <w:t>לעגן בהנחיות את הבדיקה הפרטנית</w:t>
      </w:r>
      <w:r w:rsidR="005045EC">
        <w:rPr>
          <w:rFonts w:asciiTheme="minorHAnsi" w:eastAsiaTheme="minorHAnsi" w:hAnsiTheme="minorHAnsi" w:cs="David" w:hint="cs"/>
          <w:b/>
          <w:bCs/>
          <w:u w:val="single"/>
          <w:rtl/>
          <w:lang w:eastAsia="en-US"/>
        </w:rPr>
        <w:t xml:space="preserve"> של חומר החקירה בתוך רשויות המדינה</w:t>
      </w:r>
      <w:r w:rsidR="005045EC" w:rsidRPr="005045EC">
        <w:rPr>
          <w:rFonts w:asciiTheme="minorHAnsi" w:eastAsiaTheme="minorHAnsi" w:hAnsiTheme="minorHAnsi" w:cs="David"/>
          <w:b/>
          <w:bCs/>
          <w:u w:val="single"/>
          <w:rtl/>
          <w:lang w:eastAsia="en-US"/>
        </w:rPr>
        <w:t xml:space="preserve">, כפי שהיא מתקיימת היום. </w:t>
      </w:r>
      <w:r w:rsidR="008F140A">
        <w:rPr>
          <w:rFonts w:asciiTheme="minorHAnsi" w:eastAsiaTheme="minorHAnsi" w:hAnsiTheme="minorHAnsi" w:cs="David" w:hint="cs"/>
          <w:b/>
          <w:bCs/>
          <w:u w:val="single"/>
          <w:rtl/>
          <w:lang w:eastAsia="en-US"/>
        </w:rPr>
        <w:t xml:space="preserve">בניגוד לבקשות אחרות בעניין עיון </w:t>
      </w:r>
      <w:r w:rsidR="00E63810">
        <w:rPr>
          <w:rFonts w:asciiTheme="minorHAnsi" w:eastAsiaTheme="minorHAnsi" w:hAnsiTheme="minorHAnsi" w:cs="David" w:hint="cs"/>
          <w:b/>
          <w:bCs/>
          <w:u w:val="single"/>
          <w:rtl/>
          <w:lang w:eastAsia="en-US"/>
        </w:rPr>
        <w:t>ב</w:t>
      </w:r>
      <w:r w:rsidR="008F140A">
        <w:rPr>
          <w:rFonts w:asciiTheme="minorHAnsi" w:eastAsiaTheme="minorHAnsi" w:hAnsiTheme="minorHAnsi" w:cs="David" w:hint="cs"/>
          <w:b/>
          <w:bCs/>
          <w:u w:val="single"/>
          <w:rtl/>
          <w:lang w:eastAsia="en-US"/>
        </w:rPr>
        <w:t xml:space="preserve">חומר חקירה, </w:t>
      </w:r>
      <w:r w:rsidR="00360126">
        <w:rPr>
          <w:rFonts w:asciiTheme="minorHAnsi" w:eastAsiaTheme="minorHAnsi" w:hAnsiTheme="minorHAnsi" w:cs="David" w:hint="cs"/>
          <w:b/>
          <w:bCs/>
          <w:u w:val="single"/>
          <w:rtl/>
          <w:lang w:eastAsia="en-US"/>
        </w:rPr>
        <w:t>בקשות לעיין בחומר ה</w:t>
      </w:r>
      <w:r w:rsidR="00907055">
        <w:rPr>
          <w:rFonts w:asciiTheme="minorHAnsi" w:eastAsiaTheme="minorHAnsi" w:hAnsiTheme="minorHAnsi" w:cs="David" w:hint="cs"/>
          <w:b/>
          <w:bCs/>
          <w:u w:val="single"/>
          <w:rtl/>
          <w:lang w:eastAsia="en-US"/>
        </w:rPr>
        <w:t>מודיעיני שלא הועבר לנאשם ידונו כ</w:t>
      </w:r>
      <w:r w:rsidR="008F140A">
        <w:rPr>
          <w:rFonts w:asciiTheme="minorHAnsi" w:eastAsiaTheme="minorHAnsi" w:hAnsiTheme="minorHAnsi" w:cs="David" w:hint="cs"/>
          <w:b/>
          <w:bCs/>
          <w:u w:val="single"/>
          <w:rtl/>
          <w:lang w:eastAsia="en-US"/>
        </w:rPr>
        <w:t>כל</w:t>
      </w:r>
      <w:r w:rsidR="00907055">
        <w:rPr>
          <w:rFonts w:asciiTheme="minorHAnsi" w:eastAsiaTheme="minorHAnsi" w:hAnsiTheme="minorHAnsi" w:cs="David" w:hint="cs"/>
          <w:b/>
          <w:bCs/>
          <w:u w:val="single"/>
          <w:rtl/>
          <w:lang w:eastAsia="en-US"/>
        </w:rPr>
        <w:t xml:space="preserve">ל בפני השופט הדן בתיק, (או בבית המשפט העליון כשמדובר ברשויות המודיעין של השב"כ, מוסד וצה"ל), אלא אם כן השופט העביר את התיק לשופט אחר </w:t>
      </w:r>
      <w:r w:rsidR="00907055">
        <w:rPr>
          <w:rFonts w:asciiTheme="minorHAnsi" w:eastAsiaTheme="minorHAnsi" w:hAnsiTheme="minorHAnsi" w:cs="David"/>
          <w:b/>
          <w:bCs/>
          <w:u w:val="single"/>
          <w:rtl/>
          <w:lang w:eastAsia="en-US"/>
        </w:rPr>
        <w:t>–</w:t>
      </w:r>
      <w:r w:rsidR="00907055">
        <w:rPr>
          <w:rFonts w:asciiTheme="minorHAnsi" w:eastAsiaTheme="minorHAnsi" w:hAnsiTheme="minorHAnsi" w:cs="David" w:hint="cs"/>
          <w:b/>
          <w:bCs/>
          <w:u w:val="single"/>
          <w:rtl/>
          <w:lang w:eastAsia="en-US"/>
        </w:rPr>
        <w:t xml:space="preserve"> בדומה למצב היום בדיון בעתירה לגילוי ראיה חסויה</w:t>
      </w:r>
      <w:r w:rsidRPr="00E81433">
        <w:rPr>
          <w:rFonts w:asciiTheme="minorHAnsi" w:eastAsiaTheme="minorHAnsi" w:hAnsiTheme="minorHAnsi" w:cs="David" w:hint="cs"/>
          <w:b/>
          <w:bCs/>
          <w:u w:val="single"/>
          <w:rtl/>
          <w:lang w:eastAsia="en-US"/>
        </w:rPr>
        <w:t xml:space="preserve">: </w:t>
      </w:r>
    </w:p>
    <w:p w:rsidR="00BD1C8A" w:rsidRDefault="00BD1C8A" w:rsidP="00BD1C8A">
      <w:pPr>
        <w:spacing w:after="200" w:line="276" w:lineRule="auto"/>
        <w:jc w:val="both"/>
        <w:rPr>
          <w:rFonts w:asciiTheme="minorHAnsi" w:eastAsiaTheme="minorHAnsi" w:hAnsiTheme="minorHAnsi" w:cs="David"/>
          <w:b/>
          <w:bCs/>
          <w:sz w:val="26"/>
          <w:szCs w:val="26"/>
          <w:rtl/>
          <w:lang w:eastAsia="en-US"/>
        </w:rPr>
      </w:pPr>
    </w:p>
    <w:p w:rsidR="00BD1C8A" w:rsidRPr="00BD1C8A" w:rsidRDefault="00BD1C8A" w:rsidP="00BD1C8A">
      <w:pPr>
        <w:pStyle w:val="Hesber"/>
        <w:spacing w:before="10"/>
        <w:ind w:firstLine="0"/>
        <w:jc w:val="left"/>
        <w:rPr>
          <w:rFonts w:ascii="David" w:hAnsi="David"/>
          <w:b/>
          <w:bCs/>
          <w:sz w:val="24"/>
          <w:szCs w:val="24"/>
          <w:rtl/>
        </w:rPr>
      </w:pPr>
      <w:r w:rsidRPr="00BD1C8A">
        <w:rPr>
          <w:rFonts w:ascii="David" w:hAnsi="David"/>
          <w:b/>
          <w:bCs/>
          <w:sz w:val="24"/>
          <w:szCs w:val="24"/>
          <w:rtl/>
        </w:rPr>
        <w:t>חוק סדר הדין הפלילי [נוסח משולב], תשמ"ב-1982</w:t>
      </w:r>
    </w:p>
    <w:p w:rsidR="00BD1C8A" w:rsidRPr="00BD1C8A" w:rsidRDefault="00BD1C8A" w:rsidP="00A71B13">
      <w:pPr>
        <w:spacing w:after="200" w:line="276" w:lineRule="auto"/>
        <w:ind w:leftChars="322" w:left="773" w:rightChars="709" w:right="1702" w:firstLine="360"/>
        <w:jc w:val="both"/>
        <w:rPr>
          <w:rFonts w:asciiTheme="minorHAnsi" w:eastAsiaTheme="minorHAnsi" w:hAnsiTheme="minorHAnsi" w:cs="David"/>
          <w:b/>
          <w:bCs/>
          <w:sz w:val="26"/>
          <w:szCs w:val="26"/>
          <w:lang w:eastAsia="en-US"/>
        </w:rPr>
      </w:pPr>
      <w:r w:rsidRPr="00BD1C8A">
        <w:rPr>
          <w:rFonts w:asciiTheme="minorHAnsi" w:eastAsiaTheme="minorHAnsi" w:hAnsiTheme="minorHAnsi" w:cs="David" w:hint="cs"/>
          <w:b/>
          <w:bCs/>
          <w:sz w:val="26"/>
          <w:szCs w:val="26"/>
          <w:rtl/>
          <w:lang w:eastAsia="en-US"/>
        </w:rPr>
        <w:t>עיון</w:t>
      </w:r>
      <w:r w:rsidRPr="00BD1C8A">
        <w:rPr>
          <w:rFonts w:asciiTheme="minorHAnsi" w:eastAsiaTheme="minorHAnsi" w:hAnsiTheme="minorHAnsi" w:cs="David"/>
          <w:b/>
          <w:bCs/>
          <w:sz w:val="26"/>
          <w:szCs w:val="26"/>
          <w:rtl/>
          <w:lang w:eastAsia="en-US"/>
        </w:rPr>
        <w:t xml:space="preserve"> </w:t>
      </w:r>
      <w:r w:rsidRPr="00BD1C8A">
        <w:rPr>
          <w:rFonts w:asciiTheme="minorHAnsi" w:eastAsiaTheme="minorHAnsi" w:hAnsiTheme="minorHAnsi" w:cs="David" w:hint="cs"/>
          <w:b/>
          <w:bCs/>
          <w:sz w:val="26"/>
          <w:szCs w:val="26"/>
          <w:rtl/>
          <w:lang w:eastAsia="en-US"/>
        </w:rPr>
        <w:t>בחומר</w:t>
      </w:r>
      <w:r w:rsidRPr="00BD1C8A">
        <w:rPr>
          <w:rFonts w:asciiTheme="minorHAnsi" w:eastAsiaTheme="minorHAnsi" w:hAnsiTheme="minorHAnsi" w:cs="David"/>
          <w:b/>
          <w:bCs/>
          <w:sz w:val="26"/>
          <w:szCs w:val="26"/>
          <w:rtl/>
          <w:lang w:eastAsia="en-US"/>
        </w:rPr>
        <w:t xml:space="preserve"> </w:t>
      </w:r>
      <w:r w:rsidRPr="00BD1C8A">
        <w:rPr>
          <w:rFonts w:asciiTheme="minorHAnsi" w:eastAsiaTheme="minorHAnsi" w:hAnsiTheme="minorHAnsi" w:cs="David" w:hint="cs"/>
          <w:b/>
          <w:bCs/>
          <w:sz w:val="26"/>
          <w:szCs w:val="26"/>
          <w:rtl/>
          <w:lang w:eastAsia="en-US"/>
        </w:rPr>
        <w:t>החקירה</w:t>
      </w:r>
    </w:p>
    <w:p w:rsidR="00BD1C8A" w:rsidRDefault="00BD1C8A" w:rsidP="00A71B13">
      <w:pPr>
        <w:spacing w:after="200" w:line="276" w:lineRule="auto"/>
        <w:ind w:leftChars="472" w:left="1133" w:rightChars="709" w:right="1702"/>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sz w:val="26"/>
          <w:szCs w:val="26"/>
          <w:rtl/>
          <w:lang w:eastAsia="en-US"/>
        </w:rPr>
        <w:t>74.    (</w:t>
      </w:r>
      <w:r w:rsidRPr="00BD1C8A">
        <w:rPr>
          <w:rFonts w:asciiTheme="minorHAnsi" w:eastAsiaTheme="minorHAnsi" w:hAnsiTheme="minorHAnsi" w:cs="David" w:hint="cs"/>
          <w:sz w:val="26"/>
          <w:szCs w:val="26"/>
          <w:rtl/>
          <w:lang w:eastAsia="en-US"/>
        </w:rPr>
        <w:t>א</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הוגש</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כתב</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אישום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בפשע</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בעוון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רשאים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הנאשם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וסניגורו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וכן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אדם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שהסניגור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הסמיכו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לכך</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בהסכמת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התובע</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אדם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שהנאשם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הסמיכו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לכך</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לעיין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בכל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זמן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סביר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בחומר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החקירה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וכן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ברשימת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כל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החומר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שנאסף</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שנרשם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בידי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הרשות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החוקרת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והנוגע</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לאישום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שבידי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התובע</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ולהעתיקו</w:t>
      </w:r>
      <w:r w:rsidRPr="00BD1C8A">
        <w:rPr>
          <w:rFonts w:asciiTheme="minorHAnsi" w:eastAsiaTheme="minorHAnsi" w:hAnsiTheme="minorHAnsi" w:cs="David"/>
          <w:sz w:val="26"/>
          <w:szCs w:val="26"/>
          <w:rtl/>
          <w:lang w:eastAsia="en-US"/>
        </w:rPr>
        <w:t>.</w:t>
      </w:r>
      <w:r w:rsidRPr="00BD1C8A">
        <w:rPr>
          <w:rFonts w:asciiTheme="minorHAnsi" w:eastAsiaTheme="minorHAnsi" w:hAnsiTheme="minorHAnsi" w:cs="David" w:hint="eastAsia"/>
          <w:sz w:val="26"/>
          <w:szCs w:val="26"/>
          <w:rtl/>
          <w:lang w:eastAsia="en-US"/>
        </w:rPr>
        <w:t xml:space="preserve"> </w:t>
      </w:r>
      <w:r w:rsidRPr="00BD1C8A">
        <w:rPr>
          <w:rFonts w:asciiTheme="minorHAnsi" w:eastAsiaTheme="minorHAnsi" w:hAnsiTheme="minorHAnsi" w:cs="David" w:hint="eastAsia"/>
          <w:color w:val="FF0000"/>
          <w:sz w:val="26"/>
          <w:szCs w:val="26"/>
          <w:u w:val="single"/>
          <w:rtl/>
          <w:lang w:eastAsia="en-US"/>
        </w:rPr>
        <w:t>לעניין</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זה</w:t>
      </w:r>
      <w:r w:rsidRPr="00BD1C8A">
        <w:rPr>
          <w:rFonts w:asciiTheme="minorHAnsi" w:eastAsiaTheme="minorHAnsi" w:hAnsiTheme="minorHAnsi" w:cs="David"/>
          <w:color w:val="FF0000"/>
          <w:sz w:val="26"/>
          <w:szCs w:val="26"/>
          <w:u w:val="single"/>
          <w:rtl/>
          <w:lang w:eastAsia="en-US"/>
        </w:rPr>
        <w:t>, "</w:t>
      </w:r>
      <w:r w:rsidRPr="00BD1C8A">
        <w:rPr>
          <w:rFonts w:asciiTheme="minorHAnsi" w:eastAsiaTheme="minorHAnsi" w:hAnsiTheme="minorHAnsi" w:cs="David" w:hint="eastAsia"/>
          <w:color w:val="FF0000"/>
          <w:sz w:val="26"/>
          <w:szCs w:val="26"/>
          <w:u w:val="single"/>
          <w:rtl/>
          <w:lang w:eastAsia="en-US"/>
        </w:rPr>
        <w:t>רשימת</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כל</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החומר</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cs"/>
          <w:color w:val="FF0000"/>
          <w:sz w:val="26"/>
          <w:szCs w:val="26"/>
          <w:u w:val="single"/>
          <w:rtl/>
          <w:lang w:eastAsia="en-US"/>
        </w:rPr>
        <w:t>–</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לרבות</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ציון</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קיומו</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של</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חומר</w:t>
      </w:r>
      <w:r>
        <w:rPr>
          <w:rFonts w:asciiTheme="minorHAnsi" w:eastAsiaTheme="minorHAnsi" w:hAnsiTheme="minorHAnsi" w:cs="David" w:hint="cs"/>
          <w:color w:val="FF0000"/>
          <w:sz w:val="26"/>
          <w:szCs w:val="26"/>
          <w:u w:val="single"/>
          <w:rtl/>
          <w:lang w:eastAsia="en-US"/>
        </w:rPr>
        <w:t xml:space="preserve"> שנאסף </w:t>
      </w:r>
      <w:r w:rsidRPr="00BD1C8A">
        <w:rPr>
          <w:rFonts w:asciiTheme="minorHAnsi" w:eastAsiaTheme="minorHAnsi" w:hAnsiTheme="minorHAnsi" w:cs="David" w:hint="cs"/>
          <w:color w:val="FF0000"/>
          <w:sz w:val="26"/>
          <w:szCs w:val="26"/>
          <w:u w:val="single"/>
          <w:rtl/>
          <w:lang w:eastAsia="en-US"/>
        </w:rPr>
        <w:t>או נרשם בתיק</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שאינו</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חומר</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חקירה</w:t>
      </w:r>
      <w:r w:rsidRPr="00BD1C8A">
        <w:rPr>
          <w:rFonts w:asciiTheme="minorHAnsi" w:eastAsiaTheme="minorHAnsi" w:hAnsiTheme="minorHAnsi" w:cs="David" w:hint="cs"/>
          <w:color w:val="FF0000"/>
          <w:sz w:val="26"/>
          <w:szCs w:val="26"/>
          <w:u w:val="single"/>
          <w:rtl/>
          <w:lang w:eastAsia="en-US"/>
        </w:rPr>
        <w:t xml:space="preserve">, ושל חומר </w:t>
      </w:r>
      <w:r>
        <w:rPr>
          <w:rFonts w:asciiTheme="minorHAnsi" w:eastAsiaTheme="minorHAnsi" w:hAnsiTheme="minorHAnsi" w:cs="David" w:hint="cs"/>
          <w:color w:val="FF0000"/>
          <w:sz w:val="26"/>
          <w:szCs w:val="26"/>
          <w:u w:val="single"/>
          <w:rtl/>
          <w:lang w:eastAsia="en-US"/>
        </w:rPr>
        <w:t>שנאסף או נרשם</w:t>
      </w:r>
      <w:r w:rsidRPr="00BD1C8A">
        <w:rPr>
          <w:rFonts w:asciiTheme="minorHAnsi" w:eastAsiaTheme="minorHAnsi" w:hAnsiTheme="minorHAnsi" w:cs="David" w:hint="cs"/>
          <w:color w:val="FF0000"/>
          <w:sz w:val="26"/>
          <w:szCs w:val="26"/>
          <w:u w:val="single"/>
          <w:rtl/>
          <w:lang w:eastAsia="en-US"/>
        </w:rPr>
        <w:t xml:space="preserve"> בתיק שהוא חסוי על פי כל דין, </w:t>
      </w:r>
      <w:r w:rsidRPr="00BD1C8A">
        <w:rPr>
          <w:rFonts w:asciiTheme="minorHAnsi" w:eastAsiaTheme="minorHAnsi" w:hAnsiTheme="minorHAnsi" w:cs="David" w:hint="eastAsia"/>
          <w:color w:val="FF0000"/>
          <w:sz w:val="26"/>
          <w:szCs w:val="26"/>
          <w:u w:val="single"/>
          <w:rtl/>
          <w:lang w:eastAsia="en-US"/>
        </w:rPr>
        <w:t>וכן</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פירוט</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של</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סוג</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החומר</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כאמור</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נושאו</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והמועד</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שבו</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נאסף</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או</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נרשם</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ובלבד</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שאין</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בפירוט</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האמור</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לגבי</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חומר</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שהוא</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חסוי</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כדי</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לפגוע</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בחיסיון</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על</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פי</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כל</w:t>
      </w:r>
      <w:r w:rsidRPr="00217E88">
        <w:rPr>
          <w:rFonts w:asciiTheme="minorHAnsi" w:eastAsiaTheme="minorHAnsi" w:hAnsiTheme="minorHAnsi" w:cs="David"/>
          <w:color w:val="FF0000"/>
          <w:sz w:val="26"/>
          <w:szCs w:val="26"/>
          <w:u w:val="single"/>
          <w:rtl/>
          <w:lang w:eastAsia="en-US"/>
        </w:rPr>
        <w:t xml:space="preserve"> </w:t>
      </w:r>
      <w:r w:rsidRPr="00217E88">
        <w:rPr>
          <w:rFonts w:asciiTheme="minorHAnsi" w:eastAsiaTheme="minorHAnsi" w:hAnsiTheme="minorHAnsi" w:cs="David" w:hint="cs"/>
          <w:color w:val="FF0000"/>
          <w:sz w:val="26"/>
          <w:szCs w:val="26"/>
          <w:u w:val="single"/>
          <w:rtl/>
          <w:lang w:eastAsia="en-US"/>
        </w:rPr>
        <w:t>דין</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היו</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בחומר</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כמה</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מסמכים</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מאותו</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סוג</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העוסקים</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באותו</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עניין</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ניתן</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לפרטם</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יחד</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כקבוצה</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בציון</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מספר</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המסמכים</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הנכללים</w:t>
      </w:r>
      <w:r w:rsidRPr="00BD1C8A">
        <w:rPr>
          <w:rFonts w:asciiTheme="minorHAnsi" w:eastAsiaTheme="minorHAnsi" w:hAnsiTheme="minorHAnsi" w:cs="David"/>
          <w:color w:val="FF0000"/>
          <w:sz w:val="26"/>
          <w:szCs w:val="26"/>
          <w:u w:val="single"/>
          <w:rtl/>
          <w:lang w:eastAsia="en-US"/>
        </w:rPr>
        <w:t xml:space="preserve"> </w:t>
      </w:r>
      <w:r w:rsidRPr="00BD1C8A">
        <w:rPr>
          <w:rFonts w:asciiTheme="minorHAnsi" w:eastAsiaTheme="minorHAnsi" w:hAnsiTheme="minorHAnsi" w:cs="David" w:hint="eastAsia"/>
          <w:color w:val="FF0000"/>
          <w:sz w:val="26"/>
          <w:szCs w:val="26"/>
          <w:u w:val="single"/>
          <w:rtl/>
          <w:lang w:eastAsia="en-US"/>
        </w:rPr>
        <w:t>בקבוצה</w:t>
      </w:r>
      <w:r w:rsidRPr="00BD1C8A">
        <w:rPr>
          <w:rFonts w:asciiTheme="minorHAnsi" w:eastAsiaTheme="minorHAnsi" w:hAnsiTheme="minorHAnsi" w:cs="David"/>
          <w:color w:val="FF0000"/>
          <w:sz w:val="26"/>
          <w:szCs w:val="26"/>
          <w:u w:val="single"/>
          <w:rtl/>
          <w:lang w:eastAsia="en-US"/>
        </w:rPr>
        <w:t>.</w:t>
      </w:r>
    </w:p>
    <w:p w:rsidR="00BD1C8A" w:rsidRPr="00BD1C8A" w:rsidRDefault="00BD1C8A" w:rsidP="00A71B13">
      <w:pPr>
        <w:spacing w:after="200" w:line="276" w:lineRule="auto"/>
        <w:ind w:leftChars="472" w:left="1133" w:rightChars="709" w:right="1702"/>
        <w:jc w:val="both"/>
        <w:rPr>
          <w:rFonts w:asciiTheme="minorHAnsi" w:eastAsiaTheme="minorHAnsi" w:hAnsiTheme="minorHAnsi" w:cs="David"/>
          <w:color w:val="FF0000"/>
          <w:sz w:val="26"/>
          <w:szCs w:val="26"/>
          <w:u w:val="single"/>
          <w:rtl/>
          <w:lang w:eastAsia="en-US"/>
        </w:rPr>
      </w:pPr>
    </w:p>
    <w:p w:rsidR="00134945" w:rsidRPr="00134945" w:rsidRDefault="00BD1C8A" w:rsidP="00134945">
      <w:pPr>
        <w:pStyle w:val="TableBlock"/>
        <w:spacing w:line="276" w:lineRule="auto"/>
        <w:ind w:left="1275" w:right="1701"/>
        <w:rPr>
          <w:rFonts w:asciiTheme="minorHAnsi" w:eastAsiaTheme="minorHAnsi" w:hAnsiTheme="minorHAnsi"/>
          <w:snapToGrid/>
          <w:color w:val="FF0000"/>
          <w:sz w:val="26"/>
          <w:u w:val="single"/>
          <w:rtl/>
          <w:lang w:eastAsia="en-US"/>
        </w:rPr>
      </w:pPr>
      <w:r w:rsidRPr="00134945">
        <w:rPr>
          <w:rFonts w:asciiTheme="minorHAnsi" w:eastAsiaTheme="minorHAnsi" w:hAnsiTheme="minorHAnsi" w:hint="cs"/>
          <w:snapToGrid/>
          <w:color w:val="FF0000"/>
          <w:sz w:val="26"/>
          <w:u w:val="single"/>
          <w:rtl/>
          <w:lang w:eastAsia="en-US"/>
        </w:rPr>
        <w:t>(א1)</w:t>
      </w:r>
      <w:r w:rsidRPr="00134945">
        <w:rPr>
          <w:rFonts w:asciiTheme="minorHAnsi" w:eastAsiaTheme="minorHAnsi" w:hAnsiTheme="minorHAnsi"/>
          <w:snapToGrid/>
          <w:color w:val="FF0000"/>
          <w:sz w:val="26"/>
          <w:u w:val="single"/>
          <w:rtl/>
          <w:lang w:eastAsia="en-US"/>
        </w:rPr>
        <w:tab/>
      </w:r>
      <w:r w:rsidR="00134945" w:rsidRPr="00134945">
        <w:rPr>
          <w:rFonts w:asciiTheme="minorHAnsi" w:eastAsiaTheme="minorHAnsi" w:hAnsiTheme="minorHAnsi" w:hint="cs"/>
          <w:snapToGrid/>
          <w:color w:val="FF0000"/>
          <w:sz w:val="26"/>
          <w:u w:val="single"/>
          <w:rtl/>
          <w:lang w:eastAsia="en-US"/>
        </w:rPr>
        <w:t xml:space="preserve">לעניין סעיף קטן (א), חומר חקירה שנאסף או שנרשם בידי רשות מודיעין (בסעיף זה </w:t>
      </w:r>
      <w:r w:rsidR="00134945" w:rsidRPr="00134945">
        <w:rPr>
          <w:rFonts w:asciiTheme="minorHAnsi" w:eastAsiaTheme="minorHAnsi" w:hAnsiTheme="minorHAnsi" w:hint="eastAsia"/>
          <w:snapToGrid/>
          <w:color w:val="FF0000"/>
          <w:sz w:val="26"/>
          <w:u w:val="single"/>
          <w:rtl/>
          <w:lang w:eastAsia="en-US"/>
        </w:rPr>
        <w:t>–</w:t>
      </w:r>
      <w:r w:rsidR="00134945" w:rsidRPr="00134945">
        <w:rPr>
          <w:rFonts w:asciiTheme="minorHAnsi" w:eastAsiaTheme="minorHAnsi" w:hAnsiTheme="minorHAnsi" w:hint="cs"/>
          <w:snapToGrid/>
          <w:color w:val="FF0000"/>
          <w:sz w:val="26"/>
          <w:u w:val="single"/>
          <w:rtl/>
          <w:lang w:eastAsia="en-US"/>
        </w:rPr>
        <w:t xml:space="preserve"> "חומר מודיעין"), ושיש זכות עיון בו כאמור באותו סעיף קטן, יהיה רק חומר שמתייחס לעובדות המתוארות בכתב האישום, לתוכן עדות שאמורה להישמע בשלב בירור האשמה, לראיה שאמורה להיות מוגשת כאמור או למהימנות של עד מרכזי, ואולם חומר מודיעין שנאסף או נרשם בתיק ייכלל ברשימת כל החומר כאמור בסעיף קטן (א); לעניין זה "רשות מודיעין" </w:t>
      </w:r>
      <w:r w:rsidR="00134945" w:rsidRPr="00134945">
        <w:rPr>
          <w:rFonts w:asciiTheme="minorHAnsi" w:eastAsiaTheme="minorHAnsi" w:hAnsiTheme="minorHAnsi"/>
          <w:snapToGrid/>
          <w:color w:val="FF0000"/>
          <w:sz w:val="26"/>
          <w:u w:val="single"/>
          <w:rtl/>
          <w:lang w:eastAsia="en-US"/>
        </w:rPr>
        <w:t>–</w:t>
      </w:r>
      <w:r w:rsidR="00134945" w:rsidRPr="00134945">
        <w:rPr>
          <w:rFonts w:asciiTheme="minorHAnsi" w:eastAsiaTheme="minorHAnsi" w:hAnsiTheme="minorHAnsi" w:hint="cs"/>
          <w:snapToGrid/>
          <w:color w:val="FF0000"/>
          <w:sz w:val="26"/>
          <w:u w:val="single"/>
          <w:rtl/>
          <w:lang w:eastAsia="en-US"/>
        </w:rPr>
        <w:t xml:space="preserve"> מערך המודיעין של משטרת ישראל, המחלקה לחקירות שוטרים במשרד המשפטים, המשטרה הצבאית החוקרת, שירות בתי הסוהר, צה"ל, וכן שירות הבטחון הכללי והמוסד למודיעין ולתפקידים מיוחדים.</w:t>
      </w:r>
    </w:p>
    <w:p w:rsidR="00134945" w:rsidRPr="00134945" w:rsidRDefault="00134945" w:rsidP="00334BF1">
      <w:pPr>
        <w:keepLines/>
        <w:widowControl w:val="0"/>
        <w:tabs>
          <w:tab w:val="left" w:pos="624"/>
          <w:tab w:val="left" w:pos="1247"/>
        </w:tabs>
        <w:autoSpaceDE w:val="0"/>
        <w:autoSpaceDN w:val="0"/>
        <w:adjustRightInd w:val="0"/>
        <w:snapToGrid w:val="0"/>
        <w:spacing w:line="276" w:lineRule="auto"/>
        <w:ind w:left="1275" w:right="1701"/>
        <w:jc w:val="both"/>
        <w:textAlignment w:val="center"/>
        <w:rPr>
          <w:rFonts w:asciiTheme="minorHAnsi" w:eastAsiaTheme="minorHAnsi" w:hAnsiTheme="minorHAnsi" w:cs="David"/>
          <w:color w:val="FF0000"/>
          <w:sz w:val="26"/>
          <w:szCs w:val="26"/>
          <w:u w:val="single"/>
          <w:rtl/>
          <w:lang w:eastAsia="en-US"/>
        </w:rPr>
      </w:pPr>
      <w:r w:rsidRPr="00134945">
        <w:rPr>
          <w:rFonts w:asciiTheme="minorHAnsi" w:eastAsiaTheme="minorHAnsi" w:hAnsiTheme="minorHAnsi" w:cs="David" w:hint="cs"/>
          <w:color w:val="FF0000"/>
          <w:sz w:val="26"/>
          <w:szCs w:val="26"/>
          <w:u w:val="single"/>
          <w:rtl/>
          <w:lang w:eastAsia="en-US"/>
        </w:rPr>
        <w:t>*</w:t>
      </w:r>
      <w:r w:rsidR="00334BF1">
        <w:rPr>
          <w:rFonts w:asciiTheme="minorHAnsi" w:eastAsiaTheme="minorHAnsi" w:hAnsiTheme="minorHAnsi" w:cs="David" w:hint="cs"/>
          <w:color w:val="FF0000"/>
          <w:sz w:val="26"/>
          <w:szCs w:val="26"/>
          <w:u w:val="single"/>
          <w:rtl/>
          <w:lang w:eastAsia="en-US"/>
        </w:rPr>
        <w:t>גרסה ב'</w:t>
      </w:r>
      <w:r w:rsidRPr="00134945">
        <w:rPr>
          <w:rFonts w:asciiTheme="minorHAnsi" w:eastAsiaTheme="minorHAnsi" w:hAnsiTheme="minorHAnsi" w:cs="David" w:hint="cs"/>
          <w:color w:val="FF0000"/>
          <w:sz w:val="26"/>
          <w:szCs w:val="26"/>
          <w:u w:val="single"/>
          <w:rtl/>
          <w:lang w:eastAsia="en-US"/>
        </w:rPr>
        <w:t xml:space="preserve">: </w:t>
      </w:r>
      <w:r w:rsidR="00334BF1" w:rsidRPr="00134945">
        <w:rPr>
          <w:rFonts w:asciiTheme="minorHAnsi" w:eastAsiaTheme="minorHAnsi" w:hAnsiTheme="minorHAnsi" w:cs="David" w:hint="cs"/>
          <w:color w:val="FF0000"/>
          <w:sz w:val="26"/>
          <w:szCs w:val="26"/>
          <w:u w:val="single"/>
          <w:rtl/>
          <w:lang w:eastAsia="en-US"/>
        </w:rPr>
        <w:t>רשות המסים</w:t>
      </w:r>
      <w:r w:rsidR="00334BF1">
        <w:rPr>
          <w:rFonts w:asciiTheme="minorHAnsi" w:eastAsiaTheme="minorHAnsi" w:hAnsiTheme="minorHAnsi" w:cs="David" w:hint="cs"/>
          <w:color w:val="FF0000"/>
          <w:sz w:val="26"/>
          <w:szCs w:val="26"/>
          <w:u w:val="single"/>
          <w:rtl/>
          <w:lang w:eastAsia="en-US"/>
        </w:rPr>
        <w:t>,</w:t>
      </w:r>
      <w:r w:rsidR="00334BF1" w:rsidRPr="00134945">
        <w:rPr>
          <w:rFonts w:asciiTheme="minorHAnsi" w:eastAsiaTheme="minorHAnsi" w:hAnsiTheme="minorHAnsi" w:cs="David" w:hint="cs"/>
          <w:color w:val="FF0000"/>
          <w:sz w:val="26"/>
          <w:szCs w:val="26"/>
          <w:u w:val="single"/>
          <w:rtl/>
          <w:lang w:eastAsia="en-US"/>
        </w:rPr>
        <w:t xml:space="preserve"> </w:t>
      </w:r>
      <w:r w:rsidRPr="00134945">
        <w:rPr>
          <w:rFonts w:asciiTheme="minorHAnsi" w:eastAsiaTheme="minorHAnsi" w:hAnsiTheme="minorHAnsi" w:cs="David" w:hint="cs"/>
          <w:color w:val="FF0000"/>
          <w:sz w:val="26"/>
          <w:szCs w:val="26"/>
          <w:u w:val="single"/>
          <w:rtl/>
          <w:lang w:eastAsia="en-US"/>
        </w:rPr>
        <w:t xml:space="preserve">רשות ניירות ערך, </w:t>
      </w:r>
      <w:r w:rsidR="00334BF1">
        <w:rPr>
          <w:rFonts w:asciiTheme="minorHAnsi" w:eastAsiaTheme="minorHAnsi" w:hAnsiTheme="minorHAnsi" w:cs="David" w:hint="cs"/>
          <w:color w:val="FF0000"/>
          <w:sz w:val="26"/>
          <w:szCs w:val="26"/>
          <w:u w:val="single"/>
          <w:rtl/>
          <w:lang w:eastAsia="en-US"/>
        </w:rPr>
        <w:t>ו</w:t>
      </w:r>
      <w:r w:rsidRPr="00134945">
        <w:rPr>
          <w:rFonts w:asciiTheme="minorHAnsi" w:eastAsiaTheme="minorHAnsi" w:hAnsiTheme="minorHAnsi" w:cs="David" w:hint="cs"/>
          <w:color w:val="FF0000"/>
          <w:sz w:val="26"/>
          <w:szCs w:val="26"/>
          <w:u w:val="single"/>
          <w:rtl/>
          <w:lang w:eastAsia="en-US"/>
        </w:rPr>
        <w:t>רשות ההגבלים העסקיים</w:t>
      </w:r>
    </w:p>
    <w:p w:rsidR="00BD1C8A" w:rsidRDefault="00BD1C8A" w:rsidP="00134945">
      <w:pPr>
        <w:spacing w:after="120" w:line="276" w:lineRule="auto"/>
        <w:ind w:leftChars="472" w:left="1133" w:rightChars="709" w:right="1702"/>
        <w:jc w:val="both"/>
        <w:rPr>
          <w:rFonts w:cs="David"/>
          <w:color w:val="FF0000"/>
          <w:sz w:val="26"/>
          <w:szCs w:val="26"/>
          <w:u w:val="single"/>
          <w:rtl/>
        </w:rPr>
      </w:pPr>
    </w:p>
    <w:p w:rsidR="00334BF1" w:rsidRDefault="00BD1C8A" w:rsidP="00DC6984">
      <w:pPr>
        <w:spacing w:after="120" w:line="276" w:lineRule="auto"/>
        <w:ind w:left="720" w:right="709"/>
        <w:jc w:val="both"/>
        <w:rPr>
          <w:rFonts w:cs="David"/>
          <w:rtl/>
        </w:rPr>
      </w:pPr>
      <w:r>
        <w:rPr>
          <w:rFonts w:cs="David" w:hint="cs"/>
          <w:rtl/>
        </w:rPr>
        <w:t>*</w:t>
      </w:r>
      <w:r w:rsidR="00360126" w:rsidRPr="00360126">
        <w:rPr>
          <w:rFonts w:cs="David" w:hint="cs"/>
          <w:u w:val="single"/>
          <w:rtl/>
        </w:rPr>
        <w:t xml:space="preserve"> </w:t>
      </w:r>
      <w:r w:rsidR="00360126">
        <w:rPr>
          <w:rFonts w:cs="David" w:hint="cs"/>
          <w:u w:val="single"/>
          <w:rtl/>
        </w:rPr>
        <w:t xml:space="preserve">הערה: </w:t>
      </w:r>
      <w:r w:rsidRPr="00BD1C8A">
        <w:rPr>
          <w:rFonts w:cs="David" w:hint="cs"/>
          <w:rtl/>
        </w:rPr>
        <w:t xml:space="preserve">משרד המשפטים מבקש להוסיף </w:t>
      </w:r>
      <w:r w:rsidR="004A2235">
        <w:rPr>
          <w:rFonts w:cs="David" w:hint="cs"/>
          <w:rtl/>
        </w:rPr>
        <w:t xml:space="preserve">על רשויות הביטחון </w:t>
      </w:r>
      <w:r w:rsidRPr="00BD1C8A">
        <w:rPr>
          <w:rFonts w:cs="David" w:hint="cs"/>
          <w:rtl/>
        </w:rPr>
        <w:t xml:space="preserve">גם </w:t>
      </w:r>
      <w:r w:rsidR="004A2235">
        <w:rPr>
          <w:rFonts w:cs="David" w:hint="cs"/>
          <w:rtl/>
        </w:rPr>
        <w:t xml:space="preserve">מספר רשויות כלכליות: </w:t>
      </w:r>
      <w:r w:rsidRPr="00BD1C8A">
        <w:rPr>
          <w:rFonts w:cs="David" w:hint="cs"/>
          <w:rtl/>
        </w:rPr>
        <w:t>הרשות לניירות ערך, רשות המסים, ורשות ההגבלים העסקיים.</w:t>
      </w:r>
      <w:r w:rsidR="004A2235">
        <w:rPr>
          <w:rFonts w:cs="David" w:hint="cs"/>
          <w:rtl/>
        </w:rPr>
        <w:t xml:space="preserve"> מהנתונים שנמסרו </w:t>
      </w:r>
      <w:r w:rsidR="00370984">
        <w:rPr>
          <w:rFonts w:cs="David" w:hint="cs"/>
          <w:rtl/>
        </w:rPr>
        <w:t>לוועדת החוקה חוק ומשפט בדיונים שהתקיימו</w:t>
      </w:r>
      <w:r w:rsidR="004A2235">
        <w:rPr>
          <w:rFonts w:cs="David" w:hint="cs"/>
          <w:rtl/>
        </w:rPr>
        <w:t xml:space="preserve"> ב-2014, מספר תעודות </w:t>
      </w:r>
      <w:r w:rsidR="00370984">
        <w:rPr>
          <w:rFonts w:cs="David" w:hint="cs"/>
          <w:rtl/>
        </w:rPr>
        <w:t xml:space="preserve">החיסיון </w:t>
      </w:r>
      <w:r w:rsidR="004A2235">
        <w:rPr>
          <w:rFonts w:cs="David" w:hint="cs"/>
          <w:rtl/>
        </w:rPr>
        <w:t xml:space="preserve">שנחתמו בשנים 2012-2013, בתיקים של הרשות </w:t>
      </w:r>
      <w:r w:rsidR="004A2235" w:rsidRPr="006668F4">
        <w:rPr>
          <w:rFonts w:cs="David" w:hint="cs"/>
          <w:rtl/>
        </w:rPr>
        <w:t xml:space="preserve">להגבלים העסקיים </w:t>
      </w:r>
      <w:r w:rsidR="004A2235" w:rsidRPr="006668F4">
        <w:rPr>
          <w:rFonts w:cs="David"/>
          <w:rtl/>
        </w:rPr>
        <w:t>–</w:t>
      </w:r>
      <w:r w:rsidR="004A2235" w:rsidRPr="006668F4">
        <w:rPr>
          <w:rFonts w:cs="David" w:hint="cs"/>
          <w:rtl/>
        </w:rPr>
        <w:t xml:space="preserve"> 9; ברשות לניירות ערך </w:t>
      </w:r>
      <w:r w:rsidR="004A2235" w:rsidRPr="006668F4">
        <w:rPr>
          <w:rFonts w:cs="David"/>
          <w:rtl/>
        </w:rPr>
        <w:t>–</w:t>
      </w:r>
      <w:r w:rsidR="004A2235" w:rsidRPr="006668F4">
        <w:rPr>
          <w:rFonts w:cs="David" w:hint="cs"/>
          <w:rtl/>
        </w:rPr>
        <w:t xml:space="preserve"> 7; וברשות המסים  - 117. </w:t>
      </w:r>
      <w:r w:rsidR="00334BF1" w:rsidRPr="006668F4">
        <w:rPr>
          <w:rFonts w:cs="David" w:hint="cs"/>
          <w:rtl/>
        </w:rPr>
        <w:t xml:space="preserve">המשטרה, </w:t>
      </w:r>
      <w:r w:rsidR="004A2235" w:rsidRPr="006668F4">
        <w:rPr>
          <w:rFonts w:cs="David" w:hint="cs"/>
          <w:rtl/>
        </w:rPr>
        <w:t xml:space="preserve"> באותה</w:t>
      </w:r>
      <w:r w:rsidR="004A2235">
        <w:rPr>
          <w:rFonts w:cs="David" w:hint="cs"/>
          <w:rtl/>
        </w:rPr>
        <w:t xml:space="preserve"> תקופה</w:t>
      </w:r>
      <w:r w:rsidR="00334BF1">
        <w:rPr>
          <w:rFonts w:cs="David" w:hint="cs"/>
          <w:rtl/>
        </w:rPr>
        <w:t>, הוציאה</w:t>
      </w:r>
      <w:r w:rsidR="004A2235">
        <w:rPr>
          <w:rFonts w:cs="David" w:hint="cs"/>
          <w:rtl/>
        </w:rPr>
        <w:t xml:space="preserve"> 16,119 תעודות חסיון. </w:t>
      </w:r>
      <w:r w:rsidR="00334BF1">
        <w:rPr>
          <w:rFonts w:cs="David" w:hint="cs"/>
          <w:rtl/>
        </w:rPr>
        <w:t xml:space="preserve">לאחר הדיון בוועדה בשבוע שעבר, נפגשנו עם שלוש הרשויות הכלכליות לבקשתן, לעמוד על צורת הפעלת המודיעין ושיתוף הפעולה עם משטרת ישראל. </w:t>
      </w:r>
      <w:r w:rsidR="001D1D32">
        <w:rPr>
          <w:rFonts w:cs="David" w:hint="cs"/>
          <w:rtl/>
        </w:rPr>
        <w:t xml:space="preserve">למרות שהיקפי החומר שבהם הן מטפלות קטנים יותר מאשר החומר שמטופל על ידי המשטרה, </w:t>
      </w:r>
      <w:r w:rsidR="00334BF1">
        <w:rPr>
          <w:rFonts w:cs="David" w:hint="cs"/>
          <w:rtl/>
        </w:rPr>
        <w:t xml:space="preserve">התרשמנו </w:t>
      </w:r>
      <w:r w:rsidR="006668F4">
        <w:rPr>
          <w:rFonts w:cs="David" w:hint="cs"/>
          <w:rtl/>
        </w:rPr>
        <w:t>שקיים</w:t>
      </w:r>
      <w:r w:rsidR="00334BF1">
        <w:rPr>
          <w:rFonts w:cs="David" w:hint="cs"/>
          <w:rtl/>
        </w:rPr>
        <w:t xml:space="preserve"> שיתוף פעולה הדוק בין מערכות המודיעין של הרשויות הכלכליות ובין מערכת המודיעין של המשטרה, </w:t>
      </w:r>
      <w:r w:rsidR="006668F4">
        <w:rPr>
          <w:rFonts w:cs="David" w:hint="cs"/>
          <w:rtl/>
        </w:rPr>
        <w:t>ומועבר מ</w:t>
      </w:r>
      <w:r w:rsidR="00DC6984">
        <w:rPr>
          <w:rFonts w:cs="David" w:hint="cs"/>
          <w:rtl/>
        </w:rPr>
        <w:t>י</w:t>
      </w:r>
      <w:r w:rsidR="006668F4">
        <w:rPr>
          <w:rFonts w:cs="David" w:hint="cs"/>
          <w:rtl/>
        </w:rPr>
        <w:t>דע רב הלוך ושוב בין הרשויות</w:t>
      </w:r>
      <w:r w:rsidR="00DC6984">
        <w:rPr>
          <w:rFonts w:cs="David" w:hint="cs"/>
          <w:rtl/>
        </w:rPr>
        <w:t xml:space="preserve"> ומכאן שיש הצדקה שהדין</w:t>
      </w:r>
      <w:r w:rsidR="006668F4">
        <w:rPr>
          <w:rFonts w:cs="David" w:hint="cs"/>
          <w:rtl/>
        </w:rPr>
        <w:t xml:space="preserve"> בעניין זה </w:t>
      </w:r>
      <w:r w:rsidR="00DC6984">
        <w:rPr>
          <w:rFonts w:cs="David" w:hint="cs"/>
          <w:rtl/>
        </w:rPr>
        <w:t>יהיה</w:t>
      </w:r>
      <w:r w:rsidR="006668F4">
        <w:rPr>
          <w:rFonts w:cs="David" w:hint="cs"/>
          <w:rtl/>
        </w:rPr>
        <w:t xml:space="preserve"> זהה. נוסיף שפעמים רבות מדובר באותם נאשמים, שיש להם זוויות פעולה שונות, ונאסף עליהם מודיעין על ידי כמה רשויות. גם תורת הפעלת המקורות דומה. לפי ההסברים שקיבלנו, גם כשמדובר במידע מודיעיני של רשויות </w:t>
      </w:r>
      <w:r w:rsidR="00DC6984">
        <w:rPr>
          <w:rFonts w:cs="David" w:hint="cs"/>
          <w:rtl/>
        </w:rPr>
        <w:t>אלו</w:t>
      </w:r>
      <w:r w:rsidR="006668F4">
        <w:rPr>
          <w:rFonts w:cs="David" w:hint="cs"/>
          <w:rtl/>
        </w:rPr>
        <w:t xml:space="preserve">, </w:t>
      </w:r>
      <w:r w:rsidR="00334BF1">
        <w:rPr>
          <w:rFonts w:cs="David" w:hint="cs"/>
          <w:rtl/>
        </w:rPr>
        <w:t>נאשמים "חזקים"  מצליבים מידע שהתקבל מתיקים שונים ומנאשמים שונים, כדי לבנות "תיק מודיעין נגדי", כפי שהמשטרה תארה בדיון הקודם בוועדה</w:t>
      </w:r>
      <w:r w:rsidR="00D7044C">
        <w:rPr>
          <w:rFonts w:cs="David" w:hint="cs"/>
          <w:rtl/>
        </w:rPr>
        <w:t xml:space="preserve"> </w:t>
      </w:r>
      <w:r w:rsidR="00DC6984">
        <w:rPr>
          <w:rFonts w:cs="David" w:hint="cs"/>
          <w:rtl/>
        </w:rPr>
        <w:t>שנעשה לגביה</w:t>
      </w:r>
      <w:r w:rsidR="00334BF1">
        <w:rPr>
          <w:rFonts w:cs="David" w:hint="cs"/>
          <w:rtl/>
        </w:rPr>
        <w:t xml:space="preserve">. </w:t>
      </w:r>
    </w:p>
    <w:p w:rsidR="00BD1C8A" w:rsidRPr="00BD1C8A" w:rsidRDefault="00BD1C8A" w:rsidP="00BD1C8A">
      <w:pPr>
        <w:spacing w:after="120" w:line="276" w:lineRule="auto"/>
        <w:ind w:left="424" w:right="709"/>
        <w:jc w:val="both"/>
        <w:rPr>
          <w:rFonts w:cs="David"/>
          <w:color w:val="FF0000"/>
          <w:sz w:val="26"/>
          <w:szCs w:val="26"/>
          <w:u w:val="single"/>
        </w:rPr>
      </w:pPr>
    </w:p>
    <w:p w:rsidR="005A069D" w:rsidRPr="00DC6984" w:rsidRDefault="00BD1C8A" w:rsidP="00CD5982">
      <w:pPr>
        <w:spacing w:after="200" w:line="276" w:lineRule="auto"/>
        <w:ind w:left="1133"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hint="cs"/>
          <w:color w:val="FF0000"/>
          <w:sz w:val="26"/>
          <w:szCs w:val="26"/>
          <w:u w:val="single"/>
          <w:rtl/>
          <w:lang w:eastAsia="en-US"/>
        </w:rPr>
        <w:t>(א2)</w:t>
      </w:r>
      <w:r w:rsidR="00A94A1D">
        <w:rPr>
          <w:rFonts w:asciiTheme="minorHAnsi" w:eastAsiaTheme="minorHAnsi" w:hAnsiTheme="minorHAnsi" w:cs="David" w:hint="cs"/>
          <w:color w:val="FF0000"/>
          <w:sz w:val="26"/>
          <w:szCs w:val="26"/>
          <w:u w:val="single"/>
          <w:rtl/>
          <w:lang w:eastAsia="en-US"/>
        </w:rPr>
        <w:t xml:space="preserve"> </w:t>
      </w:r>
      <w:r w:rsidR="005A069D" w:rsidRPr="005A069D">
        <w:rPr>
          <w:rFonts w:asciiTheme="minorHAnsi" w:eastAsiaTheme="minorHAnsi" w:hAnsiTheme="minorHAnsi" w:cs="David"/>
          <w:color w:val="FF0000"/>
          <w:sz w:val="26"/>
          <w:szCs w:val="26"/>
          <w:u w:val="single"/>
          <w:rtl/>
          <w:lang w:eastAsia="en-US"/>
        </w:rPr>
        <w:t xml:space="preserve">תובע יקבל לעיונו מהרשות החוקרת או מרשות המודיעין את כל החומר שנאסף או שנרשם כאמור בסעיף קטן (א), לרבות חומר  מודיעין, ויוודא שחומר החקירה ורשימת כל החומר, עומדים, בעת הגשת כתב האישום או בסמוך לכך, לרשות הנאשם וסניגורו או אדם אחר כאמור באותו סעיף קטן; היועץ המשפטי לממשלה או פרקליט המדינה יוציא הנחיות, לרבות </w:t>
      </w:r>
      <w:r w:rsidR="005A069D" w:rsidRPr="00DC6984">
        <w:rPr>
          <w:rFonts w:asciiTheme="minorHAnsi" w:eastAsiaTheme="minorHAnsi" w:hAnsiTheme="minorHAnsi" w:cs="David"/>
          <w:color w:val="FF0000"/>
          <w:sz w:val="26"/>
          <w:szCs w:val="26"/>
          <w:u w:val="single"/>
          <w:rtl/>
          <w:lang w:eastAsia="en-US"/>
        </w:rPr>
        <w:t>לעניין פיקוח על הליך סיווג החומר, לביצוע סעיף זה.</w:t>
      </w:r>
    </w:p>
    <w:p w:rsidR="00BD1C8A" w:rsidRPr="00BD1C8A" w:rsidRDefault="005045EC" w:rsidP="00A71B13">
      <w:pPr>
        <w:pStyle w:val="P00"/>
        <w:tabs>
          <w:tab w:val="left" w:pos="6945"/>
        </w:tabs>
        <w:spacing w:before="72" w:line="276" w:lineRule="auto"/>
        <w:ind w:left="1133" w:right="1701"/>
        <w:rPr>
          <w:rStyle w:val="default"/>
          <w:rFonts w:cs="David"/>
          <w:rtl/>
        </w:rPr>
      </w:pPr>
      <w:r w:rsidRPr="00DC6984" w:rsidDel="005045EC">
        <w:rPr>
          <w:rFonts w:cs="David" w:hint="cs"/>
          <w:rtl/>
        </w:rPr>
        <w:t xml:space="preserve"> </w:t>
      </w:r>
      <w:r w:rsidR="00BD1C8A" w:rsidRPr="00DC6984">
        <w:rPr>
          <w:rStyle w:val="default"/>
          <w:rFonts w:cs="David"/>
          <w:rtl/>
        </w:rPr>
        <w:t>(ב</w:t>
      </w:r>
      <w:r w:rsidR="00BD1C8A" w:rsidRPr="00DC6984">
        <w:rPr>
          <w:rStyle w:val="default"/>
          <w:rFonts w:cs="David" w:hint="cs"/>
          <w:rtl/>
        </w:rPr>
        <w:t>)</w:t>
      </w:r>
      <w:r w:rsidR="00BD1C8A" w:rsidRPr="00DC6984">
        <w:rPr>
          <w:rStyle w:val="default"/>
          <w:rFonts w:cs="David"/>
          <w:rtl/>
        </w:rPr>
        <w:tab/>
        <w:t>נ</w:t>
      </w:r>
      <w:r w:rsidR="00BD1C8A" w:rsidRPr="00DC6984">
        <w:rPr>
          <w:rStyle w:val="default"/>
          <w:rFonts w:cs="David" w:hint="cs"/>
          <w:rtl/>
        </w:rPr>
        <w:t>אש</w:t>
      </w:r>
      <w:r w:rsidR="00BD1C8A" w:rsidRPr="00DC6984">
        <w:rPr>
          <w:rStyle w:val="default"/>
          <w:rFonts w:cs="David"/>
          <w:rtl/>
        </w:rPr>
        <w:t xml:space="preserve">ם </w:t>
      </w:r>
      <w:r w:rsidR="00BD1C8A" w:rsidRPr="00DC6984">
        <w:rPr>
          <w:rStyle w:val="default"/>
          <w:rFonts w:cs="David" w:hint="cs"/>
          <w:rtl/>
        </w:rPr>
        <w:t>רשאי לבקש, מבית המשפט שאליו הוגש</w:t>
      </w:r>
      <w:r w:rsidR="00BD1C8A" w:rsidRPr="00DC6984">
        <w:rPr>
          <w:rStyle w:val="default"/>
          <w:rFonts w:cs="David"/>
          <w:rtl/>
        </w:rPr>
        <w:t xml:space="preserve"> כ</w:t>
      </w:r>
      <w:r w:rsidR="00BD1C8A" w:rsidRPr="00DC6984">
        <w:rPr>
          <w:rStyle w:val="default"/>
          <w:rFonts w:cs="David" w:hint="cs"/>
          <w:rtl/>
        </w:rPr>
        <w:t xml:space="preserve">תב האישום, להורות לתובע </w:t>
      </w:r>
      <w:r w:rsidR="00BD1C8A" w:rsidRPr="00DC6984">
        <w:rPr>
          <w:rStyle w:val="default"/>
          <w:rFonts w:cs="David"/>
          <w:rtl/>
        </w:rPr>
        <w:t>ל</w:t>
      </w:r>
      <w:r w:rsidR="00BD1C8A" w:rsidRPr="00DC6984">
        <w:rPr>
          <w:rStyle w:val="default"/>
          <w:rFonts w:cs="David" w:hint="cs"/>
          <w:rtl/>
        </w:rPr>
        <w:t xml:space="preserve">התיר לו </w:t>
      </w:r>
      <w:r w:rsidR="00BD1C8A" w:rsidRPr="00DC6984">
        <w:rPr>
          <w:rStyle w:val="default"/>
          <w:rFonts w:cs="David"/>
          <w:rtl/>
        </w:rPr>
        <w:t>לע</w:t>
      </w:r>
      <w:r w:rsidR="00BD1C8A" w:rsidRPr="00DC6984">
        <w:rPr>
          <w:rStyle w:val="default"/>
          <w:rFonts w:cs="David" w:hint="cs"/>
          <w:rtl/>
        </w:rPr>
        <w:t>יי</w:t>
      </w:r>
      <w:r w:rsidR="00BD1C8A" w:rsidRPr="00DC6984">
        <w:rPr>
          <w:rStyle w:val="default"/>
          <w:rFonts w:cs="David"/>
          <w:rtl/>
        </w:rPr>
        <w:t xml:space="preserve">ן </w:t>
      </w:r>
      <w:r w:rsidR="00BD1C8A" w:rsidRPr="00DC6984">
        <w:rPr>
          <w:rStyle w:val="default"/>
          <w:rFonts w:cs="David" w:hint="cs"/>
          <w:rtl/>
        </w:rPr>
        <w:t>בחומר שהוא, לטענתו,</w:t>
      </w:r>
      <w:r w:rsidR="00BD1C8A" w:rsidRPr="00BD1C8A">
        <w:rPr>
          <w:rStyle w:val="default"/>
          <w:rFonts w:cs="David" w:hint="cs"/>
          <w:rtl/>
        </w:rPr>
        <w:t xml:space="preserve"> חומר חקירה ולא הועמד לעיונו.</w:t>
      </w:r>
    </w:p>
    <w:p w:rsidR="00BD1C8A" w:rsidRDefault="00D80AC6" w:rsidP="005A069D">
      <w:pPr>
        <w:pStyle w:val="P00"/>
        <w:tabs>
          <w:tab w:val="left" w:pos="6945"/>
        </w:tabs>
        <w:spacing w:before="72" w:line="276" w:lineRule="auto"/>
        <w:ind w:left="1133" w:right="1701"/>
        <w:rPr>
          <w:rStyle w:val="default"/>
          <w:rFonts w:cs="David"/>
          <w:rtl/>
        </w:rPr>
      </w:pPr>
      <w:r w:rsidRPr="00BD1C8A">
        <w:rPr>
          <w:rStyle w:val="default"/>
          <w:rFonts w:cs="David"/>
          <w:rtl/>
        </w:rPr>
        <w:t xml:space="preserve"> </w:t>
      </w:r>
      <w:r w:rsidR="00BD1C8A" w:rsidRPr="00BD1C8A">
        <w:rPr>
          <w:rStyle w:val="default"/>
          <w:rFonts w:cs="David"/>
          <w:rtl/>
        </w:rPr>
        <w:t>(</w:t>
      </w:r>
      <w:r w:rsidR="00BD1C8A" w:rsidRPr="00BD1C8A">
        <w:rPr>
          <w:rStyle w:val="default"/>
          <w:rFonts w:cs="David" w:hint="cs"/>
          <w:rtl/>
        </w:rPr>
        <w:t>ג</w:t>
      </w:r>
      <w:r w:rsidR="00BD1C8A" w:rsidRPr="00BD1C8A">
        <w:rPr>
          <w:rStyle w:val="default"/>
          <w:rFonts w:cs="David"/>
          <w:rtl/>
        </w:rPr>
        <w:t>)</w:t>
      </w:r>
      <w:r w:rsidR="00BD1C8A" w:rsidRPr="00BD1C8A">
        <w:rPr>
          <w:rStyle w:val="default"/>
          <w:rFonts w:cs="David"/>
          <w:rtl/>
        </w:rPr>
        <w:tab/>
        <w:t>ב</w:t>
      </w:r>
      <w:r w:rsidR="00BD1C8A" w:rsidRPr="00BD1C8A">
        <w:rPr>
          <w:rStyle w:val="default"/>
          <w:rFonts w:cs="David" w:hint="cs"/>
          <w:rtl/>
        </w:rPr>
        <w:t>קש</w:t>
      </w:r>
      <w:r w:rsidR="00BD1C8A" w:rsidRPr="00BD1C8A">
        <w:rPr>
          <w:rStyle w:val="default"/>
          <w:rFonts w:cs="David"/>
          <w:rtl/>
        </w:rPr>
        <w:t xml:space="preserve">ה </w:t>
      </w:r>
      <w:r w:rsidR="00BD1C8A" w:rsidRPr="00BD1C8A">
        <w:rPr>
          <w:rStyle w:val="default"/>
          <w:rFonts w:cs="David" w:hint="cs"/>
          <w:rtl/>
        </w:rPr>
        <w:t>לפי סעיף קטן (ב) תידון לפני שופט אחד ובמידת</w:t>
      </w:r>
      <w:r w:rsidR="00BD1C8A" w:rsidRPr="00BD1C8A">
        <w:rPr>
          <w:rStyle w:val="default"/>
          <w:rFonts w:cs="David"/>
          <w:rtl/>
        </w:rPr>
        <w:t xml:space="preserve"> ה</w:t>
      </w:r>
      <w:r w:rsidR="00BD1C8A" w:rsidRPr="00BD1C8A">
        <w:rPr>
          <w:rStyle w:val="default"/>
          <w:rFonts w:cs="David" w:hint="cs"/>
          <w:rtl/>
        </w:rPr>
        <w:t>אפ</w:t>
      </w:r>
      <w:r w:rsidR="00BD1C8A" w:rsidRPr="00BD1C8A">
        <w:rPr>
          <w:rStyle w:val="default"/>
          <w:rFonts w:cs="David"/>
          <w:rtl/>
        </w:rPr>
        <w:t>שר</w:t>
      </w:r>
      <w:r w:rsidR="00BD1C8A" w:rsidRPr="00BD1C8A">
        <w:rPr>
          <w:rStyle w:val="default"/>
          <w:rFonts w:cs="David" w:hint="cs"/>
          <w:rtl/>
        </w:rPr>
        <w:t xml:space="preserve"> היא תובא בפני שופט שאינו דן באישום</w:t>
      </w:r>
      <w:r w:rsidR="00BD1C8A" w:rsidRPr="00BD1C8A">
        <w:rPr>
          <w:rFonts w:cs="David" w:hint="cs"/>
          <w:color w:val="FF0000"/>
          <w:sz w:val="26"/>
          <w:u w:val="single"/>
          <w:rtl/>
        </w:rPr>
        <w:t xml:space="preserve">, </w:t>
      </w:r>
      <w:r w:rsidR="005A069D" w:rsidRPr="005A069D">
        <w:rPr>
          <w:rFonts w:cs="David"/>
          <w:color w:val="FF0000"/>
          <w:sz w:val="26"/>
          <w:u w:val="single"/>
          <w:rtl/>
        </w:rPr>
        <w:t>ואולם אם התייחסה הבקשה גם לחומר מודיעין, תידון הבקשה בפני בית המשפט הדן באישום, אשר יהיה רשאי להעביר את הדיון בעתירה לשופט יחיד שאינו דן בתיק, ואם היה בית המשפט הרכב – לשופט יחיד שהוא אחד משופטי ההרכב או שאינו דן בתיק; נאסף או נרשם חומר המודיעין בידי רשות מודיעין שהיא מערך המודיעין של שירות הבטחון הכללי, של המוסד לתפקידים מיוחדים או של צה"ל, תידון הבקשה בפני שופט של בית המשפט העליון</w:t>
      </w:r>
      <w:r w:rsidRPr="001C3808">
        <w:rPr>
          <w:rStyle w:val="default"/>
          <w:rFonts w:cs="David" w:hint="cs"/>
          <w:rtl/>
        </w:rPr>
        <w:t>.</w:t>
      </w:r>
    </w:p>
    <w:p w:rsidR="00BD1C8A" w:rsidRPr="00BD1C8A" w:rsidRDefault="00BD1C8A" w:rsidP="00A71B13">
      <w:pPr>
        <w:tabs>
          <w:tab w:val="left" w:pos="6945"/>
        </w:tabs>
        <w:spacing w:line="276" w:lineRule="auto"/>
        <w:ind w:left="1133" w:right="1701"/>
        <w:rPr>
          <w:rFonts w:ascii="Garamond" w:hAnsi="Garamond" w:cs="David"/>
        </w:rPr>
      </w:pPr>
    </w:p>
    <w:p w:rsidR="00BD1C8A" w:rsidRPr="00BD1C8A" w:rsidRDefault="00BD1C8A" w:rsidP="00A71B13">
      <w:pPr>
        <w:pStyle w:val="P00"/>
        <w:tabs>
          <w:tab w:val="left" w:pos="6945"/>
        </w:tabs>
        <w:spacing w:before="72" w:line="276" w:lineRule="auto"/>
        <w:ind w:left="1133" w:right="1701"/>
        <w:rPr>
          <w:rStyle w:val="default"/>
          <w:rFonts w:cs="David"/>
          <w:rtl/>
        </w:rPr>
      </w:pPr>
      <w:r w:rsidRPr="00BD1C8A">
        <w:rPr>
          <w:rStyle w:val="default"/>
          <w:rFonts w:cs="David"/>
          <w:rtl/>
        </w:rPr>
        <w:t>(ד</w:t>
      </w:r>
      <w:r w:rsidRPr="00BD1C8A">
        <w:rPr>
          <w:rStyle w:val="default"/>
          <w:rFonts w:cs="David" w:hint="cs"/>
          <w:rtl/>
        </w:rPr>
        <w:t>)</w:t>
      </w:r>
      <w:r w:rsidRPr="00BD1C8A">
        <w:rPr>
          <w:rStyle w:val="default"/>
          <w:rFonts w:cs="David"/>
          <w:rtl/>
        </w:rPr>
        <w:tab/>
        <w:t>ב</w:t>
      </w:r>
      <w:r w:rsidRPr="00BD1C8A">
        <w:rPr>
          <w:rStyle w:val="default"/>
          <w:rFonts w:cs="David" w:hint="cs"/>
          <w:rtl/>
        </w:rPr>
        <w:t>עת</w:t>
      </w:r>
      <w:r w:rsidRPr="00BD1C8A">
        <w:rPr>
          <w:rStyle w:val="default"/>
          <w:rFonts w:cs="David"/>
          <w:rtl/>
        </w:rPr>
        <w:t xml:space="preserve"> ה</w:t>
      </w:r>
      <w:r w:rsidRPr="00BD1C8A">
        <w:rPr>
          <w:rStyle w:val="default"/>
          <w:rFonts w:cs="David" w:hint="cs"/>
          <w:rtl/>
        </w:rPr>
        <w:t>דיון בבקשה יעמיד התובע את החומר שבמחלוקת לעיונו של בית המשפט בלבד.</w:t>
      </w:r>
    </w:p>
    <w:p w:rsidR="00BD1C8A" w:rsidRPr="00BD1C8A" w:rsidRDefault="00BD1C8A" w:rsidP="00A71B13">
      <w:pPr>
        <w:tabs>
          <w:tab w:val="left" w:pos="6945"/>
        </w:tabs>
        <w:spacing w:line="276" w:lineRule="auto"/>
        <w:ind w:left="1133" w:right="1701"/>
        <w:rPr>
          <w:rFonts w:ascii="Garamond" w:hAnsi="Garamond" w:cs="David"/>
          <w:rtl/>
        </w:rPr>
      </w:pPr>
    </w:p>
    <w:p w:rsidR="00BD1C8A" w:rsidRPr="00BD1C8A" w:rsidRDefault="00BD1C8A" w:rsidP="005A069D">
      <w:pPr>
        <w:tabs>
          <w:tab w:val="left" w:pos="6945"/>
        </w:tabs>
        <w:spacing w:line="276" w:lineRule="auto"/>
        <w:ind w:left="1133" w:right="1701"/>
        <w:jc w:val="both"/>
        <w:rPr>
          <w:rFonts w:cs="David"/>
          <w:noProof/>
          <w:color w:val="FF0000"/>
          <w:sz w:val="26"/>
          <w:szCs w:val="26"/>
          <w:u w:val="single"/>
        </w:rPr>
      </w:pPr>
      <w:r w:rsidRPr="00BD1C8A">
        <w:rPr>
          <w:rFonts w:cs="David" w:hint="cs"/>
          <w:noProof/>
          <w:color w:val="FF0000"/>
          <w:sz w:val="26"/>
          <w:szCs w:val="26"/>
          <w:u w:val="single"/>
          <w:rtl/>
        </w:rPr>
        <w:t>(ד1)</w:t>
      </w:r>
      <w:r w:rsidR="00A71B13" w:rsidRPr="00BD1C8A">
        <w:rPr>
          <w:rFonts w:cs="David" w:hint="cs"/>
          <w:noProof/>
          <w:color w:val="FF0000"/>
          <w:sz w:val="26"/>
          <w:szCs w:val="26"/>
          <w:u w:val="single"/>
          <w:rtl/>
        </w:rPr>
        <w:t xml:space="preserve"> </w:t>
      </w:r>
      <w:r w:rsidR="005A069D" w:rsidRPr="005A069D">
        <w:rPr>
          <w:rFonts w:cs="David"/>
          <w:noProof/>
          <w:color w:val="FF0000"/>
          <w:sz w:val="26"/>
          <w:szCs w:val="26"/>
          <w:u w:val="single"/>
          <w:rtl/>
        </w:rPr>
        <w:t>על דיון בבקשה לפי סעיף קטן (ב) המתייחסת לחומר מודיעין יחולו הוראות סעיף 46(א) ו-(א1) לפקודת הראיות בשינויים המחויבים</w:t>
      </w:r>
      <w:r w:rsidRPr="00BD1C8A">
        <w:rPr>
          <w:rFonts w:cs="David" w:hint="cs"/>
          <w:noProof/>
          <w:color w:val="FF0000"/>
          <w:sz w:val="26"/>
          <w:szCs w:val="26"/>
          <w:u w:val="single"/>
          <w:rtl/>
        </w:rPr>
        <w:t>.</w:t>
      </w:r>
    </w:p>
    <w:p w:rsidR="00BD1C8A" w:rsidRPr="00BD1C8A" w:rsidRDefault="00BD1C8A" w:rsidP="00A71B13">
      <w:pPr>
        <w:tabs>
          <w:tab w:val="left" w:pos="6945"/>
        </w:tabs>
        <w:spacing w:line="276" w:lineRule="auto"/>
        <w:ind w:left="1133" w:right="1701"/>
        <w:jc w:val="both"/>
        <w:rPr>
          <w:rFonts w:asciiTheme="minorHAnsi" w:eastAsiaTheme="minorHAnsi" w:hAnsiTheme="minorHAnsi" w:cs="David"/>
          <w:sz w:val="26"/>
          <w:szCs w:val="26"/>
          <w:rtl/>
          <w:lang w:eastAsia="en-US"/>
        </w:rPr>
      </w:pPr>
    </w:p>
    <w:p w:rsidR="00BD1C8A" w:rsidRPr="00BD1C8A" w:rsidRDefault="00BD1C8A" w:rsidP="00A71B13">
      <w:pPr>
        <w:tabs>
          <w:tab w:val="left" w:pos="6945"/>
        </w:tabs>
        <w:spacing w:line="276" w:lineRule="auto"/>
        <w:ind w:left="1133" w:right="1701"/>
        <w:jc w:val="both"/>
        <w:rPr>
          <w:rStyle w:val="default"/>
          <w:rFonts w:cs="David"/>
          <w:rtl/>
        </w:rPr>
      </w:pPr>
      <w:r w:rsidRPr="00BD1C8A">
        <w:rPr>
          <w:rStyle w:val="default"/>
          <w:rFonts w:cs="David"/>
          <w:rtl/>
        </w:rPr>
        <w:t>(ה</w:t>
      </w:r>
      <w:r w:rsidRPr="00BD1C8A">
        <w:rPr>
          <w:rStyle w:val="default"/>
          <w:rFonts w:cs="David" w:hint="cs"/>
          <w:rtl/>
        </w:rPr>
        <w:t>)</w:t>
      </w:r>
      <w:r w:rsidR="00A71B13">
        <w:rPr>
          <w:rStyle w:val="default"/>
          <w:rFonts w:cs="David" w:hint="cs"/>
          <w:rtl/>
        </w:rPr>
        <w:t xml:space="preserve"> </w:t>
      </w:r>
      <w:r w:rsidRPr="00BD1C8A">
        <w:rPr>
          <w:rStyle w:val="default"/>
          <w:rFonts w:cs="David"/>
          <w:rtl/>
        </w:rPr>
        <w:t>ע</w:t>
      </w:r>
      <w:r w:rsidRPr="00BD1C8A">
        <w:rPr>
          <w:rStyle w:val="default"/>
          <w:rFonts w:cs="David" w:hint="cs"/>
          <w:rtl/>
        </w:rPr>
        <w:t xml:space="preserve">ל </w:t>
      </w:r>
      <w:r w:rsidRPr="00BD1C8A">
        <w:rPr>
          <w:rStyle w:val="default"/>
          <w:rFonts w:cs="David"/>
          <w:rtl/>
        </w:rPr>
        <w:t>הח</w:t>
      </w:r>
      <w:r w:rsidRPr="00BD1C8A">
        <w:rPr>
          <w:rStyle w:val="default"/>
          <w:rFonts w:cs="David" w:hint="cs"/>
          <w:rtl/>
        </w:rPr>
        <w:t>לטת בית משפט לפי סעיף זה ניתן לערור לפני בית ה</w:t>
      </w:r>
      <w:r w:rsidRPr="00BD1C8A">
        <w:rPr>
          <w:rStyle w:val="default"/>
          <w:rFonts w:cs="David"/>
          <w:rtl/>
        </w:rPr>
        <w:t>משפט</w:t>
      </w:r>
      <w:r w:rsidRPr="00BD1C8A">
        <w:rPr>
          <w:rStyle w:val="default"/>
          <w:rFonts w:cs="David" w:hint="cs"/>
          <w:rtl/>
        </w:rPr>
        <w:t xml:space="preserve"> שלערעור שידון בערר בשופט אחד; הערר יוגש בתוך 30 ימים מיום שניתנה החלטת בית המשפט, ואולם בית המשפט רשאי להאריך את המועד להגשת הערר מטעמים שיירשמו.</w:t>
      </w:r>
    </w:p>
    <w:p w:rsidR="00BD1C8A" w:rsidRPr="00BD1C8A" w:rsidRDefault="00BD1C8A" w:rsidP="00A71B13">
      <w:pPr>
        <w:pStyle w:val="P00"/>
        <w:tabs>
          <w:tab w:val="right" w:pos="4414"/>
          <w:tab w:val="left" w:pos="6945"/>
        </w:tabs>
        <w:spacing w:before="72" w:line="276" w:lineRule="auto"/>
        <w:ind w:left="1134" w:right="1701"/>
        <w:rPr>
          <w:rStyle w:val="default"/>
          <w:rFonts w:cs="David"/>
          <w:rtl/>
        </w:rPr>
      </w:pPr>
      <w:r w:rsidRPr="00BD1C8A">
        <w:rPr>
          <w:rStyle w:val="default"/>
          <w:rFonts w:cs="David"/>
          <w:rtl/>
        </w:rPr>
        <w:t>(ו</w:t>
      </w:r>
      <w:r w:rsidRPr="00BD1C8A">
        <w:rPr>
          <w:rStyle w:val="default"/>
          <w:rFonts w:cs="David" w:hint="cs"/>
          <w:rtl/>
        </w:rPr>
        <w:t>)</w:t>
      </w:r>
      <w:r w:rsidRPr="00BD1C8A">
        <w:rPr>
          <w:rStyle w:val="default"/>
          <w:rFonts w:cs="David"/>
          <w:rtl/>
        </w:rPr>
        <w:tab/>
        <w:t>א</w:t>
      </w:r>
      <w:r w:rsidRPr="00BD1C8A">
        <w:rPr>
          <w:rStyle w:val="default"/>
          <w:rFonts w:cs="David" w:hint="cs"/>
          <w:rtl/>
        </w:rPr>
        <w:t>ין</w:t>
      </w:r>
      <w:r w:rsidRPr="00BD1C8A">
        <w:rPr>
          <w:rStyle w:val="default"/>
          <w:rFonts w:cs="David"/>
          <w:rtl/>
        </w:rPr>
        <w:t xml:space="preserve"> ב</w:t>
      </w:r>
      <w:r w:rsidRPr="00BD1C8A">
        <w:rPr>
          <w:rStyle w:val="default"/>
          <w:rFonts w:cs="David" w:hint="cs"/>
          <w:rtl/>
        </w:rPr>
        <w:t>סעיף זה כדי לפגוע בהוראות פרק ג' לפקודת הראיות [נוסח חדש], תשל"א-</w:t>
      </w:r>
      <w:r w:rsidRPr="00BD1C8A">
        <w:rPr>
          <w:rStyle w:val="default"/>
          <w:rFonts w:cs="David"/>
          <w:rtl/>
        </w:rPr>
        <w:t>1971.</w:t>
      </w:r>
    </w:p>
    <w:p w:rsidR="00BD1C8A" w:rsidRDefault="00BD1C8A" w:rsidP="00BD1C8A">
      <w:pPr>
        <w:pStyle w:val="Hesber"/>
        <w:spacing w:before="10" w:line="276" w:lineRule="auto"/>
        <w:ind w:right="709" w:firstLine="0"/>
        <w:rPr>
          <w:rFonts w:ascii="David" w:hAnsi="David"/>
          <w:sz w:val="24"/>
          <w:szCs w:val="24"/>
          <w:rtl/>
        </w:rPr>
      </w:pPr>
    </w:p>
    <w:p w:rsidR="00BD1C8A" w:rsidRDefault="00BD1C8A" w:rsidP="00BD1C8A">
      <w:pPr>
        <w:pStyle w:val="Hesber"/>
        <w:spacing w:before="10" w:line="276" w:lineRule="auto"/>
        <w:ind w:right="709" w:firstLine="0"/>
        <w:rPr>
          <w:rFonts w:ascii="David" w:hAnsi="David"/>
          <w:sz w:val="24"/>
          <w:szCs w:val="24"/>
          <w:rtl/>
        </w:rPr>
      </w:pPr>
    </w:p>
    <w:p w:rsidR="00BD1C8A" w:rsidRDefault="00BD1C8A" w:rsidP="00BD1C8A">
      <w:pPr>
        <w:pStyle w:val="Hesber"/>
        <w:spacing w:before="10" w:line="276" w:lineRule="auto"/>
        <w:ind w:right="709" w:firstLine="0"/>
        <w:rPr>
          <w:rFonts w:ascii="David" w:hAnsi="David"/>
          <w:sz w:val="24"/>
          <w:szCs w:val="24"/>
          <w:rtl/>
        </w:rPr>
      </w:pPr>
    </w:p>
    <w:p w:rsidR="00BD1C8A" w:rsidRDefault="00BD1C8A" w:rsidP="00BD1C8A">
      <w:pPr>
        <w:spacing w:line="276" w:lineRule="auto"/>
        <w:jc w:val="both"/>
        <w:rPr>
          <w:rFonts w:asciiTheme="minorHAnsi" w:eastAsiaTheme="minorHAnsi" w:hAnsiTheme="minorHAnsi" w:cs="David"/>
          <w:b/>
          <w:bCs/>
          <w:sz w:val="26"/>
          <w:szCs w:val="26"/>
          <w:rtl/>
          <w:lang w:eastAsia="en-US"/>
        </w:rPr>
      </w:pPr>
      <w:r w:rsidRPr="00BD1C8A">
        <w:rPr>
          <w:rFonts w:asciiTheme="minorHAnsi" w:eastAsiaTheme="minorHAnsi" w:hAnsiTheme="minorHAnsi" w:cs="David" w:hint="cs"/>
          <w:b/>
          <w:bCs/>
          <w:sz w:val="26"/>
          <w:szCs w:val="26"/>
          <w:rtl/>
          <w:lang w:eastAsia="en-US"/>
        </w:rPr>
        <w:t>פקודת הראיות (נוסח חדש), התשל"א–1971</w:t>
      </w:r>
    </w:p>
    <w:p w:rsidR="00E81433" w:rsidRDefault="00E81433" w:rsidP="00BD1C8A">
      <w:pPr>
        <w:spacing w:after="200" w:line="276" w:lineRule="auto"/>
        <w:jc w:val="both"/>
        <w:rPr>
          <w:rFonts w:asciiTheme="minorHAnsi" w:eastAsiaTheme="minorHAnsi" w:hAnsiTheme="minorHAnsi" w:cs="David"/>
          <w:b/>
          <w:bCs/>
          <w:sz w:val="26"/>
          <w:szCs w:val="26"/>
          <w:rtl/>
          <w:lang w:eastAsia="en-US"/>
        </w:rPr>
      </w:pPr>
    </w:p>
    <w:p w:rsidR="00E81433" w:rsidRPr="00E81433" w:rsidRDefault="00E81433" w:rsidP="00E81433">
      <w:pPr>
        <w:pStyle w:val="ab"/>
        <w:numPr>
          <w:ilvl w:val="0"/>
          <w:numId w:val="7"/>
        </w:numPr>
        <w:spacing w:after="200" w:line="276" w:lineRule="auto"/>
        <w:jc w:val="both"/>
        <w:rPr>
          <w:rFonts w:asciiTheme="minorHAnsi" w:eastAsiaTheme="minorHAnsi" w:hAnsiTheme="minorHAnsi" w:cs="David"/>
          <w:b/>
          <w:bCs/>
          <w:sz w:val="26"/>
          <w:szCs w:val="26"/>
          <w:u w:val="single"/>
          <w:rtl/>
          <w:lang w:eastAsia="en-US"/>
        </w:rPr>
      </w:pPr>
      <w:r w:rsidRPr="00E81433">
        <w:rPr>
          <w:rFonts w:asciiTheme="minorHAnsi" w:eastAsiaTheme="minorHAnsi" w:hAnsiTheme="minorHAnsi" w:cs="David"/>
          <w:b/>
          <w:bCs/>
          <w:sz w:val="26"/>
          <w:szCs w:val="26"/>
          <w:u w:val="single"/>
          <w:rtl/>
          <w:lang w:eastAsia="en-US"/>
        </w:rPr>
        <w:t>מוצע לכלול בחוק את מבחני הפסיקה בעניין הסרת חיסיון בהליך הפלילי</w:t>
      </w:r>
      <w:r w:rsidRPr="00E81433">
        <w:rPr>
          <w:rFonts w:asciiTheme="minorHAnsi" w:eastAsiaTheme="minorHAnsi" w:hAnsiTheme="minorHAnsi" w:cs="David" w:hint="cs"/>
          <w:b/>
          <w:bCs/>
          <w:sz w:val="26"/>
          <w:szCs w:val="26"/>
          <w:u w:val="single"/>
          <w:rtl/>
          <w:lang w:eastAsia="en-US"/>
        </w:rPr>
        <w:t>.</w:t>
      </w:r>
    </w:p>
    <w:p w:rsidR="00BD1C8A" w:rsidRPr="00BD1C8A" w:rsidRDefault="00BD1C8A" w:rsidP="00A71B13">
      <w:pPr>
        <w:spacing w:after="200" w:line="276" w:lineRule="auto"/>
        <w:ind w:left="1133" w:right="1701"/>
        <w:jc w:val="both"/>
        <w:rPr>
          <w:rFonts w:asciiTheme="minorHAnsi" w:eastAsiaTheme="minorHAnsi" w:hAnsiTheme="minorHAnsi" w:cs="David"/>
          <w:b/>
          <w:bCs/>
          <w:sz w:val="26"/>
          <w:szCs w:val="26"/>
          <w:lang w:eastAsia="en-US"/>
        </w:rPr>
      </w:pPr>
      <w:r w:rsidRPr="00BD1C8A">
        <w:rPr>
          <w:rFonts w:asciiTheme="minorHAnsi" w:eastAsiaTheme="minorHAnsi" w:hAnsiTheme="minorHAnsi" w:cs="David" w:hint="cs"/>
          <w:b/>
          <w:bCs/>
          <w:sz w:val="26"/>
          <w:szCs w:val="26"/>
          <w:rtl/>
          <w:lang w:eastAsia="en-US"/>
        </w:rPr>
        <w:t>חסיון</w:t>
      </w:r>
      <w:r w:rsidRPr="00BD1C8A">
        <w:rPr>
          <w:rFonts w:asciiTheme="minorHAnsi" w:eastAsiaTheme="minorHAnsi" w:hAnsiTheme="minorHAnsi" w:cs="David"/>
          <w:b/>
          <w:bCs/>
          <w:sz w:val="26"/>
          <w:szCs w:val="26"/>
          <w:rtl/>
          <w:lang w:eastAsia="en-US"/>
        </w:rPr>
        <w:t xml:space="preserve"> </w:t>
      </w:r>
      <w:r w:rsidRPr="00BD1C8A">
        <w:rPr>
          <w:rFonts w:asciiTheme="minorHAnsi" w:eastAsiaTheme="minorHAnsi" w:hAnsiTheme="minorHAnsi" w:cs="David" w:hint="cs"/>
          <w:b/>
          <w:bCs/>
          <w:sz w:val="26"/>
          <w:szCs w:val="26"/>
          <w:rtl/>
          <w:lang w:eastAsia="en-US"/>
        </w:rPr>
        <w:t>לטובת</w:t>
      </w:r>
      <w:r w:rsidRPr="00BD1C8A">
        <w:rPr>
          <w:rFonts w:asciiTheme="minorHAnsi" w:eastAsiaTheme="minorHAnsi" w:hAnsiTheme="minorHAnsi" w:cs="David"/>
          <w:b/>
          <w:bCs/>
          <w:sz w:val="26"/>
          <w:szCs w:val="26"/>
          <w:rtl/>
          <w:lang w:eastAsia="en-US"/>
        </w:rPr>
        <w:t xml:space="preserve"> </w:t>
      </w:r>
      <w:r w:rsidRPr="00BD1C8A">
        <w:rPr>
          <w:rFonts w:asciiTheme="minorHAnsi" w:eastAsiaTheme="minorHAnsi" w:hAnsiTheme="minorHAnsi" w:cs="David" w:hint="cs"/>
          <w:b/>
          <w:bCs/>
          <w:sz w:val="26"/>
          <w:szCs w:val="26"/>
          <w:rtl/>
          <w:lang w:eastAsia="en-US"/>
        </w:rPr>
        <w:t>המדינה</w:t>
      </w:r>
    </w:p>
    <w:p w:rsidR="005A069D" w:rsidRDefault="00BD1C8A" w:rsidP="005A069D">
      <w:pPr>
        <w:spacing w:after="200" w:line="276" w:lineRule="auto"/>
        <w:ind w:left="1133" w:right="1701"/>
        <w:jc w:val="both"/>
        <w:rPr>
          <w:rFonts w:asciiTheme="minorHAnsi" w:eastAsiaTheme="minorHAnsi" w:hAnsiTheme="minorHAnsi" w:cs="David"/>
          <w:sz w:val="26"/>
          <w:szCs w:val="26"/>
          <w:rtl/>
          <w:lang w:eastAsia="en-US"/>
        </w:rPr>
      </w:pPr>
      <w:r w:rsidRPr="00BD1C8A">
        <w:rPr>
          <w:rFonts w:asciiTheme="minorHAnsi" w:eastAsiaTheme="minorHAnsi" w:hAnsiTheme="minorHAnsi" w:cs="David"/>
          <w:b/>
          <w:bCs/>
          <w:sz w:val="26"/>
          <w:szCs w:val="26"/>
          <w:rtl/>
          <w:lang w:eastAsia="en-US"/>
        </w:rPr>
        <w:t>44</w:t>
      </w:r>
      <w:r w:rsidRPr="00BD1C8A">
        <w:rPr>
          <w:rFonts w:asciiTheme="minorHAnsi" w:eastAsiaTheme="minorHAnsi" w:hAnsiTheme="minorHAnsi" w:cs="David"/>
          <w:sz w:val="26"/>
          <w:szCs w:val="26"/>
          <w:rtl/>
          <w:lang w:eastAsia="en-US"/>
        </w:rPr>
        <w:t>.    (</w:t>
      </w:r>
      <w:r w:rsidRPr="00BD1C8A">
        <w:rPr>
          <w:rFonts w:asciiTheme="minorHAnsi" w:eastAsiaTheme="minorHAnsi" w:hAnsiTheme="minorHAnsi" w:cs="David" w:hint="cs"/>
          <w:sz w:val="26"/>
          <w:szCs w:val="26"/>
          <w:rtl/>
          <w:lang w:eastAsia="en-US"/>
        </w:rPr>
        <w:t>א</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אין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אדם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חייב</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למסור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ובית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המשפט</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לא</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יקבל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ראיה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ראש</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הממשלה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הבטחון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הביע</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דעתו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בתעודה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חתומה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בידו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כי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מסירתה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עלולה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לפגוע</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בבטחון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המדינה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ראש</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הממשלה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החוץ</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הביע</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דעתו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בתעודה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חתומה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בידו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כי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מסירתה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עלולה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לפגוע</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ביחסי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החוץ</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המדינה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אלא</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מצא</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שופט</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בית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המשפט</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העליון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על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פי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עתירת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בעל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דין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המבקש</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גילוי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הראיה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כי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הצורך</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לגלותה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לשם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עשיית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צדק</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עדיף</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מן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הענין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שיש</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לא</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לגלותה</w:t>
      </w:r>
      <w:r w:rsidRPr="00BD1C8A">
        <w:rPr>
          <w:rFonts w:asciiTheme="minorHAnsi" w:eastAsiaTheme="minorHAnsi" w:hAnsiTheme="minorHAnsi" w:cs="David"/>
          <w:sz w:val="26"/>
          <w:szCs w:val="26"/>
          <w:rtl/>
          <w:lang w:eastAsia="en-US"/>
        </w:rPr>
        <w:t>.</w:t>
      </w:r>
      <w:r w:rsidRPr="00BD1C8A">
        <w:rPr>
          <w:rFonts w:asciiTheme="minorHAnsi" w:eastAsiaTheme="minorHAnsi" w:hAnsiTheme="minorHAnsi" w:cs="David" w:hint="cs"/>
          <w:color w:val="7030A0"/>
          <w:sz w:val="26"/>
          <w:szCs w:val="26"/>
          <w:rtl/>
          <w:lang w:eastAsia="en-US"/>
        </w:rPr>
        <w:t xml:space="preserve"> </w:t>
      </w:r>
      <w:r w:rsidR="005A069D" w:rsidRPr="005A069D">
        <w:rPr>
          <w:rFonts w:asciiTheme="minorHAnsi" w:eastAsiaTheme="minorHAnsi" w:hAnsiTheme="minorHAnsi" w:cs="David"/>
          <w:color w:val="FF0000"/>
          <w:sz w:val="26"/>
          <w:szCs w:val="26"/>
          <w:u w:val="single"/>
          <w:rtl/>
          <w:lang w:eastAsia="en-US"/>
        </w:rPr>
        <w:t>ובהליך פלילי – כי הראיה עשויה להועיל להגנת הנאשם ומידת התועלת שבה להגנה עולה על האינטרס שלא לגלותה, או שהיא חיונית להגנת הנאשם</w:t>
      </w:r>
      <w:r w:rsidR="005A069D">
        <w:rPr>
          <w:rFonts w:asciiTheme="minorHAnsi" w:eastAsiaTheme="minorHAnsi" w:hAnsiTheme="minorHAnsi" w:cs="David" w:hint="cs"/>
          <w:color w:val="FF0000"/>
          <w:sz w:val="26"/>
          <w:szCs w:val="26"/>
          <w:u w:val="single"/>
          <w:rtl/>
          <w:lang w:eastAsia="en-US"/>
        </w:rPr>
        <w:t>.</w:t>
      </w:r>
      <w:r w:rsidR="005A069D" w:rsidRPr="005A069D">
        <w:rPr>
          <w:rFonts w:asciiTheme="minorHAnsi" w:eastAsiaTheme="minorHAnsi" w:hAnsiTheme="minorHAnsi" w:cs="David"/>
          <w:color w:val="FF0000"/>
          <w:sz w:val="26"/>
          <w:szCs w:val="26"/>
          <w:u w:val="single"/>
          <w:rtl/>
          <w:lang w:eastAsia="en-US"/>
        </w:rPr>
        <w:t xml:space="preserve"> </w:t>
      </w:r>
    </w:p>
    <w:p w:rsidR="00BD1C8A" w:rsidRPr="00BD1C8A" w:rsidRDefault="00BD1C8A" w:rsidP="005A069D">
      <w:pPr>
        <w:spacing w:after="200" w:line="276" w:lineRule="auto"/>
        <w:ind w:left="1133" w:right="1701"/>
        <w:jc w:val="both"/>
        <w:rPr>
          <w:rFonts w:asciiTheme="minorHAnsi" w:eastAsiaTheme="minorHAnsi" w:hAnsiTheme="minorHAnsi" w:cs="David"/>
          <w:sz w:val="26"/>
          <w:szCs w:val="26"/>
          <w:lang w:eastAsia="en-US"/>
        </w:rPr>
      </w:pPr>
      <w:r w:rsidRPr="00BD1C8A">
        <w:rPr>
          <w:rFonts w:asciiTheme="minorHAnsi" w:eastAsiaTheme="minorHAnsi" w:hAnsiTheme="minorHAnsi" w:cs="David"/>
          <w:sz w:val="26"/>
          <w:szCs w:val="26"/>
          <w:rtl/>
          <w:lang w:eastAsia="en-US"/>
        </w:rPr>
        <w:t>(</w:t>
      </w:r>
      <w:r w:rsidRPr="00BD1C8A">
        <w:rPr>
          <w:rFonts w:asciiTheme="minorHAnsi" w:eastAsiaTheme="minorHAnsi" w:hAnsiTheme="minorHAnsi" w:cs="David" w:hint="cs"/>
          <w:sz w:val="26"/>
          <w:szCs w:val="26"/>
          <w:rtl/>
          <w:lang w:eastAsia="en-US"/>
        </w:rPr>
        <w:t>ב</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הוגשה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לבית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המשפט</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תעודה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כאמור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בסעיף</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קטן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רשאי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בית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המשפט</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על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פי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בקשת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בעל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הדין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המבקש</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גילוי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הראיה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להפסיק</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המשפט</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לתקופה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שיקבע</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כדי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לאפשר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הגשת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העתירה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לגילוי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הראיה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ואם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ראה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לנכון</w:t>
      </w:r>
      <w:r w:rsidRPr="00BD1C8A">
        <w:rPr>
          <w:rFonts w:asciiTheme="minorHAnsi" w:eastAsiaTheme="minorHAnsi" w:hAnsiTheme="minorHAnsi" w:cs="David"/>
          <w:sz w:val="26"/>
          <w:szCs w:val="26"/>
          <w:rtl/>
          <w:lang w:eastAsia="en-US"/>
        </w:rPr>
        <w:t xml:space="preserve"> - </w:t>
      </w:r>
      <w:r w:rsidRPr="00BD1C8A">
        <w:rPr>
          <w:rFonts w:asciiTheme="minorHAnsi" w:eastAsiaTheme="minorHAnsi" w:hAnsiTheme="minorHAnsi" w:cs="David" w:hint="cs"/>
          <w:sz w:val="26"/>
          <w:szCs w:val="26"/>
          <w:rtl/>
          <w:lang w:eastAsia="en-US"/>
        </w:rPr>
        <w:t>גם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עד</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להחלטה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בעתירה</w:t>
      </w:r>
      <w:r w:rsidRPr="00BD1C8A">
        <w:rPr>
          <w:rFonts w:asciiTheme="minorHAnsi" w:eastAsiaTheme="minorHAnsi" w:hAnsiTheme="minorHAnsi" w:cs="David"/>
          <w:sz w:val="26"/>
          <w:szCs w:val="26"/>
          <w:rtl/>
          <w:lang w:eastAsia="en-US"/>
        </w:rPr>
        <w:t>.</w:t>
      </w:r>
    </w:p>
    <w:p w:rsidR="00BD1C8A" w:rsidRPr="00BD1C8A" w:rsidRDefault="00BD1C8A" w:rsidP="005A069D">
      <w:pPr>
        <w:spacing w:after="200" w:line="276" w:lineRule="auto"/>
        <w:ind w:left="1133"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hint="cs"/>
          <w:sz w:val="26"/>
          <w:szCs w:val="26"/>
          <w:rtl/>
          <w:lang w:eastAsia="en-US"/>
        </w:rPr>
        <w:t xml:space="preserve">45. </w:t>
      </w:r>
      <w:r w:rsidRPr="00BD1C8A">
        <w:rPr>
          <w:rFonts w:asciiTheme="minorHAnsi" w:eastAsiaTheme="minorHAnsi" w:hAnsiTheme="minorHAnsi" w:cs="David" w:hint="cs"/>
          <w:color w:val="FF0000"/>
          <w:sz w:val="26"/>
          <w:szCs w:val="26"/>
          <w:u w:val="single"/>
          <w:rtl/>
          <w:lang w:eastAsia="en-US"/>
        </w:rPr>
        <w:t>(א)</w:t>
      </w:r>
      <w:r w:rsidRPr="00BD1C8A">
        <w:rPr>
          <w:rFonts w:asciiTheme="minorHAnsi" w:eastAsiaTheme="minorHAnsi" w:hAnsiTheme="minorHAnsi" w:cs="David" w:hint="cs"/>
          <w:color w:val="FF0000"/>
          <w:sz w:val="26"/>
          <w:szCs w:val="26"/>
          <w:rtl/>
          <w:lang w:eastAsia="en-US"/>
        </w:rPr>
        <w:t xml:space="preserve"> </w:t>
      </w:r>
      <w:r w:rsidRPr="00BD1C8A">
        <w:rPr>
          <w:rFonts w:asciiTheme="minorHAnsi" w:eastAsiaTheme="minorHAnsi" w:hAnsiTheme="minorHAnsi" w:cs="David" w:hint="cs"/>
          <w:sz w:val="26"/>
          <w:szCs w:val="26"/>
          <w:rtl/>
          <w:lang w:eastAsia="en-US"/>
        </w:rPr>
        <w:t>אין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אדם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חייב</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למסור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ובית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המשפט</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לא</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יקבל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ראיה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הביע</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דעתו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בתעודה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חתומה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בידו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כי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מסירתה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עלולה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לפגוע</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בענין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ציבורי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חשוב</w:t>
      </w:r>
      <w:r w:rsidRPr="00BD1C8A">
        <w:rPr>
          <w:rFonts w:asciiTheme="minorHAnsi" w:eastAsiaTheme="minorHAnsi" w:hAnsiTheme="minorHAnsi" w:cs="David"/>
          <w:color w:val="7030A0"/>
          <w:sz w:val="26"/>
          <w:szCs w:val="26"/>
          <w:rtl/>
          <w:lang w:eastAsia="en-US"/>
        </w:rPr>
        <w:t xml:space="preserve">, </w:t>
      </w:r>
      <w:r w:rsidRPr="00BD1C8A">
        <w:rPr>
          <w:rFonts w:asciiTheme="minorHAnsi" w:eastAsiaTheme="minorHAnsi" w:hAnsiTheme="minorHAnsi" w:cs="David" w:hint="cs"/>
          <w:sz w:val="26"/>
          <w:szCs w:val="26"/>
          <w:rtl/>
          <w:lang w:eastAsia="en-US"/>
        </w:rPr>
        <w:t>אלא</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מצא</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בית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המשפט</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הדן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בדבר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על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פי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עתירת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בעל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דין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המבקש</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גילוי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הראיה</w:t>
      </w:r>
      <w:r w:rsidRPr="00BD1C8A">
        <w:rPr>
          <w:rFonts w:asciiTheme="minorHAnsi" w:eastAsiaTheme="minorHAnsi" w:hAnsiTheme="minorHAnsi" w:cs="David"/>
          <w:sz w:val="26"/>
          <w:szCs w:val="26"/>
          <w:rtl/>
          <w:lang w:eastAsia="en-US"/>
        </w:rPr>
        <w:t>,</w:t>
      </w:r>
      <w:r w:rsidRPr="00BD1C8A">
        <w:rPr>
          <w:rFonts w:asciiTheme="minorHAnsi" w:eastAsiaTheme="minorHAnsi" w:hAnsiTheme="minorHAnsi" w:cs="David"/>
          <w:strike/>
          <w:color w:val="7030A0"/>
          <w:sz w:val="26"/>
          <w:szCs w:val="26"/>
          <w:rtl/>
          <w:lang w:eastAsia="en-US"/>
        </w:rPr>
        <w:t xml:space="preserve"> </w:t>
      </w:r>
      <w:r w:rsidRPr="00BD1C8A">
        <w:rPr>
          <w:rFonts w:asciiTheme="minorHAnsi" w:eastAsiaTheme="minorHAnsi" w:hAnsiTheme="minorHAnsi" w:cs="David" w:hint="cs"/>
          <w:sz w:val="26"/>
          <w:szCs w:val="26"/>
          <w:rtl/>
          <w:lang w:eastAsia="en-US"/>
        </w:rPr>
        <w:t>כי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הצורך</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לגלותה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לשם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עשיית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צדק</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עדיף</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מן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הענין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שיש</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לא</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לגלותה</w:t>
      </w:r>
      <w:r w:rsidRPr="00BD1C8A">
        <w:rPr>
          <w:rFonts w:asciiTheme="minorHAnsi" w:eastAsiaTheme="minorHAnsi" w:hAnsiTheme="minorHAnsi" w:cs="David"/>
          <w:sz w:val="26"/>
          <w:szCs w:val="26"/>
          <w:rtl/>
          <w:lang w:eastAsia="en-US"/>
        </w:rPr>
        <w:t>.</w:t>
      </w:r>
      <w:r w:rsidRPr="00BD1C8A">
        <w:rPr>
          <w:rFonts w:asciiTheme="minorHAnsi" w:eastAsiaTheme="minorHAnsi" w:hAnsiTheme="minorHAnsi" w:cs="David" w:hint="cs"/>
          <w:sz w:val="26"/>
          <w:szCs w:val="26"/>
          <w:rtl/>
          <w:lang w:eastAsia="en-US"/>
        </w:rPr>
        <w:t xml:space="preserve"> </w:t>
      </w:r>
      <w:r w:rsidR="005A069D" w:rsidRPr="005A069D">
        <w:rPr>
          <w:rFonts w:asciiTheme="minorHAnsi" w:eastAsiaTheme="minorHAnsi" w:hAnsiTheme="minorHAnsi" w:cs="David"/>
          <w:color w:val="FF0000"/>
          <w:sz w:val="26"/>
          <w:szCs w:val="26"/>
          <w:u w:val="single"/>
          <w:rtl/>
          <w:lang w:eastAsia="en-US"/>
        </w:rPr>
        <w:t>ובהליך פלילי – כי הראיה עשויה להועיל להגנת הנאשם ומידת התועלת שבה להגנה עולה על האינטרס שלא לגלותה, או שהיא חיונית להגנת הנאשם</w:t>
      </w:r>
      <w:r w:rsidRPr="00BD1C8A">
        <w:rPr>
          <w:rFonts w:asciiTheme="minorHAnsi" w:eastAsiaTheme="minorHAnsi" w:hAnsiTheme="minorHAnsi" w:cs="David" w:hint="cs"/>
          <w:color w:val="FF0000"/>
          <w:sz w:val="26"/>
          <w:szCs w:val="26"/>
          <w:u w:val="single"/>
          <w:rtl/>
          <w:lang w:eastAsia="en-US"/>
        </w:rPr>
        <w:t xml:space="preserve">. </w:t>
      </w:r>
    </w:p>
    <w:p w:rsidR="00E81433" w:rsidRDefault="00E81433" w:rsidP="00BD1C8A">
      <w:pPr>
        <w:spacing w:line="276" w:lineRule="auto"/>
        <w:jc w:val="both"/>
        <w:rPr>
          <w:rFonts w:asciiTheme="minorHAnsi" w:eastAsiaTheme="minorHAnsi" w:hAnsiTheme="minorHAnsi" w:cs="David"/>
          <w:color w:val="FF0000"/>
          <w:sz w:val="26"/>
          <w:szCs w:val="26"/>
          <w:u w:val="single"/>
          <w:rtl/>
          <w:lang w:eastAsia="en-US"/>
        </w:rPr>
      </w:pPr>
    </w:p>
    <w:p w:rsidR="00E81433" w:rsidRPr="00E63810" w:rsidRDefault="00E81433" w:rsidP="00CD4618">
      <w:pPr>
        <w:pStyle w:val="ab"/>
        <w:numPr>
          <w:ilvl w:val="0"/>
          <w:numId w:val="7"/>
        </w:numPr>
        <w:spacing w:after="200" w:line="276" w:lineRule="auto"/>
        <w:jc w:val="both"/>
        <w:rPr>
          <w:rFonts w:asciiTheme="minorHAnsi" w:eastAsiaTheme="minorHAnsi" w:hAnsiTheme="minorHAnsi" w:cs="David"/>
          <w:sz w:val="26"/>
          <w:szCs w:val="26"/>
          <w:lang w:eastAsia="en-US"/>
        </w:rPr>
      </w:pPr>
      <w:r w:rsidRPr="00E81433">
        <w:rPr>
          <w:rFonts w:asciiTheme="minorHAnsi" w:eastAsiaTheme="minorHAnsi" w:hAnsiTheme="minorHAnsi" w:cs="David" w:hint="cs"/>
          <w:b/>
          <w:bCs/>
          <w:sz w:val="26"/>
          <w:szCs w:val="26"/>
          <w:u w:val="single"/>
          <w:rtl/>
          <w:lang w:eastAsia="en-US"/>
        </w:rPr>
        <w:t xml:space="preserve">מוצע להוסיף סעיף 45(ב) </w:t>
      </w:r>
      <w:r w:rsidR="00CD4618">
        <w:rPr>
          <w:rFonts w:asciiTheme="minorHAnsi" w:eastAsiaTheme="minorHAnsi" w:hAnsiTheme="minorHAnsi" w:cs="David" w:hint="cs"/>
          <w:b/>
          <w:bCs/>
          <w:sz w:val="26"/>
          <w:szCs w:val="26"/>
          <w:u w:val="single"/>
          <w:rtl/>
          <w:lang w:eastAsia="en-US"/>
        </w:rPr>
        <w:t xml:space="preserve">ו-(ג) </w:t>
      </w:r>
      <w:r w:rsidRPr="00E81433">
        <w:rPr>
          <w:rFonts w:asciiTheme="minorHAnsi" w:eastAsiaTheme="minorHAnsi" w:hAnsiTheme="minorHAnsi" w:cs="David" w:hint="cs"/>
          <w:b/>
          <w:bCs/>
          <w:sz w:val="26"/>
          <w:szCs w:val="26"/>
          <w:u w:val="single"/>
          <w:rtl/>
          <w:lang w:eastAsia="en-US"/>
        </w:rPr>
        <w:t>שיקבע</w:t>
      </w:r>
      <w:r w:rsidR="00CD4618">
        <w:rPr>
          <w:rFonts w:asciiTheme="minorHAnsi" w:eastAsiaTheme="minorHAnsi" w:hAnsiTheme="minorHAnsi" w:cs="David" w:hint="cs"/>
          <w:b/>
          <w:bCs/>
          <w:sz w:val="26"/>
          <w:szCs w:val="26"/>
          <w:u w:val="single"/>
          <w:rtl/>
          <w:lang w:eastAsia="en-US"/>
        </w:rPr>
        <w:t>ו</w:t>
      </w:r>
      <w:r w:rsidRPr="00E81433">
        <w:rPr>
          <w:rFonts w:asciiTheme="minorHAnsi" w:eastAsiaTheme="minorHAnsi" w:hAnsiTheme="minorHAnsi" w:cs="David" w:hint="cs"/>
          <w:b/>
          <w:bCs/>
          <w:sz w:val="26"/>
          <w:szCs w:val="26"/>
          <w:u w:val="single"/>
          <w:rtl/>
          <w:lang w:eastAsia="en-US"/>
        </w:rPr>
        <w:t xml:space="preserve"> במפורש שבירור עתירה לגילוי ראיה חסויה לפי סעיף 45 לא יעכב את בירור התיק העיקרי למעט אם אין ברירה </w:t>
      </w:r>
      <w:r w:rsidRPr="00E63810">
        <w:rPr>
          <w:rFonts w:asciiTheme="minorHAnsi" w:eastAsiaTheme="minorHAnsi" w:hAnsiTheme="minorHAnsi" w:cs="David" w:hint="cs"/>
          <w:b/>
          <w:bCs/>
          <w:sz w:val="26"/>
          <w:szCs w:val="26"/>
          <w:u w:val="single"/>
          <w:rtl/>
          <w:lang w:eastAsia="en-US"/>
        </w:rPr>
        <w:t>אחרת</w:t>
      </w:r>
      <w:r w:rsidR="00CD4618" w:rsidRPr="00E63810">
        <w:rPr>
          <w:rFonts w:asciiTheme="minorHAnsi" w:eastAsiaTheme="minorHAnsi" w:hAnsiTheme="minorHAnsi" w:cs="David" w:hint="cs"/>
          <w:b/>
          <w:bCs/>
          <w:sz w:val="28"/>
          <w:szCs w:val="28"/>
          <w:u w:val="single"/>
          <w:rtl/>
          <w:lang w:eastAsia="en-US"/>
        </w:rPr>
        <w:t>,</w:t>
      </w:r>
      <w:r w:rsidRPr="00E63810">
        <w:rPr>
          <w:rFonts w:asciiTheme="minorHAnsi" w:eastAsiaTheme="minorHAnsi" w:hAnsiTheme="minorHAnsi" w:cs="David" w:hint="cs"/>
          <w:b/>
          <w:bCs/>
          <w:sz w:val="26"/>
          <w:szCs w:val="26"/>
          <w:u w:val="single"/>
          <w:rtl/>
          <w:lang w:eastAsia="en-US"/>
        </w:rPr>
        <w:t xml:space="preserve"> וכי בית המשפט רשאי להעביר את הדיון בעתירה לשופט יחיד</w:t>
      </w:r>
      <w:r w:rsidR="00CD4618" w:rsidRPr="00E63810">
        <w:rPr>
          <w:rFonts w:asciiTheme="minorHAnsi" w:eastAsiaTheme="minorHAnsi" w:hAnsiTheme="minorHAnsi" w:cs="David" w:hint="cs"/>
          <w:b/>
          <w:bCs/>
          <w:sz w:val="26"/>
          <w:szCs w:val="26"/>
          <w:u w:val="single"/>
          <w:rtl/>
          <w:lang w:eastAsia="en-US"/>
        </w:rPr>
        <w:t>, בדומה להסדר שנקבע לעיל בעניין חומר חקירה.</w:t>
      </w:r>
    </w:p>
    <w:p w:rsidR="00E81433" w:rsidRPr="00E81433" w:rsidRDefault="00E81433" w:rsidP="00BD1C8A">
      <w:pPr>
        <w:spacing w:line="276" w:lineRule="auto"/>
        <w:jc w:val="both"/>
        <w:rPr>
          <w:rFonts w:asciiTheme="minorHAnsi" w:eastAsiaTheme="minorHAnsi" w:hAnsiTheme="minorHAnsi" w:cs="David"/>
          <w:color w:val="FF0000"/>
          <w:sz w:val="26"/>
          <w:szCs w:val="26"/>
          <w:u w:val="single"/>
          <w:rtl/>
          <w:lang w:eastAsia="en-US"/>
        </w:rPr>
      </w:pPr>
    </w:p>
    <w:p w:rsidR="00BD1C8A" w:rsidRDefault="00BD1C8A" w:rsidP="00A71B13">
      <w:pPr>
        <w:spacing w:line="276" w:lineRule="auto"/>
        <w:ind w:left="1133"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hint="cs"/>
          <w:color w:val="FF0000"/>
          <w:sz w:val="26"/>
          <w:szCs w:val="26"/>
          <w:u w:val="single"/>
          <w:rtl/>
          <w:lang w:eastAsia="en-US"/>
        </w:rPr>
        <w:t>(ב) בירור עתירה לא יעכב את הדיון בתיק העיקרי, אלא אם אין אפשרות לקיימו לפני הכרעה בעתירה.</w:t>
      </w:r>
    </w:p>
    <w:p w:rsidR="00D80AC6" w:rsidRDefault="00D80AC6" w:rsidP="00A71B13">
      <w:pPr>
        <w:spacing w:line="276" w:lineRule="auto"/>
        <w:ind w:left="1133" w:right="1701"/>
        <w:jc w:val="both"/>
        <w:rPr>
          <w:rFonts w:asciiTheme="minorHAnsi" w:eastAsiaTheme="minorHAnsi" w:hAnsiTheme="minorHAnsi" w:cs="David"/>
          <w:color w:val="FF0000"/>
          <w:sz w:val="26"/>
          <w:szCs w:val="26"/>
          <w:u w:val="single"/>
          <w:rtl/>
          <w:lang w:eastAsia="en-US"/>
        </w:rPr>
      </w:pPr>
    </w:p>
    <w:p w:rsidR="00CD4618" w:rsidRPr="00BD1C8A" w:rsidRDefault="00CD4618" w:rsidP="00CD4618">
      <w:pPr>
        <w:spacing w:line="276" w:lineRule="auto"/>
        <w:ind w:left="1133" w:right="1701"/>
        <w:jc w:val="both"/>
        <w:rPr>
          <w:rFonts w:asciiTheme="minorHAnsi" w:eastAsiaTheme="minorHAnsi" w:hAnsiTheme="minorHAnsi" w:cs="David"/>
          <w:color w:val="7030A0"/>
          <w:sz w:val="26"/>
          <w:szCs w:val="26"/>
          <w:rtl/>
          <w:lang w:eastAsia="en-US"/>
        </w:rPr>
      </w:pPr>
      <w:r w:rsidRPr="00BD1C8A">
        <w:rPr>
          <w:rFonts w:asciiTheme="minorHAnsi" w:eastAsiaTheme="minorHAnsi" w:hAnsiTheme="minorHAnsi" w:cs="David" w:hint="cs"/>
          <w:color w:val="FF0000"/>
          <w:sz w:val="26"/>
          <w:szCs w:val="26"/>
          <w:u w:val="single"/>
          <w:rtl/>
          <w:lang w:eastAsia="en-US"/>
        </w:rPr>
        <w:t xml:space="preserve">(ג)   בית המשפט רשאי להעביר את הדיון בעתירה לשופט יחיד שאינו דן בתיק, ואם היה בית המשפט הרכב </w:t>
      </w:r>
      <w:r w:rsidRPr="00BD1C8A">
        <w:rPr>
          <w:rFonts w:asciiTheme="minorHAnsi" w:eastAsiaTheme="minorHAnsi" w:hAnsiTheme="minorHAnsi" w:cs="David"/>
          <w:color w:val="FF0000"/>
          <w:sz w:val="26"/>
          <w:szCs w:val="26"/>
          <w:u w:val="single"/>
          <w:rtl/>
          <w:lang w:eastAsia="en-US"/>
        </w:rPr>
        <w:t>–</w:t>
      </w:r>
      <w:r w:rsidRPr="00BD1C8A">
        <w:rPr>
          <w:rFonts w:asciiTheme="minorHAnsi" w:eastAsiaTheme="minorHAnsi" w:hAnsiTheme="minorHAnsi" w:cs="David" w:hint="cs"/>
          <w:color w:val="FF0000"/>
          <w:sz w:val="26"/>
          <w:szCs w:val="26"/>
          <w:u w:val="single"/>
          <w:rtl/>
          <w:lang w:eastAsia="en-US"/>
        </w:rPr>
        <w:t xml:space="preserve"> לשופט יחיד שהוא אחד משופטי ההרכב או שאינו דן בתיק.</w:t>
      </w:r>
    </w:p>
    <w:p w:rsidR="00BD1C8A" w:rsidRDefault="00BD1C8A" w:rsidP="00BD1C8A">
      <w:pPr>
        <w:spacing w:line="276" w:lineRule="auto"/>
        <w:jc w:val="both"/>
        <w:rPr>
          <w:rFonts w:asciiTheme="minorHAnsi" w:eastAsiaTheme="minorHAnsi" w:hAnsiTheme="minorHAnsi" w:cs="David"/>
          <w:color w:val="FF0000"/>
          <w:sz w:val="26"/>
          <w:szCs w:val="26"/>
          <w:u w:val="single"/>
          <w:rtl/>
          <w:lang w:eastAsia="en-US"/>
        </w:rPr>
      </w:pPr>
    </w:p>
    <w:p w:rsidR="00E81433" w:rsidRPr="00E81433" w:rsidRDefault="00E81433" w:rsidP="00E63810">
      <w:pPr>
        <w:pStyle w:val="ab"/>
        <w:numPr>
          <w:ilvl w:val="0"/>
          <w:numId w:val="7"/>
        </w:numPr>
        <w:spacing w:line="276" w:lineRule="auto"/>
        <w:jc w:val="both"/>
        <w:rPr>
          <w:rFonts w:asciiTheme="minorHAnsi" w:eastAsiaTheme="minorHAnsi" w:hAnsiTheme="minorHAnsi" w:cs="David"/>
          <w:b/>
          <w:bCs/>
          <w:sz w:val="26"/>
          <w:szCs w:val="26"/>
          <w:u w:val="single"/>
          <w:lang w:eastAsia="en-US"/>
        </w:rPr>
      </w:pPr>
      <w:r w:rsidRPr="00E81433">
        <w:rPr>
          <w:rFonts w:asciiTheme="minorHAnsi" w:eastAsiaTheme="minorHAnsi" w:hAnsiTheme="minorHAnsi" w:cs="David" w:hint="cs"/>
          <w:b/>
          <w:bCs/>
          <w:sz w:val="26"/>
          <w:szCs w:val="26"/>
          <w:u w:val="single"/>
          <w:rtl/>
          <w:lang w:eastAsia="en-US"/>
        </w:rPr>
        <w:t>לבקשת המשרד לביטחון הפנים, מוצע לאפשר לשר לביטחון הפנים לאצול את סמכותו לחתום על תעודות חסיון לפי סעיף 45 לגורם בכיר, שהוא קצין משטרה בכיר בדימוס, פרקליט מחוז או פרקליט מדינה בדימוס או שופט מחוזי בדימוס. האצלת סמכויות לאדם "חיצוני" אינ</w:t>
      </w:r>
      <w:r w:rsidR="00E63810">
        <w:rPr>
          <w:rFonts w:asciiTheme="minorHAnsi" w:eastAsiaTheme="minorHAnsi" w:hAnsiTheme="minorHAnsi" w:cs="David" w:hint="cs"/>
          <w:b/>
          <w:bCs/>
          <w:sz w:val="26"/>
          <w:szCs w:val="26"/>
          <w:u w:val="single"/>
          <w:rtl/>
          <w:lang w:eastAsia="en-US"/>
        </w:rPr>
        <w:t>ה</w:t>
      </w:r>
      <w:r w:rsidRPr="00E81433">
        <w:rPr>
          <w:rFonts w:asciiTheme="minorHAnsi" w:eastAsiaTheme="minorHAnsi" w:hAnsiTheme="minorHAnsi" w:cs="David" w:hint="cs"/>
          <w:b/>
          <w:bCs/>
          <w:sz w:val="26"/>
          <w:szCs w:val="26"/>
          <w:u w:val="single"/>
          <w:rtl/>
          <w:lang w:eastAsia="en-US"/>
        </w:rPr>
        <w:t xml:space="preserve"> דבר נפוץ, אולם ההסדר המוצע יכול להקל על עומסי המערכת במידה רבה, ובאותו עת לשמר את הבדיקה הפרטנית הראויה שתעשה לקראת הוצאת תעודת ח</w:t>
      </w:r>
      <w:r w:rsidR="00CD4618">
        <w:rPr>
          <w:rFonts w:asciiTheme="minorHAnsi" w:eastAsiaTheme="minorHAnsi" w:hAnsiTheme="minorHAnsi" w:cs="David" w:hint="cs"/>
          <w:b/>
          <w:bCs/>
          <w:sz w:val="26"/>
          <w:szCs w:val="26"/>
          <w:u w:val="single"/>
          <w:rtl/>
          <w:lang w:eastAsia="en-US"/>
        </w:rPr>
        <w:t>י</w:t>
      </w:r>
      <w:r w:rsidRPr="00E81433">
        <w:rPr>
          <w:rFonts w:asciiTheme="minorHAnsi" w:eastAsiaTheme="minorHAnsi" w:hAnsiTheme="minorHAnsi" w:cs="David" w:hint="cs"/>
          <w:b/>
          <w:bCs/>
          <w:sz w:val="26"/>
          <w:szCs w:val="26"/>
          <w:u w:val="single"/>
          <w:rtl/>
          <w:lang w:eastAsia="en-US"/>
        </w:rPr>
        <w:t xml:space="preserve">סיון. </w:t>
      </w:r>
    </w:p>
    <w:p w:rsidR="00E81433" w:rsidRPr="00E81433" w:rsidRDefault="00E81433" w:rsidP="00BD1C8A">
      <w:pPr>
        <w:spacing w:line="276" w:lineRule="auto"/>
        <w:jc w:val="both"/>
        <w:rPr>
          <w:rFonts w:asciiTheme="minorHAnsi" w:eastAsiaTheme="minorHAnsi" w:hAnsiTheme="minorHAnsi" w:cs="David"/>
          <w:color w:val="FF0000"/>
          <w:sz w:val="26"/>
          <w:szCs w:val="26"/>
          <w:u w:val="single"/>
          <w:rtl/>
          <w:lang w:eastAsia="en-US"/>
        </w:rPr>
      </w:pPr>
    </w:p>
    <w:p w:rsidR="00BD1C8A" w:rsidRPr="00BD1C8A" w:rsidRDefault="00BD1C8A" w:rsidP="00A71B13">
      <w:pPr>
        <w:spacing w:line="276" w:lineRule="auto"/>
        <w:ind w:left="1133"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hint="cs"/>
          <w:color w:val="FF0000"/>
          <w:sz w:val="26"/>
          <w:szCs w:val="26"/>
          <w:u w:val="single"/>
          <w:rtl/>
          <w:lang w:eastAsia="en-US"/>
        </w:rPr>
        <w:t xml:space="preserve">(ד) </w:t>
      </w:r>
      <w:r w:rsidRPr="00BD1C8A">
        <w:rPr>
          <w:rFonts w:asciiTheme="minorHAnsi" w:eastAsiaTheme="minorHAnsi" w:hAnsiTheme="minorHAnsi" w:cs="David"/>
          <w:color w:val="FF0000"/>
          <w:sz w:val="26"/>
          <w:szCs w:val="26"/>
          <w:u w:val="single"/>
          <w:rtl/>
          <w:lang w:eastAsia="en-US"/>
        </w:rPr>
        <w:t>השר לביטחון הפנים רשאי לאצול מסמכותו לפי סעיף 45 לפקודת הראיות לממונה על החסיונות – אחד או יותר, וזאת בנוסף לסמכות השר להאציל סמכותו לפי כל דין. לעניין סעיף זה,  "ממונה על חסיונות"- אחד מאלה:</w:t>
      </w:r>
    </w:p>
    <w:p w:rsidR="00BD1C8A" w:rsidRPr="00BD1C8A" w:rsidRDefault="00BD1C8A" w:rsidP="00A71B13">
      <w:pPr>
        <w:spacing w:line="276" w:lineRule="auto"/>
        <w:ind w:left="1440"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color w:val="FF0000"/>
          <w:sz w:val="26"/>
          <w:szCs w:val="26"/>
          <w:u w:val="single"/>
          <w:rtl/>
          <w:lang w:eastAsia="en-US"/>
        </w:rPr>
        <w:t>(1)</w:t>
      </w:r>
      <w:r w:rsidRPr="00BD1C8A">
        <w:rPr>
          <w:rFonts w:asciiTheme="minorHAnsi" w:eastAsiaTheme="minorHAnsi" w:hAnsiTheme="minorHAnsi" w:cs="David"/>
          <w:color w:val="FF0000"/>
          <w:sz w:val="26"/>
          <w:szCs w:val="26"/>
          <w:u w:val="single"/>
          <w:rtl/>
          <w:lang w:eastAsia="en-US"/>
        </w:rPr>
        <w:tab/>
        <w:t>קצין משטרה בכיר בדימוס בדרגת תת ניצב ומעלה ששירת באגף החקירות והמודיעין במשטרת ישראל;</w:t>
      </w:r>
    </w:p>
    <w:p w:rsidR="00BD1C8A" w:rsidRPr="00BD1C8A" w:rsidRDefault="00BD1C8A" w:rsidP="00A71B13">
      <w:pPr>
        <w:spacing w:line="276" w:lineRule="auto"/>
        <w:ind w:left="1440"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color w:val="FF0000"/>
          <w:sz w:val="26"/>
          <w:szCs w:val="26"/>
          <w:u w:val="single"/>
          <w:rtl/>
          <w:lang w:eastAsia="en-US"/>
        </w:rPr>
        <w:t>(2)</w:t>
      </w:r>
      <w:r w:rsidRPr="00BD1C8A">
        <w:rPr>
          <w:rFonts w:asciiTheme="minorHAnsi" w:eastAsiaTheme="minorHAnsi" w:hAnsiTheme="minorHAnsi" w:cs="David"/>
          <w:color w:val="FF0000"/>
          <w:sz w:val="26"/>
          <w:szCs w:val="26"/>
          <w:u w:val="single"/>
          <w:rtl/>
          <w:lang w:eastAsia="en-US"/>
        </w:rPr>
        <w:tab/>
        <w:t>פרקליט בדימוס ששימש בתפקיד פרקליט מחוז או משנה לפרקליט המדינה;</w:t>
      </w:r>
    </w:p>
    <w:p w:rsidR="00BD1C8A" w:rsidRPr="00BD1C8A" w:rsidRDefault="00BD1C8A" w:rsidP="00A71B13">
      <w:pPr>
        <w:spacing w:line="276" w:lineRule="auto"/>
        <w:ind w:left="1440"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color w:val="FF0000"/>
          <w:sz w:val="26"/>
          <w:szCs w:val="26"/>
          <w:u w:val="single"/>
          <w:rtl/>
          <w:lang w:eastAsia="en-US"/>
        </w:rPr>
        <w:t>(3)</w:t>
      </w:r>
      <w:r w:rsidRPr="00BD1C8A">
        <w:rPr>
          <w:rFonts w:asciiTheme="minorHAnsi" w:eastAsiaTheme="minorHAnsi" w:hAnsiTheme="minorHAnsi" w:cs="David"/>
          <w:color w:val="FF0000"/>
          <w:sz w:val="26"/>
          <w:szCs w:val="26"/>
          <w:u w:val="single"/>
          <w:rtl/>
          <w:lang w:eastAsia="en-US"/>
        </w:rPr>
        <w:tab/>
        <w:t>שופט מחוזי בדימוס אשר עסק בדין הפלילי.</w:t>
      </w:r>
    </w:p>
    <w:p w:rsidR="00BD1C8A" w:rsidRPr="00BD1C8A" w:rsidRDefault="00BD1C8A" w:rsidP="00A71B13">
      <w:pPr>
        <w:spacing w:line="276" w:lineRule="auto"/>
        <w:ind w:left="1133" w:right="1701"/>
        <w:jc w:val="both"/>
        <w:rPr>
          <w:rFonts w:asciiTheme="minorHAnsi" w:eastAsiaTheme="minorHAnsi" w:hAnsiTheme="minorHAnsi" w:cs="David"/>
          <w:color w:val="FF0000"/>
          <w:sz w:val="26"/>
          <w:szCs w:val="26"/>
          <w:u w:val="single"/>
          <w:rtl/>
          <w:lang w:eastAsia="en-US"/>
        </w:rPr>
      </w:pPr>
    </w:p>
    <w:p w:rsidR="00BD1C8A" w:rsidRPr="00BD1C8A" w:rsidRDefault="00BD1C8A" w:rsidP="00A71B13">
      <w:pPr>
        <w:spacing w:line="276" w:lineRule="auto"/>
        <w:ind w:left="1133"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hint="cs"/>
          <w:color w:val="FF0000"/>
          <w:sz w:val="26"/>
          <w:szCs w:val="26"/>
          <w:u w:val="single"/>
          <w:rtl/>
          <w:lang w:eastAsia="en-US"/>
        </w:rPr>
        <w:t xml:space="preserve">(ה) </w:t>
      </w:r>
      <w:r w:rsidRPr="00BD1C8A">
        <w:rPr>
          <w:rFonts w:asciiTheme="minorHAnsi" w:eastAsiaTheme="minorHAnsi" w:hAnsiTheme="minorHAnsi" w:cs="David"/>
          <w:color w:val="FF0000"/>
          <w:sz w:val="26"/>
          <w:szCs w:val="26"/>
          <w:u w:val="single"/>
          <w:rtl/>
          <w:lang w:eastAsia="en-US"/>
        </w:rPr>
        <w:t xml:space="preserve">דין "ממונה על חסיונות" דין כדין עובד המדינה לעניין חיקוקים אלה: </w:t>
      </w:r>
    </w:p>
    <w:p w:rsidR="00BD1C8A" w:rsidRPr="00BD1C8A" w:rsidRDefault="00BD1C8A" w:rsidP="00A71B13">
      <w:pPr>
        <w:spacing w:line="276" w:lineRule="auto"/>
        <w:ind w:left="1440"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color w:val="FF0000"/>
          <w:sz w:val="26"/>
          <w:szCs w:val="26"/>
          <w:u w:val="single"/>
          <w:rtl/>
          <w:lang w:eastAsia="en-US"/>
        </w:rPr>
        <w:t>(1)</w:t>
      </w:r>
      <w:r w:rsidRPr="00BD1C8A">
        <w:rPr>
          <w:rFonts w:asciiTheme="minorHAnsi" w:eastAsiaTheme="minorHAnsi" w:hAnsiTheme="minorHAnsi" w:cs="David"/>
          <w:color w:val="FF0000"/>
          <w:sz w:val="26"/>
          <w:szCs w:val="26"/>
          <w:u w:val="single"/>
          <w:rtl/>
          <w:lang w:eastAsia="en-US"/>
        </w:rPr>
        <w:tab/>
        <w:t>חוק שירות הציבור (מתנות), התש"ם–1979‏;</w:t>
      </w:r>
    </w:p>
    <w:p w:rsidR="00BD1C8A" w:rsidRPr="00BD1C8A" w:rsidRDefault="00BD1C8A" w:rsidP="00A71B13">
      <w:pPr>
        <w:spacing w:line="276" w:lineRule="auto"/>
        <w:ind w:left="1440"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color w:val="FF0000"/>
          <w:sz w:val="26"/>
          <w:szCs w:val="26"/>
          <w:u w:val="single"/>
          <w:rtl/>
          <w:lang w:eastAsia="en-US"/>
        </w:rPr>
        <w:t>(2)</w:t>
      </w:r>
      <w:r w:rsidRPr="00BD1C8A">
        <w:rPr>
          <w:rFonts w:asciiTheme="minorHAnsi" w:eastAsiaTheme="minorHAnsi" w:hAnsiTheme="minorHAnsi" w:cs="David"/>
          <w:color w:val="FF0000"/>
          <w:sz w:val="26"/>
          <w:szCs w:val="26"/>
          <w:u w:val="single"/>
          <w:rtl/>
          <w:lang w:eastAsia="en-US"/>
        </w:rPr>
        <w:tab/>
        <w:t>חוק העונשין, התשל"ז–1977‏ – ההוראות הנוגעות לעובדי הציבור;</w:t>
      </w:r>
    </w:p>
    <w:p w:rsidR="00BD1C8A" w:rsidRPr="00BD1C8A" w:rsidRDefault="00BD1C8A" w:rsidP="00A71B13">
      <w:pPr>
        <w:spacing w:line="276" w:lineRule="auto"/>
        <w:ind w:left="1440"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color w:val="FF0000"/>
          <w:sz w:val="26"/>
          <w:szCs w:val="26"/>
          <w:u w:val="single"/>
          <w:rtl/>
          <w:lang w:eastAsia="en-US"/>
        </w:rPr>
        <w:t>(3)</w:t>
      </w:r>
      <w:r w:rsidRPr="00BD1C8A">
        <w:rPr>
          <w:rFonts w:asciiTheme="minorHAnsi" w:eastAsiaTheme="minorHAnsi" w:hAnsiTheme="minorHAnsi" w:cs="David"/>
          <w:color w:val="FF0000"/>
          <w:sz w:val="26"/>
          <w:szCs w:val="26"/>
          <w:u w:val="single"/>
          <w:rtl/>
          <w:lang w:eastAsia="en-US"/>
        </w:rPr>
        <w:tab/>
        <w:t>חוק שירות הציבור (הגבלות לאחר פרישה), התשכ"ט–1969‏;</w:t>
      </w:r>
    </w:p>
    <w:p w:rsidR="00BD1C8A" w:rsidRPr="00BD1C8A" w:rsidRDefault="00BD1C8A" w:rsidP="00A71B13">
      <w:pPr>
        <w:spacing w:line="276" w:lineRule="auto"/>
        <w:ind w:left="1440"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color w:val="FF0000"/>
          <w:sz w:val="26"/>
          <w:szCs w:val="26"/>
          <w:u w:val="single"/>
          <w:rtl/>
          <w:lang w:eastAsia="en-US"/>
        </w:rPr>
        <w:t>(4)</w:t>
      </w:r>
      <w:r w:rsidRPr="00BD1C8A">
        <w:rPr>
          <w:rFonts w:asciiTheme="minorHAnsi" w:eastAsiaTheme="minorHAnsi" w:hAnsiTheme="minorHAnsi" w:cs="David"/>
          <w:color w:val="FF0000"/>
          <w:sz w:val="26"/>
          <w:szCs w:val="26"/>
          <w:u w:val="single"/>
          <w:rtl/>
          <w:lang w:eastAsia="en-US"/>
        </w:rPr>
        <w:tab/>
        <w:t>חוק שירות המדינה (סיוג פעילות מפלגתית ומגבית כספים), תשי"ט-1959;</w:t>
      </w:r>
    </w:p>
    <w:p w:rsidR="00BD1C8A" w:rsidRPr="00BD1C8A" w:rsidRDefault="00BD1C8A" w:rsidP="00A71B13">
      <w:pPr>
        <w:spacing w:line="276" w:lineRule="auto"/>
        <w:ind w:left="1440"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color w:val="FF0000"/>
          <w:sz w:val="26"/>
          <w:szCs w:val="26"/>
          <w:u w:val="single"/>
          <w:rtl/>
          <w:lang w:eastAsia="en-US"/>
        </w:rPr>
        <w:t>(5)</w:t>
      </w:r>
      <w:r w:rsidRPr="00BD1C8A">
        <w:rPr>
          <w:rFonts w:asciiTheme="minorHAnsi" w:eastAsiaTheme="minorHAnsi" w:hAnsiTheme="minorHAnsi" w:cs="David"/>
          <w:color w:val="FF0000"/>
          <w:sz w:val="26"/>
          <w:szCs w:val="26"/>
          <w:u w:val="single"/>
          <w:rtl/>
          <w:lang w:eastAsia="en-US"/>
        </w:rPr>
        <w:tab/>
        <w:t>פקודת הראיות [נוסח חדש], התשל"א-1971;</w:t>
      </w:r>
    </w:p>
    <w:p w:rsidR="00BD1C8A" w:rsidRPr="00BD1C8A" w:rsidRDefault="00BD1C8A" w:rsidP="00A71B13">
      <w:pPr>
        <w:spacing w:line="276" w:lineRule="auto"/>
        <w:ind w:left="1440"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color w:val="FF0000"/>
          <w:sz w:val="26"/>
          <w:szCs w:val="26"/>
          <w:u w:val="single"/>
          <w:rtl/>
          <w:lang w:eastAsia="en-US"/>
        </w:rPr>
        <w:t>(6)</w:t>
      </w:r>
      <w:r w:rsidRPr="00BD1C8A">
        <w:rPr>
          <w:rFonts w:asciiTheme="minorHAnsi" w:eastAsiaTheme="minorHAnsi" w:hAnsiTheme="minorHAnsi" w:cs="David"/>
          <w:color w:val="FF0000"/>
          <w:sz w:val="26"/>
          <w:szCs w:val="26"/>
          <w:u w:val="single"/>
          <w:rtl/>
          <w:lang w:eastAsia="en-US"/>
        </w:rPr>
        <w:tab/>
        <w:t>חוק שירות המדינה (משמעת), התשכ"ג-1963, בשינויים שיקבע השר לבטחון פנים, ככל שיקבע.</w:t>
      </w:r>
    </w:p>
    <w:p w:rsidR="00BD1C8A" w:rsidRDefault="00BD1C8A" w:rsidP="00BD1C8A">
      <w:pPr>
        <w:spacing w:line="276" w:lineRule="auto"/>
        <w:jc w:val="both"/>
        <w:rPr>
          <w:rFonts w:asciiTheme="minorHAnsi" w:eastAsiaTheme="minorHAnsi" w:hAnsiTheme="minorHAnsi" w:cs="David"/>
          <w:b/>
          <w:bCs/>
          <w:sz w:val="26"/>
          <w:szCs w:val="26"/>
          <w:rtl/>
          <w:lang w:eastAsia="en-US"/>
        </w:rPr>
      </w:pPr>
    </w:p>
    <w:p w:rsidR="00E81433" w:rsidRPr="00E81433" w:rsidRDefault="00E81433" w:rsidP="00E81433">
      <w:pPr>
        <w:pStyle w:val="ab"/>
        <w:numPr>
          <w:ilvl w:val="0"/>
          <w:numId w:val="7"/>
        </w:numPr>
        <w:spacing w:line="276" w:lineRule="auto"/>
        <w:jc w:val="both"/>
        <w:rPr>
          <w:rFonts w:asciiTheme="minorHAnsi" w:eastAsiaTheme="minorHAnsi" w:hAnsiTheme="minorHAnsi" w:cs="David"/>
          <w:b/>
          <w:bCs/>
          <w:sz w:val="26"/>
          <w:szCs w:val="26"/>
          <w:u w:val="single"/>
          <w:rtl/>
          <w:lang w:eastAsia="en-US"/>
        </w:rPr>
      </w:pPr>
      <w:r w:rsidRPr="00E81433">
        <w:rPr>
          <w:rFonts w:asciiTheme="minorHAnsi" w:eastAsiaTheme="minorHAnsi" w:hAnsiTheme="minorHAnsi" w:cs="David" w:hint="cs"/>
          <w:b/>
          <w:bCs/>
          <w:sz w:val="26"/>
          <w:szCs w:val="26"/>
          <w:u w:val="single"/>
          <w:rtl/>
          <w:lang w:eastAsia="en-US"/>
        </w:rPr>
        <w:t>מוצע לקבוע בצורה מפורשת שגם "פאזל" של ראיות שיכול להיות מורכב מתיקים שונים הוא עילה אפשרית לחיסיון: אפשר להוציא תעודת חסיון גם אם הפגיעה עלולה להיגרם מצירוף של הראיות לראיות אחרות שאינן קשורות לאותו הליך. תיקון זה נועד להתמודד עם הבעיה של "איסוף נגדי" של חומרים שנחשפים בידי עבריינים בעלי יכולות/ארגוני פשיעה</w:t>
      </w:r>
      <w:r w:rsidR="00E63810">
        <w:rPr>
          <w:rFonts w:asciiTheme="minorHAnsi" w:eastAsiaTheme="minorHAnsi" w:hAnsiTheme="minorHAnsi" w:cs="David" w:hint="cs"/>
          <w:b/>
          <w:bCs/>
          <w:sz w:val="26"/>
          <w:szCs w:val="26"/>
          <w:u w:val="single"/>
          <w:rtl/>
          <w:lang w:eastAsia="en-US"/>
        </w:rPr>
        <w:t>. תיקון זה אינו מוגבל למשטרה או לרשויות הביטחון בלבד</w:t>
      </w:r>
      <w:r w:rsidRPr="00E81433">
        <w:rPr>
          <w:rFonts w:asciiTheme="minorHAnsi" w:eastAsiaTheme="minorHAnsi" w:hAnsiTheme="minorHAnsi" w:cs="David" w:hint="cs"/>
          <w:b/>
          <w:bCs/>
          <w:sz w:val="26"/>
          <w:szCs w:val="26"/>
          <w:u w:val="single"/>
          <w:rtl/>
          <w:lang w:eastAsia="en-US"/>
        </w:rPr>
        <w:t>.</w:t>
      </w:r>
    </w:p>
    <w:p w:rsidR="00E81433" w:rsidRDefault="00E81433" w:rsidP="00BD1C8A">
      <w:pPr>
        <w:spacing w:line="276" w:lineRule="auto"/>
        <w:jc w:val="both"/>
        <w:rPr>
          <w:rFonts w:asciiTheme="minorHAnsi" w:eastAsiaTheme="minorHAnsi" w:hAnsiTheme="minorHAnsi" w:cs="David"/>
          <w:b/>
          <w:bCs/>
          <w:sz w:val="26"/>
          <w:szCs w:val="26"/>
          <w:rtl/>
          <w:lang w:eastAsia="en-US"/>
        </w:rPr>
      </w:pPr>
    </w:p>
    <w:p w:rsidR="00E81433" w:rsidRPr="00E6112E" w:rsidRDefault="00E81433" w:rsidP="00A71B13">
      <w:pPr>
        <w:spacing w:line="276" w:lineRule="auto"/>
        <w:ind w:left="1133" w:right="1701"/>
        <w:jc w:val="both"/>
        <w:rPr>
          <w:rFonts w:asciiTheme="minorHAnsi" w:eastAsiaTheme="minorHAnsi" w:hAnsiTheme="minorHAnsi" w:cs="David"/>
          <w:b/>
          <w:bCs/>
          <w:color w:val="FF0000"/>
          <w:sz w:val="26"/>
          <w:szCs w:val="26"/>
          <w:u w:val="single"/>
          <w:rtl/>
          <w:lang w:eastAsia="en-US"/>
        </w:rPr>
      </w:pPr>
      <w:r w:rsidRPr="00E6112E">
        <w:rPr>
          <w:rFonts w:asciiTheme="minorHAnsi" w:eastAsiaTheme="minorHAnsi" w:hAnsiTheme="minorHAnsi" w:cs="David" w:hint="cs"/>
          <w:b/>
          <w:bCs/>
          <w:color w:val="FF0000"/>
          <w:sz w:val="26"/>
          <w:szCs w:val="26"/>
          <w:u w:val="single"/>
          <w:rtl/>
          <w:lang w:eastAsia="en-US"/>
        </w:rPr>
        <w:t>45א. פגיעה הנגרמת מצירוף ראיות</w:t>
      </w:r>
    </w:p>
    <w:p w:rsidR="00E81433" w:rsidRPr="00BD1C8A" w:rsidRDefault="005A069D" w:rsidP="00A71B13">
      <w:pPr>
        <w:spacing w:line="276" w:lineRule="auto"/>
        <w:ind w:left="1133" w:right="1701"/>
        <w:jc w:val="both"/>
        <w:rPr>
          <w:rFonts w:asciiTheme="minorHAnsi" w:eastAsiaTheme="minorHAnsi" w:hAnsiTheme="minorHAnsi" w:cs="David"/>
          <w:color w:val="FF0000"/>
          <w:sz w:val="26"/>
          <w:szCs w:val="26"/>
          <w:u w:val="single"/>
          <w:rtl/>
          <w:lang w:eastAsia="en-US"/>
        </w:rPr>
      </w:pPr>
      <w:r w:rsidRPr="005A069D">
        <w:rPr>
          <w:rFonts w:asciiTheme="minorHAnsi" w:eastAsiaTheme="minorHAnsi" w:hAnsiTheme="minorHAnsi" w:cs="David"/>
          <w:color w:val="FF0000"/>
          <w:sz w:val="26"/>
          <w:szCs w:val="26"/>
          <w:u w:val="single"/>
          <w:rtl/>
          <w:lang w:eastAsia="en-US"/>
        </w:rPr>
        <w:t>מבלי לפגוע בכלליות האמור בסעיפים 44 ו-45, רשאי ראש הממשלה או השר, כאמור באותם סעיפים, להביע את דעתו כי מסירת הראיה עלולה לפגוע בבטחון המדינה, ביחסי החוץ של המדינה, או בענין ציבורי חשוב, לפי הענין, גם אם נוכח סוג המידע הכלול בראיה, תוכנו או היקפו, עלולה להיגרם פגיעה כתוצאה מצירוף של הראיה לראיות אחרות, ואף אם הראיות האחרות אינן קשורות לאותו הליך</w:t>
      </w:r>
      <w:r w:rsidR="00E6112E" w:rsidRPr="00E6112E">
        <w:rPr>
          <w:rFonts w:asciiTheme="minorHAnsi" w:eastAsiaTheme="minorHAnsi" w:hAnsiTheme="minorHAnsi" w:cs="David" w:hint="cs"/>
          <w:color w:val="FF0000"/>
          <w:sz w:val="26"/>
          <w:szCs w:val="26"/>
          <w:u w:val="single"/>
          <w:rtl/>
          <w:lang w:eastAsia="en-US"/>
        </w:rPr>
        <w:t>.</w:t>
      </w:r>
    </w:p>
    <w:p w:rsidR="00E81433" w:rsidRDefault="00E81433" w:rsidP="00E81433">
      <w:pPr>
        <w:spacing w:line="276" w:lineRule="auto"/>
        <w:ind w:left="425" w:right="709"/>
        <w:jc w:val="both"/>
        <w:rPr>
          <w:rFonts w:asciiTheme="minorHAnsi" w:eastAsiaTheme="minorHAnsi" w:hAnsiTheme="minorHAnsi" w:cs="David"/>
          <w:b/>
          <w:bCs/>
          <w:sz w:val="26"/>
          <w:szCs w:val="26"/>
          <w:rtl/>
          <w:lang w:eastAsia="en-US"/>
        </w:rPr>
      </w:pPr>
    </w:p>
    <w:p w:rsidR="005B6A94" w:rsidRDefault="00E6112E" w:rsidP="005B6A94">
      <w:pPr>
        <w:pStyle w:val="ab"/>
        <w:numPr>
          <w:ilvl w:val="0"/>
          <w:numId w:val="7"/>
        </w:numPr>
        <w:spacing w:line="276" w:lineRule="auto"/>
        <w:jc w:val="both"/>
        <w:rPr>
          <w:rFonts w:asciiTheme="minorHAnsi" w:eastAsiaTheme="minorHAnsi" w:hAnsiTheme="minorHAnsi" w:cs="David"/>
          <w:b/>
          <w:bCs/>
          <w:sz w:val="26"/>
          <w:szCs w:val="26"/>
          <w:u w:val="single"/>
          <w:lang w:eastAsia="en-US"/>
        </w:rPr>
      </w:pPr>
      <w:r w:rsidRPr="00E6112E">
        <w:rPr>
          <w:rFonts w:asciiTheme="minorHAnsi" w:eastAsiaTheme="minorHAnsi" w:hAnsiTheme="minorHAnsi" w:cs="David" w:hint="cs"/>
          <w:b/>
          <w:bCs/>
          <w:sz w:val="26"/>
          <w:szCs w:val="26"/>
          <w:u w:val="single"/>
          <w:rtl/>
          <w:lang w:eastAsia="en-US"/>
        </w:rPr>
        <w:t>מוצע לקבוע שכדי להכריע במחלוקת בעניין החיסיון, בית המשפט יתייחס לגדר המחלוקת בין הצדדים (ובמשפט פלילי המשמעות היא שישמע הסברים בעניין טענות ההגנה).</w:t>
      </w:r>
    </w:p>
    <w:p w:rsidR="00E6112E" w:rsidRPr="005B6A94" w:rsidRDefault="005B6A94" w:rsidP="005B6A94">
      <w:pPr>
        <w:spacing w:line="276" w:lineRule="auto"/>
        <w:jc w:val="both"/>
        <w:rPr>
          <w:rFonts w:asciiTheme="minorHAnsi" w:eastAsiaTheme="minorHAnsi" w:hAnsiTheme="minorHAnsi" w:cs="David"/>
          <w:b/>
          <w:bCs/>
          <w:sz w:val="26"/>
          <w:szCs w:val="26"/>
          <w:u w:val="single"/>
          <w:rtl/>
          <w:lang w:eastAsia="en-US"/>
        </w:rPr>
      </w:pPr>
      <w:r w:rsidRPr="005B6A94">
        <w:rPr>
          <w:rFonts w:asciiTheme="minorHAnsi" w:eastAsiaTheme="minorHAnsi" w:hAnsiTheme="minorHAnsi" w:cs="David"/>
          <w:b/>
          <w:bCs/>
          <w:sz w:val="26"/>
          <w:szCs w:val="26"/>
          <w:u w:val="single"/>
          <w:rtl/>
          <w:lang w:eastAsia="en-US"/>
        </w:rPr>
        <w:t xml:space="preserve"> </w:t>
      </w:r>
    </w:p>
    <w:p w:rsidR="00BD1C8A" w:rsidRPr="00BD1C8A" w:rsidRDefault="00BD1C8A" w:rsidP="00A71B13">
      <w:pPr>
        <w:spacing w:line="276" w:lineRule="auto"/>
        <w:ind w:left="1133" w:right="1701"/>
        <w:jc w:val="both"/>
        <w:rPr>
          <w:rFonts w:asciiTheme="minorHAnsi" w:eastAsiaTheme="minorHAnsi" w:hAnsiTheme="minorHAnsi" w:cs="David"/>
          <w:b/>
          <w:bCs/>
          <w:sz w:val="26"/>
          <w:szCs w:val="26"/>
          <w:lang w:eastAsia="en-US"/>
        </w:rPr>
      </w:pPr>
      <w:r w:rsidRPr="00BD1C8A">
        <w:rPr>
          <w:rFonts w:asciiTheme="minorHAnsi" w:eastAsiaTheme="minorHAnsi" w:hAnsiTheme="minorHAnsi" w:cs="David" w:hint="cs"/>
          <w:b/>
          <w:bCs/>
          <w:sz w:val="26"/>
          <w:szCs w:val="26"/>
          <w:rtl/>
          <w:lang w:eastAsia="en-US"/>
        </w:rPr>
        <w:t>הדיון</w:t>
      </w:r>
      <w:r w:rsidRPr="00BD1C8A">
        <w:rPr>
          <w:rFonts w:asciiTheme="minorHAnsi" w:eastAsiaTheme="minorHAnsi" w:hAnsiTheme="minorHAnsi" w:cs="David"/>
          <w:b/>
          <w:bCs/>
          <w:sz w:val="26"/>
          <w:szCs w:val="26"/>
          <w:rtl/>
          <w:lang w:eastAsia="en-US"/>
        </w:rPr>
        <w:t xml:space="preserve"> </w:t>
      </w:r>
      <w:r w:rsidRPr="00BD1C8A">
        <w:rPr>
          <w:rFonts w:asciiTheme="minorHAnsi" w:eastAsiaTheme="minorHAnsi" w:hAnsiTheme="minorHAnsi" w:cs="David" w:hint="cs"/>
          <w:b/>
          <w:bCs/>
          <w:sz w:val="26"/>
          <w:szCs w:val="26"/>
          <w:rtl/>
          <w:lang w:eastAsia="en-US"/>
        </w:rPr>
        <w:t>בעתירה</w:t>
      </w:r>
      <w:r w:rsidRPr="00BD1C8A">
        <w:rPr>
          <w:rFonts w:asciiTheme="minorHAnsi" w:eastAsiaTheme="minorHAnsi" w:hAnsiTheme="minorHAnsi" w:cs="David"/>
          <w:b/>
          <w:bCs/>
          <w:sz w:val="26"/>
          <w:szCs w:val="26"/>
          <w:rtl/>
          <w:lang w:eastAsia="en-US"/>
        </w:rPr>
        <w:t xml:space="preserve"> </w:t>
      </w:r>
      <w:r w:rsidRPr="00BD1C8A">
        <w:rPr>
          <w:rFonts w:asciiTheme="minorHAnsi" w:eastAsiaTheme="minorHAnsi" w:hAnsiTheme="minorHAnsi" w:cs="David" w:hint="cs"/>
          <w:b/>
          <w:bCs/>
          <w:sz w:val="26"/>
          <w:szCs w:val="26"/>
          <w:rtl/>
          <w:lang w:eastAsia="en-US"/>
        </w:rPr>
        <w:t>לגילוי</w:t>
      </w:r>
      <w:r w:rsidRPr="00BD1C8A">
        <w:rPr>
          <w:rFonts w:asciiTheme="minorHAnsi" w:eastAsiaTheme="minorHAnsi" w:hAnsiTheme="minorHAnsi" w:cs="David"/>
          <w:b/>
          <w:bCs/>
          <w:sz w:val="26"/>
          <w:szCs w:val="26"/>
          <w:rtl/>
          <w:lang w:eastAsia="en-US"/>
        </w:rPr>
        <w:t xml:space="preserve"> </w:t>
      </w:r>
      <w:r w:rsidRPr="00BD1C8A">
        <w:rPr>
          <w:rFonts w:asciiTheme="minorHAnsi" w:eastAsiaTheme="minorHAnsi" w:hAnsiTheme="minorHAnsi" w:cs="David" w:hint="cs"/>
          <w:b/>
          <w:bCs/>
          <w:sz w:val="26"/>
          <w:szCs w:val="26"/>
          <w:rtl/>
          <w:lang w:eastAsia="en-US"/>
        </w:rPr>
        <w:t>ראיה</w:t>
      </w:r>
      <w:r w:rsidRPr="00BD1C8A">
        <w:rPr>
          <w:rFonts w:asciiTheme="minorHAnsi" w:eastAsiaTheme="minorHAnsi" w:hAnsiTheme="minorHAnsi" w:cs="David"/>
          <w:b/>
          <w:bCs/>
          <w:sz w:val="26"/>
          <w:szCs w:val="26"/>
          <w:rtl/>
          <w:lang w:eastAsia="en-US"/>
        </w:rPr>
        <w:t xml:space="preserve"> </w:t>
      </w:r>
      <w:r w:rsidRPr="00BD1C8A">
        <w:rPr>
          <w:rFonts w:asciiTheme="minorHAnsi" w:eastAsiaTheme="minorHAnsi" w:hAnsiTheme="minorHAnsi" w:cs="David" w:hint="cs"/>
          <w:b/>
          <w:bCs/>
          <w:sz w:val="26"/>
          <w:szCs w:val="26"/>
          <w:rtl/>
          <w:lang w:eastAsia="en-US"/>
        </w:rPr>
        <w:t>חסויה</w:t>
      </w:r>
    </w:p>
    <w:p w:rsidR="005A069D" w:rsidRDefault="00BD1C8A" w:rsidP="005A069D">
      <w:pPr>
        <w:spacing w:line="276" w:lineRule="auto"/>
        <w:ind w:left="1133" w:right="1701"/>
        <w:jc w:val="both"/>
        <w:rPr>
          <w:rFonts w:asciiTheme="minorHAnsi" w:eastAsiaTheme="minorHAnsi" w:hAnsiTheme="minorHAnsi" w:cs="David"/>
          <w:color w:val="FF0000"/>
          <w:sz w:val="26"/>
          <w:szCs w:val="26"/>
          <w:u w:val="single"/>
          <w:rtl/>
          <w:lang w:eastAsia="en-US"/>
        </w:rPr>
      </w:pPr>
      <w:r w:rsidRPr="00BD1C8A">
        <w:rPr>
          <w:rFonts w:asciiTheme="minorHAnsi" w:eastAsiaTheme="minorHAnsi" w:hAnsiTheme="minorHAnsi" w:cs="David"/>
          <w:sz w:val="26"/>
          <w:szCs w:val="26"/>
          <w:rtl/>
          <w:lang w:eastAsia="en-US"/>
        </w:rPr>
        <w:t>46.    (</w:t>
      </w:r>
      <w:r w:rsidRPr="00BD1C8A">
        <w:rPr>
          <w:rFonts w:asciiTheme="minorHAnsi" w:eastAsiaTheme="minorHAnsi" w:hAnsiTheme="minorHAnsi" w:cs="David" w:hint="cs"/>
          <w:sz w:val="26"/>
          <w:szCs w:val="26"/>
          <w:rtl/>
          <w:lang w:eastAsia="en-US"/>
        </w:rPr>
        <w:t>א</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הדיון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בעתירה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לגילוי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ראיה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לפי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סעיפים</w:t>
      </w:r>
      <w:r w:rsidRPr="00BD1C8A">
        <w:rPr>
          <w:rFonts w:asciiTheme="minorHAnsi" w:eastAsiaTheme="minorHAnsi" w:hAnsiTheme="minorHAnsi" w:cs="David"/>
          <w:sz w:val="26"/>
          <w:szCs w:val="26"/>
          <w:rtl/>
          <w:lang w:eastAsia="en-US"/>
        </w:rPr>
        <w:t xml:space="preserve"> 44 </w:t>
      </w:r>
      <w:r w:rsidRPr="00BD1C8A">
        <w:rPr>
          <w:rFonts w:asciiTheme="minorHAnsi" w:eastAsiaTheme="minorHAnsi" w:hAnsiTheme="minorHAnsi" w:cs="David" w:hint="cs"/>
          <w:sz w:val="26"/>
          <w:szCs w:val="26"/>
          <w:rtl/>
          <w:lang w:eastAsia="en-US"/>
        </w:rPr>
        <w:t>או</w:t>
      </w:r>
      <w:r w:rsidRPr="00BD1C8A">
        <w:rPr>
          <w:rFonts w:asciiTheme="minorHAnsi" w:eastAsiaTheme="minorHAnsi" w:hAnsiTheme="minorHAnsi" w:cs="David"/>
          <w:sz w:val="26"/>
          <w:szCs w:val="26"/>
          <w:rtl/>
          <w:lang w:eastAsia="en-US"/>
        </w:rPr>
        <w:t xml:space="preserve"> 45 </w:t>
      </w:r>
      <w:r w:rsidRPr="00BD1C8A">
        <w:rPr>
          <w:rFonts w:asciiTheme="minorHAnsi" w:eastAsiaTheme="minorHAnsi" w:hAnsiTheme="minorHAnsi" w:cs="David" w:hint="cs"/>
          <w:sz w:val="26"/>
          <w:szCs w:val="26"/>
          <w:rtl/>
          <w:lang w:eastAsia="en-US"/>
        </w:rPr>
        <w:t>יהיה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בדלתיים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סגורות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לשם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החלטה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בעתירה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רשאי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השופט</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בית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המשפט</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העליון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בית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המשפט</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לפי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הענין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לדרוש</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שהראיה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תכנה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יובאו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לידיעתו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ורשאי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הוא</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לקבל</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הסברים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מהיועץ</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המשפטי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לממשלה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מנציגו</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ומנציג</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המשרד</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הממשלתי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הנוגע</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בדבר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אף</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בהעדר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יתר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בעלי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הדין</w:t>
      </w:r>
      <w:r w:rsidRPr="00BD1C8A">
        <w:rPr>
          <w:rFonts w:asciiTheme="minorHAnsi" w:eastAsiaTheme="minorHAnsi" w:hAnsiTheme="minorHAnsi" w:cs="David"/>
          <w:strike/>
          <w:color w:val="FF0000"/>
          <w:sz w:val="26"/>
          <w:szCs w:val="26"/>
          <w:u w:val="single"/>
          <w:rtl/>
          <w:lang w:eastAsia="en-US"/>
        </w:rPr>
        <w:t>.</w:t>
      </w:r>
      <w:r w:rsidRPr="00BD1C8A">
        <w:rPr>
          <w:rFonts w:asciiTheme="minorHAnsi" w:eastAsiaTheme="minorHAnsi" w:hAnsiTheme="minorHAnsi" w:cs="David" w:hint="cs"/>
          <w:color w:val="FF0000"/>
          <w:sz w:val="26"/>
          <w:szCs w:val="26"/>
          <w:u w:val="single"/>
          <w:rtl/>
          <w:lang w:eastAsia="en-US"/>
        </w:rPr>
        <w:t xml:space="preserve">; </w:t>
      </w:r>
      <w:r w:rsidR="005A069D" w:rsidRPr="005A069D">
        <w:rPr>
          <w:rFonts w:asciiTheme="minorHAnsi" w:eastAsiaTheme="minorHAnsi" w:hAnsiTheme="minorHAnsi" w:cs="David"/>
          <w:color w:val="FF0000"/>
          <w:sz w:val="26"/>
          <w:szCs w:val="26"/>
          <w:u w:val="single"/>
          <w:rtl/>
          <w:lang w:eastAsia="en-US"/>
        </w:rPr>
        <w:t>בהחלטתו ישקול בית המשפט, בין היתר, את הקשר שבין החומר החסוי לבין גדר המחלוקת בין בעלי הדין, בשים לב לגרסת ההגנה, את הקשר שבין החומר החסוי לבין הראיות הגלויות וחומר חסוי אחר בתיק, ואת קבילותו של החומר החסוי ומשקלו הצפוי אם יוגש כראיה במשפט. ורשאי הוא לקבל הסברים מהעותר אף בהעדר יתר בעלי הדין; לא יתיר בית משפט גילוי של ראיה חסויה, אלא לאחר שניתנה לתובע אפשרות להתייחס לטענות שנטענו שלא בפניו</w:t>
      </w:r>
      <w:r w:rsidRPr="00BD1C8A">
        <w:rPr>
          <w:rFonts w:asciiTheme="minorHAnsi" w:eastAsiaTheme="minorHAnsi" w:hAnsiTheme="minorHAnsi" w:cs="David" w:hint="cs"/>
          <w:color w:val="FF0000"/>
          <w:sz w:val="26"/>
          <w:szCs w:val="26"/>
          <w:u w:val="single"/>
          <w:rtl/>
          <w:lang w:eastAsia="en-US"/>
        </w:rPr>
        <w:t>;</w:t>
      </w:r>
    </w:p>
    <w:p w:rsidR="00BD1C8A" w:rsidRDefault="005A069D" w:rsidP="005A069D">
      <w:pPr>
        <w:spacing w:line="276" w:lineRule="auto"/>
        <w:ind w:left="1133" w:right="1701"/>
        <w:jc w:val="both"/>
        <w:rPr>
          <w:rFonts w:asciiTheme="minorHAnsi" w:eastAsiaTheme="minorHAnsi" w:hAnsiTheme="minorHAnsi" w:cs="David"/>
          <w:color w:val="7030A0"/>
          <w:sz w:val="26"/>
          <w:szCs w:val="26"/>
          <w:rtl/>
          <w:lang w:eastAsia="en-US"/>
        </w:rPr>
      </w:pPr>
      <w:r>
        <w:rPr>
          <w:rFonts w:asciiTheme="minorHAnsi" w:eastAsiaTheme="minorHAnsi" w:hAnsiTheme="minorHAnsi" w:cs="David" w:hint="cs"/>
          <w:color w:val="FF0000"/>
          <w:sz w:val="26"/>
          <w:szCs w:val="26"/>
          <w:u w:val="single"/>
          <w:rtl/>
          <w:lang w:eastAsia="en-US"/>
        </w:rPr>
        <w:t>(</w:t>
      </w:r>
      <w:r w:rsidRPr="005A069D">
        <w:rPr>
          <w:rFonts w:asciiTheme="minorHAnsi" w:eastAsiaTheme="minorHAnsi" w:hAnsiTheme="minorHAnsi" w:cs="David"/>
          <w:color w:val="FF0000"/>
          <w:sz w:val="26"/>
          <w:szCs w:val="26"/>
          <w:u w:val="single"/>
          <w:rtl/>
          <w:lang w:eastAsia="en-US"/>
        </w:rPr>
        <w:t xml:space="preserve">א1) </w:t>
      </w:r>
      <w:r w:rsidRPr="005A069D">
        <w:rPr>
          <w:rFonts w:asciiTheme="minorHAnsi" w:eastAsiaTheme="minorHAnsi" w:hAnsiTheme="minorHAnsi" w:cs="David"/>
          <w:color w:val="FF0000"/>
          <w:sz w:val="26"/>
          <w:szCs w:val="26"/>
          <w:u w:val="single"/>
          <w:rtl/>
          <w:lang w:eastAsia="en-US"/>
        </w:rPr>
        <w:tab/>
        <w:t>החליט בית המשפט שלא להתיר גילוי של ראיה חסויה, רשאי הוא לשוב ולבחון את החלטתו עם התקדמות הדיון בכתב האישום</w:t>
      </w:r>
      <w:r>
        <w:rPr>
          <w:rFonts w:asciiTheme="minorHAnsi" w:eastAsiaTheme="minorHAnsi" w:hAnsiTheme="minorHAnsi" w:cs="David" w:hint="cs"/>
          <w:color w:val="FF0000"/>
          <w:sz w:val="26"/>
          <w:szCs w:val="26"/>
          <w:u w:val="single"/>
          <w:rtl/>
          <w:lang w:eastAsia="en-US"/>
        </w:rPr>
        <w:t>.</w:t>
      </w:r>
      <w:r w:rsidR="00BD1C8A" w:rsidRPr="00BD1C8A">
        <w:rPr>
          <w:rFonts w:asciiTheme="minorHAnsi" w:eastAsiaTheme="minorHAnsi" w:hAnsiTheme="minorHAnsi" w:cs="David" w:hint="cs"/>
          <w:color w:val="FF0000"/>
          <w:sz w:val="26"/>
          <w:szCs w:val="26"/>
          <w:rtl/>
          <w:lang w:eastAsia="en-US"/>
        </w:rPr>
        <w:t xml:space="preserve"> </w:t>
      </w:r>
    </w:p>
    <w:p w:rsidR="005A069D" w:rsidRPr="00BD1C8A" w:rsidRDefault="005A069D" w:rsidP="005A069D">
      <w:pPr>
        <w:spacing w:line="276" w:lineRule="auto"/>
        <w:ind w:left="1133" w:right="1701"/>
        <w:jc w:val="both"/>
        <w:rPr>
          <w:rFonts w:asciiTheme="minorHAnsi" w:eastAsiaTheme="minorHAnsi" w:hAnsiTheme="minorHAnsi" w:cs="David"/>
          <w:color w:val="7030A0"/>
          <w:sz w:val="26"/>
          <w:szCs w:val="26"/>
          <w:rtl/>
          <w:lang w:eastAsia="en-US"/>
        </w:rPr>
      </w:pPr>
    </w:p>
    <w:p w:rsidR="00BD1C8A" w:rsidRPr="00BD1C8A" w:rsidRDefault="00BD1C8A" w:rsidP="00A71B13">
      <w:pPr>
        <w:spacing w:line="276" w:lineRule="auto"/>
        <w:ind w:left="1133" w:right="1701"/>
        <w:jc w:val="both"/>
        <w:rPr>
          <w:rFonts w:asciiTheme="minorHAnsi" w:eastAsiaTheme="minorHAnsi" w:hAnsiTheme="minorHAnsi" w:cs="David"/>
          <w:sz w:val="26"/>
          <w:szCs w:val="26"/>
          <w:rtl/>
          <w:lang w:eastAsia="en-US"/>
        </w:rPr>
      </w:pP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שר</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המשפטים</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רשאי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להתקין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תקנות</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סדרי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דין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לדיון</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בעתירה</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לפי</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סעיפים</w:t>
      </w:r>
      <w:r w:rsidRPr="00BD1C8A">
        <w:rPr>
          <w:rFonts w:asciiTheme="minorHAnsi" w:eastAsiaTheme="minorHAnsi" w:hAnsiTheme="minorHAnsi" w:cs="David"/>
          <w:sz w:val="26"/>
          <w:szCs w:val="26"/>
          <w:rtl/>
          <w:lang w:eastAsia="en-US"/>
        </w:rPr>
        <w:t xml:space="preserve"> 44 </w:t>
      </w:r>
      <w:r w:rsidRPr="00BD1C8A">
        <w:rPr>
          <w:rFonts w:asciiTheme="minorHAnsi" w:eastAsiaTheme="minorHAnsi" w:hAnsiTheme="minorHAnsi" w:cs="David" w:hint="cs"/>
          <w:sz w:val="26"/>
          <w:szCs w:val="26"/>
          <w:rtl/>
          <w:lang w:eastAsia="en-US"/>
        </w:rPr>
        <w:t>ו</w:t>
      </w:r>
      <w:r w:rsidRPr="00BD1C8A">
        <w:rPr>
          <w:rFonts w:asciiTheme="minorHAnsi" w:eastAsiaTheme="minorHAnsi" w:hAnsiTheme="minorHAnsi" w:cs="David"/>
          <w:sz w:val="26"/>
          <w:szCs w:val="26"/>
          <w:rtl/>
          <w:lang w:eastAsia="en-US"/>
        </w:rPr>
        <w:t xml:space="preserve">-45 </w:t>
      </w:r>
      <w:r w:rsidRPr="00BD1C8A">
        <w:rPr>
          <w:rFonts w:asciiTheme="minorHAnsi" w:eastAsiaTheme="minorHAnsi" w:hAnsiTheme="minorHAnsi" w:cs="David" w:hint="cs"/>
          <w:sz w:val="26"/>
          <w:szCs w:val="26"/>
          <w:rtl/>
          <w:lang w:eastAsia="en-US"/>
        </w:rPr>
        <w:t>וסעיף</w:t>
      </w:r>
      <w:r w:rsidRPr="00BD1C8A">
        <w:rPr>
          <w:rFonts w:asciiTheme="minorHAnsi" w:eastAsiaTheme="minorHAnsi" w:hAnsiTheme="minorHAnsi" w:cs="David"/>
          <w:sz w:val="26"/>
          <w:szCs w:val="26"/>
          <w:rtl/>
          <w:lang w:eastAsia="en-US"/>
        </w:rPr>
        <w:t xml:space="preserve"> </w:t>
      </w:r>
      <w:r w:rsidRPr="00BD1C8A">
        <w:rPr>
          <w:rFonts w:asciiTheme="minorHAnsi" w:eastAsiaTheme="minorHAnsi" w:hAnsiTheme="minorHAnsi" w:cs="David" w:hint="cs"/>
          <w:sz w:val="26"/>
          <w:szCs w:val="26"/>
          <w:rtl/>
          <w:lang w:eastAsia="en-US"/>
        </w:rPr>
        <w:t>זה</w:t>
      </w:r>
      <w:r w:rsidRPr="00BD1C8A">
        <w:rPr>
          <w:rFonts w:asciiTheme="minorHAnsi" w:eastAsiaTheme="minorHAnsi" w:hAnsiTheme="minorHAnsi" w:cs="David"/>
          <w:sz w:val="26"/>
          <w:szCs w:val="26"/>
          <w:rtl/>
          <w:lang w:eastAsia="en-US"/>
        </w:rPr>
        <w:t>.</w:t>
      </w:r>
    </w:p>
    <w:sectPr w:rsidR="00BD1C8A" w:rsidRPr="00BD1C8A" w:rsidSect="00A94247">
      <w:footerReference w:type="default" r:id="rId8"/>
      <w:pgSz w:w="12240" w:h="15840"/>
      <w:pgMar w:top="851" w:right="1797" w:bottom="1134"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7C65" w:rsidRDefault="00E77C65" w:rsidP="00D36F73">
      <w:r>
        <w:separator/>
      </w:r>
    </w:p>
  </w:endnote>
  <w:endnote w:type="continuationSeparator" w:id="0">
    <w:p w:rsidR="00E77C65" w:rsidRDefault="00E77C65" w:rsidP="00D36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Garamond" w:hAnsi="Garamond" w:cs="David"/>
        <w:szCs w:val="20"/>
        <w:rtl/>
      </w:rPr>
      <w:id w:val="-2089916564"/>
      <w:docPartObj>
        <w:docPartGallery w:val="Page Numbers (Bottom of Page)"/>
        <w:docPartUnique/>
      </w:docPartObj>
    </w:sdtPr>
    <w:sdtEndPr>
      <w:rPr>
        <w:noProof/>
      </w:rPr>
    </w:sdtEndPr>
    <w:sdtContent>
      <w:p w:rsidR="00516CAA" w:rsidRPr="007517E6" w:rsidRDefault="00516CAA">
        <w:pPr>
          <w:pStyle w:val="a8"/>
          <w:jc w:val="center"/>
          <w:rPr>
            <w:rFonts w:ascii="Garamond" w:hAnsi="Garamond" w:cs="David"/>
            <w:szCs w:val="20"/>
          </w:rPr>
        </w:pPr>
        <w:r w:rsidRPr="007517E6">
          <w:rPr>
            <w:rFonts w:ascii="Garamond" w:hAnsi="Garamond" w:cs="David"/>
            <w:szCs w:val="20"/>
          </w:rPr>
          <w:fldChar w:fldCharType="begin"/>
        </w:r>
        <w:r w:rsidRPr="007517E6">
          <w:rPr>
            <w:rFonts w:ascii="Garamond" w:hAnsi="Garamond" w:cs="David"/>
            <w:szCs w:val="20"/>
          </w:rPr>
          <w:instrText xml:space="preserve"> PAGE   \* MERGEFORMAT </w:instrText>
        </w:r>
        <w:r w:rsidRPr="007517E6">
          <w:rPr>
            <w:rFonts w:ascii="Garamond" w:hAnsi="Garamond" w:cs="David"/>
            <w:szCs w:val="20"/>
          </w:rPr>
          <w:fldChar w:fldCharType="separate"/>
        </w:r>
        <w:r w:rsidR="000141BD">
          <w:rPr>
            <w:rFonts w:ascii="Garamond" w:hAnsi="Garamond" w:cs="David"/>
            <w:noProof/>
            <w:szCs w:val="20"/>
            <w:rtl/>
          </w:rPr>
          <w:t>1</w:t>
        </w:r>
        <w:r w:rsidRPr="007517E6">
          <w:rPr>
            <w:rFonts w:ascii="Garamond" w:hAnsi="Garamond" w:cs="David"/>
            <w:noProof/>
            <w:szCs w:val="20"/>
          </w:rPr>
          <w:fldChar w:fldCharType="end"/>
        </w:r>
      </w:p>
    </w:sdtContent>
  </w:sdt>
  <w:p w:rsidR="00516CAA" w:rsidRPr="00516CAA" w:rsidRDefault="00516CAA">
    <w:pPr>
      <w:pStyle w:val="a8"/>
      <w:rPr>
        <w:rFonts w:ascii="Garamond" w:hAnsi="Garamond"/>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7C65" w:rsidRDefault="00E77C65" w:rsidP="00516CAA">
      <w:r>
        <w:separator/>
      </w:r>
    </w:p>
  </w:footnote>
  <w:footnote w:type="continuationSeparator" w:id="0">
    <w:p w:rsidR="00E77C65" w:rsidRDefault="00E77C65" w:rsidP="00D36F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234A5"/>
    <w:multiLevelType w:val="hybridMultilevel"/>
    <w:tmpl w:val="A04CF278"/>
    <w:lvl w:ilvl="0" w:tplc="8B18A80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304F78"/>
    <w:multiLevelType w:val="hybridMultilevel"/>
    <w:tmpl w:val="082863EE"/>
    <w:lvl w:ilvl="0" w:tplc="9B849D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0D72DF"/>
    <w:multiLevelType w:val="hybridMultilevel"/>
    <w:tmpl w:val="60589C00"/>
    <w:lvl w:ilvl="0" w:tplc="75E6564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E3406D"/>
    <w:multiLevelType w:val="hybridMultilevel"/>
    <w:tmpl w:val="7FA202E2"/>
    <w:lvl w:ilvl="0" w:tplc="FBEC3BCE">
      <w:start w:val="1"/>
      <w:numFmt w:val="hebrew1"/>
      <w:lvlText w:val="%1."/>
      <w:lvlJc w:val="left"/>
      <w:pPr>
        <w:ind w:left="360" w:hanging="360"/>
      </w:pPr>
      <w:rPr>
        <w:rFonts w:hint="default"/>
        <w:b w:val="0"/>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CCE35A5"/>
    <w:multiLevelType w:val="hybridMultilevel"/>
    <w:tmpl w:val="6F24493C"/>
    <w:lvl w:ilvl="0" w:tplc="5E38F73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442D18"/>
    <w:multiLevelType w:val="hybridMultilevel"/>
    <w:tmpl w:val="E43A11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E41401"/>
    <w:multiLevelType w:val="hybridMultilevel"/>
    <w:tmpl w:val="594E9A68"/>
    <w:lvl w:ilvl="0" w:tplc="B49071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351CE"/>
    <w:multiLevelType w:val="hybridMultilevel"/>
    <w:tmpl w:val="B5B6AFC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7E470C"/>
    <w:multiLevelType w:val="hybridMultilevel"/>
    <w:tmpl w:val="B678906A"/>
    <w:lvl w:ilvl="0" w:tplc="79C058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446FD2"/>
    <w:multiLevelType w:val="hybridMultilevel"/>
    <w:tmpl w:val="442E2EA6"/>
    <w:lvl w:ilvl="0" w:tplc="0FC2D2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B043710"/>
    <w:multiLevelType w:val="hybridMultilevel"/>
    <w:tmpl w:val="4DDC5BF8"/>
    <w:lvl w:ilvl="0" w:tplc="45EE30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5443FC"/>
    <w:multiLevelType w:val="hybridMultilevel"/>
    <w:tmpl w:val="E0803318"/>
    <w:lvl w:ilvl="0" w:tplc="41A816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9"/>
  </w:num>
  <w:num w:numId="4">
    <w:abstractNumId w:val="8"/>
  </w:num>
  <w:num w:numId="5">
    <w:abstractNumId w:val="0"/>
  </w:num>
  <w:num w:numId="6">
    <w:abstractNumId w:val="7"/>
  </w:num>
  <w:num w:numId="7">
    <w:abstractNumId w:val="3"/>
  </w:num>
  <w:num w:numId="8">
    <w:abstractNumId w:val="12"/>
  </w:num>
  <w:num w:numId="9">
    <w:abstractNumId w:val="2"/>
  </w:num>
  <w:num w:numId="10">
    <w:abstractNumId w:val="10"/>
  </w:num>
  <w:num w:numId="11">
    <w:abstractNumId w:val="1"/>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7CF"/>
    <w:rsid w:val="00002E53"/>
    <w:rsid w:val="00006AB3"/>
    <w:rsid w:val="000141BD"/>
    <w:rsid w:val="00021F1F"/>
    <w:rsid w:val="00026C60"/>
    <w:rsid w:val="000318E9"/>
    <w:rsid w:val="00032355"/>
    <w:rsid w:val="000410D0"/>
    <w:rsid w:val="00041C5D"/>
    <w:rsid w:val="0004607B"/>
    <w:rsid w:val="000460B1"/>
    <w:rsid w:val="0007716F"/>
    <w:rsid w:val="0008678D"/>
    <w:rsid w:val="000C1375"/>
    <w:rsid w:val="00111F1B"/>
    <w:rsid w:val="00130CE3"/>
    <w:rsid w:val="00134945"/>
    <w:rsid w:val="00165D1B"/>
    <w:rsid w:val="00185FB0"/>
    <w:rsid w:val="0019299C"/>
    <w:rsid w:val="001B1679"/>
    <w:rsid w:val="001B3E5B"/>
    <w:rsid w:val="001C3808"/>
    <w:rsid w:val="001D1D32"/>
    <w:rsid w:val="001D658C"/>
    <w:rsid w:val="001D7820"/>
    <w:rsid w:val="001E3489"/>
    <w:rsid w:val="001E3931"/>
    <w:rsid w:val="00217E88"/>
    <w:rsid w:val="0024156E"/>
    <w:rsid w:val="002460BE"/>
    <w:rsid w:val="0024781B"/>
    <w:rsid w:val="002627BC"/>
    <w:rsid w:val="00272F26"/>
    <w:rsid w:val="002B618C"/>
    <w:rsid w:val="002C2D98"/>
    <w:rsid w:val="002D309E"/>
    <w:rsid w:val="002E37B3"/>
    <w:rsid w:val="002F39CE"/>
    <w:rsid w:val="0031445B"/>
    <w:rsid w:val="0032166A"/>
    <w:rsid w:val="00333CCD"/>
    <w:rsid w:val="00334BF1"/>
    <w:rsid w:val="00340123"/>
    <w:rsid w:val="00360126"/>
    <w:rsid w:val="00370984"/>
    <w:rsid w:val="003777F3"/>
    <w:rsid w:val="00395ACB"/>
    <w:rsid w:val="003A036E"/>
    <w:rsid w:val="003A0E21"/>
    <w:rsid w:val="003A729F"/>
    <w:rsid w:val="003D29DD"/>
    <w:rsid w:val="003D3F54"/>
    <w:rsid w:val="003D5C41"/>
    <w:rsid w:val="003D615D"/>
    <w:rsid w:val="003E6DA8"/>
    <w:rsid w:val="003F5D44"/>
    <w:rsid w:val="004244D5"/>
    <w:rsid w:val="00464090"/>
    <w:rsid w:val="00473280"/>
    <w:rsid w:val="00474C24"/>
    <w:rsid w:val="00486EC2"/>
    <w:rsid w:val="004A2235"/>
    <w:rsid w:val="004A354A"/>
    <w:rsid w:val="004A4EE1"/>
    <w:rsid w:val="004B075A"/>
    <w:rsid w:val="004B2398"/>
    <w:rsid w:val="004C0FB1"/>
    <w:rsid w:val="004E15E9"/>
    <w:rsid w:val="005045EC"/>
    <w:rsid w:val="00504BF5"/>
    <w:rsid w:val="00516CAA"/>
    <w:rsid w:val="00522F74"/>
    <w:rsid w:val="005272B8"/>
    <w:rsid w:val="00540AA7"/>
    <w:rsid w:val="00545AD2"/>
    <w:rsid w:val="00546D39"/>
    <w:rsid w:val="005617EE"/>
    <w:rsid w:val="00566743"/>
    <w:rsid w:val="005705B3"/>
    <w:rsid w:val="0057552D"/>
    <w:rsid w:val="005A069D"/>
    <w:rsid w:val="005A0893"/>
    <w:rsid w:val="005A13DE"/>
    <w:rsid w:val="005B3C49"/>
    <w:rsid w:val="005B6A94"/>
    <w:rsid w:val="005E282D"/>
    <w:rsid w:val="005E361F"/>
    <w:rsid w:val="005F4F0D"/>
    <w:rsid w:val="005F52F8"/>
    <w:rsid w:val="005F57DF"/>
    <w:rsid w:val="006136FF"/>
    <w:rsid w:val="00631196"/>
    <w:rsid w:val="006315D1"/>
    <w:rsid w:val="00637970"/>
    <w:rsid w:val="0064133A"/>
    <w:rsid w:val="006534A7"/>
    <w:rsid w:val="006668F4"/>
    <w:rsid w:val="00694104"/>
    <w:rsid w:val="006B6B58"/>
    <w:rsid w:val="006C6614"/>
    <w:rsid w:val="006D57E0"/>
    <w:rsid w:val="006E036A"/>
    <w:rsid w:val="006E566A"/>
    <w:rsid w:val="006F01D5"/>
    <w:rsid w:val="00721009"/>
    <w:rsid w:val="00721C27"/>
    <w:rsid w:val="007517E6"/>
    <w:rsid w:val="007809E9"/>
    <w:rsid w:val="007B2E52"/>
    <w:rsid w:val="007B359D"/>
    <w:rsid w:val="007C2994"/>
    <w:rsid w:val="007D3ED3"/>
    <w:rsid w:val="007E60F4"/>
    <w:rsid w:val="00811B89"/>
    <w:rsid w:val="00813308"/>
    <w:rsid w:val="00850E18"/>
    <w:rsid w:val="0085136E"/>
    <w:rsid w:val="00852AB7"/>
    <w:rsid w:val="00885D9B"/>
    <w:rsid w:val="008B2F6B"/>
    <w:rsid w:val="008C0B3B"/>
    <w:rsid w:val="008F01C7"/>
    <w:rsid w:val="008F140A"/>
    <w:rsid w:val="008F1774"/>
    <w:rsid w:val="00907055"/>
    <w:rsid w:val="00925F1D"/>
    <w:rsid w:val="00932849"/>
    <w:rsid w:val="0095132D"/>
    <w:rsid w:val="009546B2"/>
    <w:rsid w:val="0096344A"/>
    <w:rsid w:val="009662AF"/>
    <w:rsid w:val="009802D3"/>
    <w:rsid w:val="00987998"/>
    <w:rsid w:val="009928B5"/>
    <w:rsid w:val="00993B4F"/>
    <w:rsid w:val="009B2BBF"/>
    <w:rsid w:val="00A00050"/>
    <w:rsid w:val="00A127BD"/>
    <w:rsid w:val="00A200F3"/>
    <w:rsid w:val="00A36DD3"/>
    <w:rsid w:val="00A45535"/>
    <w:rsid w:val="00A65FB7"/>
    <w:rsid w:val="00A71B13"/>
    <w:rsid w:val="00A94247"/>
    <w:rsid w:val="00A94A1D"/>
    <w:rsid w:val="00AC2442"/>
    <w:rsid w:val="00AE4401"/>
    <w:rsid w:val="00AF1097"/>
    <w:rsid w:val="00B14C76"/>
    <w:rsid w:val="00B203E1"/>
    <w:rsid w:val="00B26A7F"/>
    <w:rsid w:val="00B56E5D"/>
    <w:rsid w:val="00B6509E"/>
    <w:rsid w:val="00B75309"/>
    <w:rsid w:val="00B9450A"/>
    <w:rsid w:val="00B9528F"/>
    <w:rsid w:val="00BA138C"/>
    <w:rsid w:val="00BA64BE"/>
    <w:rsid w:val="00BB5A4F"/>
    <w:rsid w:val="00BD1C8A"/>
    <w:rsid w:val="00BE089E"/>
    <w:rsid w:val="00BE3E31"/>
    <w:rsid w:val="00BF5672"/>
    <w:rsid w:val="00C05F99"/>
    <w:rsid w:val="00C256CA"/>
    <w:rsid w:val="00C501D8"/>
    <w:rsid w:val="00C64371"/>
    <w:rsid w:val="00C710EC"/>
    <w:rsid w:val="00C753F8"/>
    <w:rsid w:val="00C85385"/>
    <w:rsid w:val="00CD4618"/>
    <w:rsid w:val="00CD5982"/>
    <w:rsid w:val="00D00E79"/>
    <w:rsid w:val="00D055EC"/>
    <w:rsid w:val="00D173C8"/>
    <w:rsid w:val="00D2009D"/>
    <w:rsid w:val="00D21176"/>
    <w:rsid w:val="00D36F73"/>
    <w:rsid w:val="00D446DE"/>
    <w:rsid w:val="00D45332"/>
    <w:rsid w:val="00D52F9E"/>
    <w:rsid w:val="00D56D79"/>
    <w:rsid w:val="00D7044C"/>
    <w:rsid w:val="00D72531"/>
    <w:rsid w:val="00D807CF"/>
    <w:rsid w:val="00D80AC6"/>
    <w:rsid w:val="00D82E3F"/>
    <w:rsid w:val="00D9500A"/>
    <w:rsid w:val="00DB1121"/>
    <w:rsid w:val="00DC1520"/>
    <w:rsid w:val="00DC6984"/>
    <w:rsid w:val="00DC7419"/>
    <w:rsid w:val="00E12078"/>
    <w:rsid w:val="00E40612"/>
    <w:rsid w:val="00E5390B"/>
    <w:rsid w:val="00E6112E"/>
    <w:rsid w:val="00E63810"/>
    <w:rsid w:val="00E747CE"/>
    <w:rsid w:val="00E748FA"/>
    <w:rsid w:val="00E75168"/>
    <w:rsid w:val="00E75509"/>
    <w:rsid w:val="00E77C65"/>
    <w:rsid w:val="00E81433"/>
    <w:rsid w:val="00E967CF"/>
    <w:rsid w:val="00EB0057"/>
    <w:rsid w:val="00EC2307"/>
    <w:rsid w:val="00EC73F4"/>
    <w:rsid w:val="00ED4920"/>
    <w:rsid w:val="00F011E5"/>
    <w:rsid w:val="00F05F39"/>
    <w:rsid w:val="00F11ABF"/>
    <w:rsid w:val="00F16BB7"/>
    <w:rsid w:val="00F24804"/>
    <w:rsid w:val="00F54E5E"/>
    <w:rsid w:val="00F75F85"/>
    <w:rsid w:val="00F92455"/>
    <w:rsid w:val="00FA03BD"/>
    <w:rsid w:val="00FB2D7B"/>
    <w:rsid w:val="00FF407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68A741-66EC-44A7-AF2D-3A268E96C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67CF"/>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unhideWhenUsed/>
    <w:rsid w:val="00C64371"/>
    <w:rPr>
      <w:rFonts w:cs="David"/>
      <w:szCs w:val="20"/>
    </w:rPr>
  </w:style>
  <w:style w:type="character" w:customStyle="1" w:styleId="a4">
    <w:name w:val="טקסט הערת שוליים תו"/>
    <w:basedOn w:val="a0"/>
    <w:link w:val="a3"/>
    <w:uiPriority w:val="99"/>
    <w:semiHidden/>
    <w:rsid w:val="00C64371"/>
    <w:rPr>
      <w:rFonts w:ascii="David" w:hAnsi="David" w:cs="David"/>
      <w:sz w:val="20"/>
      <w:szCs w:val="20"/>
    </w:rPr>
  </w:style>
  <w:style w:type="character" w:styleId="a5">
    <w:name w:val="footnote reference"/>
    <w:basedOn w:val="a0"/>
    <w:semiHidden/>
    <w:unhideWhenUsed/>
    <w:rsid w:val="00D36F73"/>
    <w:rPr>
      <w:vertAlign w:val="superscript"/>
    </w:rPr>
  </w:style>
  <w:style w:type="paragraph" w:styleId="a6">
    <w:name w:val="header"/>
    <w:basedOn w:val="a"/>
    <w:link w:val="a7"/>
    <w:uiPriority w:val="99"/>
    <w:unhideWhenUsed/>
    <w:rsid w:val="00516CAA"/>
    <w:pPr>
      <w:tabs>
        <w:tab w:val="center" w:pos="4320"/>
        <w:tab w:val="right" w:pos="8640"/>
      </w:tabs>
    </w:pPr>
  </w:style>
  <w:style w:type="character" w:customStyle="1" w:styleId="a7">
    <w:name w:val="כותרת עליונה תו"/>
    <w:basedOn w:val="a0"/>
    <w:link w:val="a6"/>
    <w:uiPriority w:val="99"/>
    <w:rsid w:val="00516CAA"/>
  </w:style>
  <w:style w:type="paragraph" w:styleId="a8">
    <w:name w:val="footer"/>
    <w:basedOn w:val="a"/>
    <w:link w:val="a9"/>
    <w:uiPriority w:val="99"/>
    <w:unhideWhenUsed/>
    <w:rsid w:val="00516CAA"/>
    <w:pPr>
      <w:tabs>
        <w:tab w:val="center" w:pos="4320"/>
        <w:tab w:val="right" w:pos="8640"/>
      </w:tabs>
    </w:pPr>
  </w:style>
  <w:style w:type="character" w:customStyle="1" w:styleId="a9">
    <w:name w:val="כותרת תחתונה תו"/>
    <w:basedOn w:val="a0"/>
    <w:link w:val="a8"/>
    <w:uiPriority w:val="99"/>
    <w:rsid w:val="00516CAA"/>
  </w:style>
  <w:style w:type="paragraph" w:customStyle="1" w:styleId="Hesber">
    <w:name w:val="Hesber"/>
    <w:basedOn w:val="a"/>
    <w:rsid w:val="00A127BD"/>
    <w:pPr>
      <w:widowControl w:val="0"/>
      <w:autoSpaceDE w:val="0"/>
      <w:autoSpaceDN w:val="0"/>
      <w:adjustRightInd w:val="0"/>
      <w:snapToGrid w:val="0"/>
      <w:spacing w:line="360" w:lineRule="auto"/>
      <w:ind w:firstLine="340"/>
      <w:jc w:val="both"/>
      <w:textAlignment w:val="center"/>
    </w:pPr>
    <w:rPr>
      <w:rFonts w:ascii="Arial" w:eastAsia="Arial Unicode MS" w:hAnsi="Arial" w:cs="David"/>
      <w:snapToGrid w:val="0"/>
      <w:color w:val="000000"/>
      <w:sz w:val="20"/>
      <w:szCs w:val="26"/>
      <w:lang w:eastAsia="ja-JP"/>
    </w:rPr>
  </w:style>
  <w:style w:type="table" w:styleId="aa">
    <w:name w:val="Table Grid"/>
    <w:basedOn w:val="a1"/>
    <w:uiPriority w:val="59"/>
    <w:rsid w:val="00C853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C85385"/>
    <w:pPr>
      <w:ind w:left="720"/>
      <w:contextualSpacing/>
    </w:pPr>
  </w:style>
  <w:style w:type="paragraph" w:customStyle="1" w:styleId="P00">
    <w:name w:val="P00"/>
    <w:rsid w:val="00C256C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C256CA"/>
    <w:rPr>
      <w:rFonts w:ascii="Times New Roman" w:hAnsi="Times New Roman" w:cs="Times New Roman"/>
      <w:sz w:val="26"/>
      <w:szCs w:val="26"/>
    </w:rPr>
  </w:style>
  <w:style w:type="character" w:styleId="ac">
    <w:name w:val="annotation reference"/>
    <w:basedOn w:val="a0"/>
    <w:uiPriority w:val="99"/>
    <w:semiHidden/>
    <w:unhideWhenUsed/>
    <w:rsid w:val="00852AB7"/>
    <w:rPr>
      <w:sz w:val="16"/>
      <w:szCs w:val="16"/>
    </w:rPr>
  </w:style>
  <w:style w:type="paragraph" w:styleId="ad">
    <w:name w:val="annotation text"/>
    <w:basedOn w:val="a"/>
    <w:link w:val="ae"/>
    <w:uiPriority w:val="99"/>
    <w:semiHidden/>
    <w:unhideWhenUsed/>
    <w:rsid w:val="00852AB7"/>
    <w:rPr>
      <w:sz w:val="20"/>
      <w:szCs w:val="20"/>
    </w:rPr>
  </w:style>
  <w:style w:type="character" w:customStyle="1" w:styleId="ae">
    <w:name w:val="טקסט הערה תו"/>
    <w:basedOn w:val="a0"/>
    <w:link w:val="ad"/>
    <w:uiPriority w:val="99"/>
    <w:semiHidden/>
    <w:rsid w:val="00852AB7"/>
    <w:rPr>
      <w:rFonts w:ascii="Times New Roman" w:eastAsia="Times New Roman" w:hAnsi="Times New Roman" w:cs="Times New Roman"/>
      <w:sz w:val="20"/>
      <w:szCs w:val="20"/>
      <w:lang w:eastAsia="he-IL"/>
    </w:rPr>
  </w:style>
  <w:style w:type="paragraph" w:styleId="af">
    <w:name w:val="annotation subject"/>
    <w:basedOn w:val="ad"/>
    <w:next w:val="ad"/>
    <w:link w:val="af0"/>
    <w:uiPriority w:val="99"/>
    <w:semiHidden/>
    <w:unhideWhenUsed/>
    <w:rsid w:val="00852AB7"/>
    <w:rPr>
      <w:b/>
      <w:bCs/>
    </w:rPr>
  </w:style>
  <w:style w:type="character" w:customStyle="1" w:styleId="af0">
    <w:name w:val="נושא הערה תו"/>
    <w:basedOn w:val="ae"/>
    <w:link w:val="af"/>
    <w:uiPriority w:val="99"/>
    <w:semiHidden/>
    <w:rsid w:val="00852AB7"/>
    <w:rPr>
      <w:rFonts w:ascii="Times New Roman" w:eastAsia="Times New Roman" w:hAnsi="Times New Roman" w:cs="Times New Roman"/>
      <w:b/>
      <w:bCs/>
      <w:sz w:val="20"/>
      <w:szCs w:val="20"/>
      <w:lang w:eastAsia="he-IL"/>
    </w:rPr>
  </w:style>
  <w:style w:type="paragraph" w:styleId="af1">
    <w:name w:val="Balloon Text"/>
    <w:basedOn w:val="a"/>
    <w:link w:val="af2"/>
    <w:uiPriority w:val="99"/>
    <w:semiHidden/>
    <w:unhideWhenUsed/>
    <w:rsid w:val="00852AB7"/>
    <w:rPr>
      <w:rFonts w:ascii="Tahoma" w:hAnsi="Tahoma" w:cs="Tahoma"/>
      <w:sz w:val="16"/>
      <w:szCs w:val="16"/>
    </w:rPr>
  </w:style>
  <w:style w:type="character" w:customStyle="1" w:styleId="af2">
    <w:name w:val="טקסט בלונים תו"/>
    <w:basedOn w:val="a0"/>
    <w:link w:val="af1"/>
    <w:uiPriority w:val="99"/>
    <w:semiHidden/>
    <w:rsid w:val="00852AB7"/>
    <w:rPr>
      <w:rFonts w:ascii="Tahoma" w:eastAsia="Times New Roman" w:hAnsi="Tahoma" w:cs="Tahoma"/>
      <w:sz w:val="16"/>
      <w:szCs w:val="16"/>
      <w:lang w:eastAsia="he-IL"/>
    </w:rPr>
  </w:style>
  <w:style w:type="paragraph" w:customStyle="1" w:styleId="TableBlock">
    <w:name w:val="Table Block"/>
    <w:basedOn w:val="a"/>
    <w:rsid w:val="007D3ED3"/>
    <w:pPr>
      <w:keepLines/>
      <w:widowControl w:val="0"/>
      <w:tabs>
        <w:tab w:val="left" w:pos="624"/>
        <w:tab w:val="left" w:pos="1247"/>
      </w:tabs>
      <w:autoSpaceDE w:val="0"/>
      <w:autoSpaceDN w:val="0"/>
      <w:adjustRightInd w:val="0"/>
      <w:snapToGrid w:val="0"/>
      <w:spacing w:line="360" w:lineRule="auto"/>
      <w:jc w:val="both"/>
      <w:textAlignment w:val="center"/>
    </w:pPr>
    <w:rPr>
      <w:rFonts w:ascii="Arial" w:eastAsia="Arial Unicode MS" w:hAnsi="Arial" w:cs="David"/>
      <w:snapToGrid w:val="0"/>
      <w:color w:val="000000"/>
      <w:sz w:val="20"/>
      <w:szCs w:val="26"/>
      <w:lang w:eastAsia="ja-JP"/>
    </w:rPr>
  </w:style>
  <w:style w:type="character" w:styleId="Hyperlink">
    <w:name w:val="Hyperlink"/>
    <w:basedOn w:val="a0"/>
    <w:rsid w:val="00486EC2"/>
    <w:rPr>
      <w:color w:val="0000FF"/>
      <w:u w:val="single"/>
    </w:rPr>
  </w:style>
  <w:style w:type="paragraph" w:customStyle="1" w:styleId="HeadHatzaotHok">
    <w:name w:val="Head HatzaotHok"/>
    <w:basedOn w:val="a"/>
    <w:rsid w:val="00EB005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Text">
    <w:name w:val="Table Text"/>
    <w:basedOn w:val="a"/>
    <w:rsid w:val="00EB0057"/>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SideHeading">
    <w:name w:val="Table SideHeading"/>
    <w:basedOn w:val="TableText"/>
    <w:rsid w:val="00EB0057"/>
  </w:style>
  <w:style w:type="paragraph" w:customStyle="1" w:styleId="TableHead">
    <w:name w:val="Table Head"/>
    <w:basedOn w:val="TableText"/>
    <w:rsid w:val="00EB0057"/>
    <w:pPr>
      <w:ind w:right="0"/>
      <w:jc w:val="center"/>
    </w:pPr>
    <w:rPr>
      <w:b/>
      <w:bCs/>
    </w:rPr>
  </w:style>
  <w:style w:type="paragraph" w:customStyle="1" w:styleId="TableInnerSideHeading">
    <w:name w:val="Table InnerSideHeading"/>
    <w:basedOn w:val="TableSideHeading"/>
    <w:rsid w:val="00EB0057"/>
  </w:style>
  <w:style w:type="paragraph" w:customStyle="1" w:styleId="HesberWriters">
    <w:name w:val="Hesber Writers"/>
    <w:basedOn w:val="Hesber"/>
    <w:rsid w:val="00EB0057"/>
    <w:pPr>
      <w:spacing w:before="120" w:after="6000"/>
      <w:ind w:left="1418" w:firstLine="0"/>
      <w:jc w:val="right"/>
    </w:pPr>
    <w:rPr>
      <w:b/>
      <w:bCs/>
    </w:rPr>
  </w:style>
  <w:style w:type="paragraph" w:customStyle="1" w:styleId="HeadDivreiHesber">
    <w:name w:val="Head DivreiHesber"/>
    <w:basedOn w:val="a"/>
    <w:rsid w:val="00EB0057"/>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D1BC95-ED30-43D5-BAC6-3AAE9EFDF84E}"/>
</file>

<file path=customXml/itemProps2.xml><?xml version="1.0" encoding="utf-8"?>
<ds:datastoreItem xmlns:ds="http://schemas.openxmlformats.org/officeDocument/2006/customXml" ds:itemID="{B6D5913D-7E0B-43EF-87ED-52F4B2994087}"/>
</file>

<file path=customXml/itemProps3.xml><?xml version="1.0" encoding="utf-8"?>
<ds:datastoreItem xmlns:ds="http://schemas.openxmlformats.org/officeDocument/2006/customXml" ds:itemID="{52D91DB2-D242-407C-B29A-A2C892C7F8CE}"/>
</file>

<file path=customXml/itemProps4.xml><?xml version="1.0" encoding="utf-8"?>
<ds:datastoreItem xmlns:ds="http://schemas.openxmlformats.org/officeDocument/2006/customXml" ds:itemID="{1905DB15-A10D-44B3-A8BF-17E334571923}"/>
</file>

<file path=docProps/app.xml><?xml version="1.0" encoding="utf-8"?>
<Properties xmlns="http://schemas.openxmlformats.org/officeDocument/2006/extended-properties" xmlns:vt="http://schemas.openxmlformats.org/officeDocument/2006/docPropsVTypes">
  <Template>Normal</Template>
  <TotalTime>5</TotalTime>
  <Pages>6</Pages>
  <Words>1991</Words>
  <Characters>9956</Characters>
  <Application>Microsoft Office Word</Application>
  <DocSecurity>4</DocSecurity>
  <Lines>82</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11924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אפרת חקאק</dc:creator>
  <cp:lastModifiedBy>נטלי שלף</cp:lastModifiedBy>
  <cp:revision>2</cp:revision>
  <cp:lastPrinted>2016-07-17T10:56:00Z</cp:lastPrinted>
  <dcterms:created xsi:type="dcterms:W3CDTF">2016-07-17T11:10:00Z</dcterms:created>
  <dcterms:modified xsi:type="dcterms:W3CDTF">2016-07-17T11:10:00Z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2005701</vt:r8>
  </property>
</Properties>
</file>