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D0D" w:rsidRPr="000C7D0D" w:rsidRDefault="000C7D0D" w:rsidP="000C7D0D">
      <w:pPr>
        <w:widowControl/>
        <w:autoSpaceDE/>
        <w:autoSpaceDN/>
        <w:bidi w:val="0"/>
        <w:adjustRightInd/>
        <w:spacing w:before="10" w:line="240" w:lineRule="auto"/>
        <w:ind w:firstLine="0"/>
        <w:textAlignment w:val="auto"/>
        <w:rPr>
          <w:rFonts w:ascii="Times New Roman" w:eastAsia="Times New Roman" w:hAnsi="Times New Roman" w:cs="David"/>
          <w:color w:val="auto"/>
          <w:spacing w:val="0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color w:val="auto"/>
          <w:spacing w:val="0"/>
          <w:sz w:val="24"/>
          <w:szCs w:val="24"/>
          <w:rtl/>
          <w:lang w:eastAsia="he-IL"/>
        </w:rPr>
        <w:t>י"א</w:t>
      </w:r>
      <w:r w:rsidRPr="000C7D0D">
        <w:rPr>
          <w:rFonts w:ascii="Times New Roman" w:eastAsia="Times New Roman" w:hAnsi="Times New Roman" w:cs="David"/>
          <w:color w:val="auto"/>
          <w:spacing w:val="0"/>
          <w:sz w:val="24"/>
          <w:szCs w:val="24"/>
          <w:rtl/>
          <w:lang w:eastAsia="he-IL"/>
        </w:rPr>
        <w:t xml:space="preserve"> תמוז, תשע"ו</w:t>
      </w:r>
    </w:p>
    <w:p w:rsidR="000C7D0D" w:rsidRPr="000C7D0D" w:rsidRDefault="000C7D0D" w:rsidP="000C7D0D">
      <w:pPr>
        <w:widowControl/>
        <w:autoSpaceDE/>
        <w:autoSpaceDN/>
        <w:bidi w:val="0"/>
        <w:adjustRightInd/>
        <w:spacing w:before="10" w:line="240" w:lineRule="auto"/>
        <w:ind w:firstLine="0"/>
        <w:textAlignment w:val="auto"/>
        <w:rPr>
          <w:rFonts w:ascii="Times New Roman" w:eastAsia="Times New Roman" w:hAnsi="Times New Roman" w:cs="David"/>
          <w:color w:val="auto"/>
          <w:spacing w:val="0"/>
          <w:sz w:val="24"/>
          <w:szCs w:val="24"/>
          <w:lang w:eastAsia="he-IL"/>
        </w:rPr>
      </w:pPr>
      <w:r w:rsidRPr="000C7D0D">
        <w:rPr>
          <w:rFonts w:ascii="Times New Roman" w:eastAsia="Times New Roman" w:hAnsi="Times New Roman" w:cs="David" w:hint="eastAsia"/>
          <w:color w:val="auto"/>
          <w:spacing w:val="0"/>
          <w:sz w:val="24"/>
          <w:szCs w:val="24"/>
          <w:rtl/>
          <w:lang w:eastAsia="he-IL"/>
        </w:rPr>
        <w:t>‏</w:t>
      </w:r>
      <w:r>
        <w:rPr>
          <w:rFonts w:ascii="Times New Roman" w:eastAsia="Times New Roman" w:hAnsi="Times New Roman" w:cs="David" w:hint="cs"/>
          <w:color w:val="auto"/>
          <w:spacing w:val="0"/>
          <w:sz w:val="24"/>
          <w:szCs w:val="24"/>
          <w:rtl/>
          <w:lang w:eastAsia="he-IL"/>
        </w:rPr>
        <w:t>17</w:t>
      </w:r>
      <w:r w:rsidRPr="000C7D0D">
        <w:rPr>
          <w:rFonts w:ascii="Times New Roman" w:eastAsia="Times New Roman" w:hAnsi="Times New Roman" w:cs="David"/>
          <w:color w:val="auto"/>
          <w:spacing w:val="0"/>
          <w:sz w:val="24"/>
          <w:szCs w:val="24"/>
          <w:rtl/>
          <w:lang w:eastAsia="he-IL"/>
        </w:rPr>
        <w:t xml:space="preserve"> יולי, 2016</w:t>
      </w:r>
    </w:p>
    <w:p w:rsidR="000C7D0D" w:rsidRPr="000C7D0D" w:rsidRDefault="000C7D0D" w:rsidP="000C7D0D">
      <w:pPr>
        <w:widowControl/>
        <w:autoSpaceDE/>
        <w:autoSpaceDN/>
        <w:adjustRightInd/>
        <w:spacing w:before="10" w:line="240" w:lineRule="auto"/>
        <w:ind w:firstLine="0"/>
        <w:textAlignment w:val="auto"/>
        <w:rPr>
          <w:rFonts w:ascii="Times New Roman" w:eastAsia="Times New Roman" w:hAnsi="Times New Roman" w:cs="David"/>
          <w:color w:val="auto"/>
          <w:spacing w:val="0"/>
          <w:sz w:val="24"/>
          <w:szCs w:val="24"/>
          <w:rtl/>
          <w:lang w:eastAsia="he-IL"/>
        </w:rPr>
      </w:pPr>
    </w:p>
    <w:p w:rsidR="000C7D0D" w:rsidRPr="000C7D0D" w:rsidRDefault="000C7D0D" w:rsidP="000C7D0D">
      <w:pPr>
        <w:widowControl/>
        <w:autoSpaceDE/>
        <w:autoSpaceDN/>
        <w:adjustRightInd/>
        <w:spacing w:before="10" w:line="240" w:lineRule="auto"/>
        <w:ind w:firstLine="0"/>
        <w:textAlignment w:val="auto"/>
        <w:rPr>
          <w:rFonts w:ascii="Times New Roman" w:eastAsia="Times New Roman" w:hAnsi="Times New Roman" w:cs="David"/>
          <w:color w:val="auto"/>
          <w:spacing w:val="0"/>
          <w:sz w:val="24"/>
          <w:szCs w:val="24"/>
          <w:rtl/>
          <w:lang w:eastAsia="he-IL"/>
        </w:rPr>
      </w:pPr>
      <w:r w:rsidRPr="000C7D0D">
        <w:rPr>
          <w:rFonts w:ascii="Times New Roman" w:eastAsia="Times New Roman" w:hAnsi="Times New Roman" w:cs="David" w:hint="cs"/>
          <w:color w:val="auto"/>
          <w:spacing w:val="0"/>
          <w:sz w:val="24"/>
          <w:szCs w:val="24"/>
          <w:rtl/>
          <w:lang w:eastAsia="he-IL"/>
        </w:rPr>
        <w:t xml:space="preserve">אל: חברי ועדת החוקה חוק ומשפט </w:t>
      </w:r>
      <w:r w:rsidRPr="000C7D0D">
        <w:rPr>
          <w:rFonts w:ascii="Times New Roman" w:eastAsia="Times New Roman" w:hAnsi="Times New Roman" w:cs="David"/>
          <w:color w:val="auto"/>
          <w:spacing w:val="0"/>
          <w:sz w:val="24"/>
          <w:szCs w:val="24"/>
          <w:rtl/>
          <w:lang w:eastAsia="he-IL"/>
        </w:rPr>
        <w:tab/>
      </w:r>
      <w:r w:rsidRPr="000C7D0D">
        <w:rPr>
          <w:rFonts w:ascii="Times New Roman" w:eastAsia="Times New Roman" w:hAnsi="Times New Roman" w:cs="David" w:hint="cs"/>
          <w:color w:val="auto"/>
          <w:spacing w:val="0"/>
          <w:sz w:val="24"/>
          <w:szCs w:val="24"/>
          <w:rtl/>
          <w:lang w:eastAsia="he-IL"/>
        </w:rPr>
        <w:tab/>
      </w:r>
      <w:r w:rsidRPr="000C7D0D">
        <w:rPr>
          <w:rFonts w:ascii="Times New Roman" w:eastAsia="Times New Roman" w:hAnsi="Times New Roman" w:cs="David"/>
          <w:color w:val="auto"/>
          <w:spacing w:val="0"/>
          <w:sz w:val="24"/>
          <w:szCs w:val="24"/>
          <w:rtl/>
          <w:lang w:eastAsia="he-IL"/>
        </w:rPr>
        <w:tab/>
      </w:r>
      <w:r w:rsidRPr="000C7D0D">
        <w:rPr>
          <w:rFonts w:ascii="Times New Roman" w:eastAsia="Times New Roman" w:hAnsi="Times New Roman" w:cs="David" w:hint="cs"/>
          <w:color w:val="auto"/>
          <w:spacing w:val="0"/>
          <w:sz w:val="24"/>
          <w:szCs w:val="24"/>
          <w:rtl/>
          <w:lang w:eastAsia="he-IL"/>
        </w:rPr>
        <w:tab/>
      </w:r>
      <w:r w:rsidRPr="000C7D0D">
        <w:rPr>
          <w:rFonts w:ascii="Times New Roman" w:eastAsia="Times New Roman" w:hAnsi="Times New Roman" w:cs="David" w:hint="cs"/>
          <w:color w:val="auto"/>
          <w:spacing w:val="0"/>
          <w:sz w:val="24"/>
          <w:szCs w:val="24"/>
          <w:rtl/>
          <w:lang w:eastAsia="he-IL"/>
        </w:rPr>
        <w:tab/>
      </w:r>
    </w:p>
    <w:p w:rsidR="000C7D0D" w:rsidRPr="000C7D0D" w:rsidRDefault="000C7D0D" w:rsidP="000C7D0D">
      <w:pPr>
        <w:widowControl/>
        <w:autoSpaceDE/>
        <w:autoSpaceDN/>
        <w:adjustRightInd/>
        <w:spacing w:before="10" w:line="240" w:lineRule="auto"/>
        <w:ind w:firstLine="0"/>
        <w:textAlignment w:val="auto"/>
        <w:rPr>
          <w:rFonts w:ascii="Times New Roman" w:eastAsia="Times New Roman" w:hAnsi="Times New Roman" w:cs="David"/>
          <w:color w:val="auto"/>
          <w:spacing w:val="0"/>
          <w:sz w:val="24"/>
          <w:szCs w:val="24"/>
          <w:rtl/>
          <w:lang w:eastAsia="he-IL"/>
        </w:rPr>
      </w:pPr>
      <w:r w:rsidRPr="000C7D0D">
        <w:rPr>
          <w:rFonts w:ascii="Times New Roman" w:eastAsia="Times New Roman" w:hAnsi="Times New Roman" w:cs="David" w:hint="cs"/>
          <w:color w:val="auto"/>
          <w:spacing w:val="0"/>
          <w:sz w:val="24"/>
          <w:szCs w:val="24"/>
          <w:rtl/>
          <w:lang w:eastAsia="he-IL"/>
        </w:rPr>
        <w:t>מאת: הייעוץ המשפטי לוועדה</w:t>
      </w:r>
      <w:r w:rsidRPr="000C7D0D">
        <w:rPr>
          <w:rFonts w:ascii="Times New Roman" w:eastAsia="Times New Roman" w:hAnsi="Times New Roman" w:cs="David"/>
          <w:color w:val="auto"/>
          <w:spacing w:val="0"/>
          <w:sz w:val="24"/>
          <w:szCs w:val="24"/>
          <w:rtl/>
          <w:lang w:eastAsia="he-IL"/>
        </w:rPr>
        <w:tab/>
      </w:r>
      <w:r w:rsidRPr="000C7D0D">
        <w:rPr>
          <w:rFonts w:ascii="Times New Roman" w:eastAsia="Times New Roman" w:hAnsi="Times New Roman" w:cs="David" w:hint="cs"/>
          <w:color w:val="auto"/>
          <w:spacing w:val="0"/>
          <w:sz w:val="24"/>
          <w:szCs w:val="24"/>
          <w:rtl/>
          <w:lang w:eastAsia="he-IL"/>
        </w:rPr>
        <w:tab/>
      </w:r>
      <w:r w:rsidRPr="000C7D0D">
        <w:rPr>
          <w:rFonts w:ascii="Times New Roman" w:eastAsia="Times New Roman" w:hAnsi="Times New Roman" w:cs="David"/>
          <w:color w:val="auto"/>
          <w:spacing w:val="0"/>
          <w:sz w:val="24"/>
          <w:szCs w:val="24"/>
          <w:rtl/>
          <w:lang w:eastAsia="he-IL"/>
        </w:rPr>
        <w:tab/>
      </w:r>
      <w:r w:rsidRPr="000C7D0D">
        <w:rPr>
          <w:rFonts w:ascii="Times New Roman" w:eastAsia="Times New Roman" w:hAnsi="Times New Roman" w:cs="David" w:hint="cs"/>
          <w:color w:val="auto"/>
          <w:spacing w:val="0"/>
          <w:sz w:val="24"/>
          <w:szCs w:val="24"/>
          <w:rtl/>
          <w:lang w:eastAsia="he-IL"/>
        </w:rPr>
        <w:tab/>
      </w:r>
      <w:r w:rsidRPr="000C7D0D">
        <w:rPr>
          <w:rFonts w:ascii="Times New Roman" w:eastAsia="Times New Roman" w:hAnsi="Times New Roman" w:cs="David"/>
          <w:color w:val="auto"/>
          <w:spacing w:val="0"/>
          <w:sz w:val="24"/>
          <w:szCs w:val="24"/>
          <w:rtl/>
          <w:lang w:eastAsia="he-IL"/>
        </w:rPr>
        <w:tab/>
      </w:r>
      <w:r w:rsidRPr="000C7D0D">
        <w:rPr>
          <w:rFonts w:ascii="Times New Roman" w:eastAsia="Times New Roman" w:hAnsi="Times New Roman" w:cs="David" w:hint="cs"/>
          <w:color w:val="auto"/>
          <w:spacing w:val="0"/>
          <w:sz w:val="24"/>
          <w:szCs w:val="24"/>
          <w:rtl/>
          <w:lang w:eastAsia="he-IL"/>
        </w:rPr>
        <w:tab/>
        <w:t xml:space="preserve">    </w:t>
      </w:r>
    </w:p>
    <w:p w:rsidR="000C7D0D" w:rsidRPr="000C7D0D" w:rsidRDefault="000C7D0D" w:rsidP="000C7D0D">
      <w:pPr>
        <w:widowControl/>
        <w:autoSpaceDE/>
        <w:autoSpaceDN/>
        <w:adjustRightInd/>
        <w:spacing w:before="10" w:line="240" w:lineRule="auto"/>
        <w:ind w:firstLine="0"/>
        <w:textAlignment w:val="auto"/>
        <w:rPr>
          <w:rFonts w:ascii="Times New Roman" w:eastAsia="Times New Roman" w:hAnsi="Times New Roman" w:cs="David"/>
          <w:color w:val="auto"/>
          <w:spacing w:val="0"/>
          <w:sz w:val="24"/>
          <w:szCs w:val="24"/>
          <w:rtl/>
          <w:lang w:eastAsia="he-IL"/>
        </w:rPr>
      </w:pPr>
    </w:p>
    <w:p w:rsidR="000C7D0D" w:rsidRPr="000C7D0D" w:rsidRDefault="000C7D0D" w:rsidP="000C7D0D">
      <w:pPr>
        <w:widowControl/>
        <w:autoSpaceDE/>
        <w:autoSpaceDN/>
        <w:adjustRightInd/>
        <w:spacing w:before="10" w:line="240" w:lineRule="auto"/>
        <w:ind w:firstLine="0"/>
        <w:textAlignment w:val="auto"/>
        <w:rPr>
          <w:rFonts w:ascii="Times New Roman" w:eastAsia="Times New Roman" w:hAnsi="Times New Roman" w:cs="David"/>
          <w:color w:val="auto"/>
          <w:spacing w:val="0"/>
          <w:sz w:val="24"/>
          <w:szCs w:val="24"/>
          <w:rtl/>
          <w:lang w:eastAsia="he-IL"/>
        </w:rPr>
      </w:pPr>
    </w:p>
    <w:p w:rsidR="000C7D0D" w:rsidRDefault="000C7D0D" w:rsidP="000C7D0D">
      <w:pPr>
        <w:widowControl/>
        <w:autoSpaceDE/>
        <w:autoSpaceDN/>
        <w:adjustRightInd/>
        <w:spacing w:before="0" w:line="240" w:lineRule="auto"/>
        <w:ind w:firstLine="0"/>
        <w:jc w:val="center"/>
        <w:textAlignment w:val="auto"/>
        <w:rPr>
          <w:rFonts w:ascii="Times New Roman" w:eastAsia="Times New Roman" w:hAnsi="Times New Roman" w:cs="David"/>
          <w:b/>
          <w:bCs/>
          <w:color w:val="auto"/>
          <w:spacing w:val="0"/>
          <w:sz w:val="24"/>
          <w:szCs w:val="24"/>
          <w:u w:val="single"/>
          <w:rtl/>
          <w:lang w:eastAsia="he-IL"/>
        </w:rPr>
      </w:pPr>
      <w:r>
        <w:rPr>
          <w:rFonts w:ascii="Times New Roman" w:eastAsia="Times New Roman" w:hAnsi="Times New Roman" w:cs="David" w:hint="cs"/>
          <w:b/>
          <w:bCs/>
          <w:color w:val="auto"/>
          <w:spacing w:val="0"/>
          <w:sz w:val="24"/>
          <w:szCs w:val="24"/>
          <w:u w:val="single"/>
          <w:rtl/>
          <w:lang w:eastAsia="he-IL"/>
        </w:rPr>
        <w:t>הדחת חבר כנסת שהתקיים בו האמור בסעיף 7א(א)(1) או (2) לחוק-יסוד: הכנסת</w:t>
      </w:r>
      <w:r w:rsidRPr="000C7D0D">
        <w:rPr>
          <w:rFonts w:ascii="Times New Roman" w:eastAsia="Times New Roman" w:hAnsi="Times New Roman" w:cs="David"/>
          <w:b/>
          <w:bCs/>
          <w:color w:val="auto"/>
          <w:spacing w:val="0"/>
          <w:sz w:val="24"/>
          <w:szCs w:val="24"/>
          <w:u w:val="single"/>
          <w:rtl/>
          <w:lang w:eastAsia="he-IL"/>
        </w:rPr>
        <w:t xml:space="preserve"> </w:t>
      </w:r>
    </w:p>
    <w:p w:rsidR="000C7D0D" w:rsidRPr="000C7D0D" w:rsidRDefault="000C7D0D" w:rsidP="000C7D0D">
      <w:pPr>
        <w:widowControl/>
        <w:autoSpaceDE/>
        <w:autoSpaceDN/>
        <w:adjustRightInd/>
        <w:spacing w:before="0" w:line="240" w:lineRule="auto"/>
        <w:ind w:firstLine="0"/>
        <w:jc w:val="center"/>
        <w:textAlignment w:val="auto"/>
        <w:rPr>
          <w:rFonts w:ascii="Times New Roman" w:eastAsia="Times New Roman" w:hAnsi="Times New Roman" w:cs="David"/>
          <w:b/>
          <w:bCs/>
          <w:color w:val="auto"/>
          <w:spacing w:val="0"/>
          <w:sz w:val="24"/>
          <w:szCs w:val="24"/>
          <w:u w:val="single"/>
          <w:rtl/>
          <w:lang w:eastAsia="he-IL"/>
        </w:rPr>
      </w:pPr>
      <w:bookmarkStart w:id="0" w:name="_GoBack"/>
      <w:r w:rsidRPr="000C7D0D">
        <w:rPr>
          <w:rFonts w:ascii="Times New Roman" w:eastAsia="Times New Roman" w:hAnsi="Times New Roman" w:cs="David" w:hint="cs"/>
          <w:b/>
          <w:bCs/>
          <w:color w:val="auto"/>
          <w:spacing w:val="0"/>
          <w:sz w:val="24"/>
          <w:szCs w:val="24"/>
          <w:u w:val="single"/>
          <w:rtl/>
          <w:lang w:eastAsia="he-IL"/>
        </w:rPr>
        <w:t xml:space="preserve">נוסח </w:t>
      </w:r>
      <w:r>
        <w:rPr>
          <w:rFonts w:ascii="Times New Roman" w:eastAsia="Times New Roman" w:hAnsi="Times New Roman" w:cs="David" w:hint="cs"/>
          <w:b/>
          <w:bCs/>
          <w:color w:val="auto"/>
          <w:spacing w:val="0"/>
          <w:sz w:val="24"/>
          <w:szCs w:val="24"/>
          <w:u w:val="single"/>
          <w:rtl/>
          <w:lang w:eastAsia="he-IL"/>
        </w:rPr>
        <w:t>ל</w:t>
      </w:r>
      <w:r w:rsidRPr="000C7D0D">
        <w:rPr>
          <w:rFonts w:ascii="Times New Roman" w:eastAsia="Times New Roman" w:hAnsi="Times New Roman" w:cs="David" w:hint="cs"/>
          <w:b/>
          <w:bCs/>
          <w:color w:val="auto"/>
          <w:spacing w:val="0"/>
          <w:sz w:val="24"/>
          <w:szCs w:val="24"/>
          <w:u w:val="single"/>
          <w:rtl/>
          <w:lang w:eastAsia="he-IL"/>
        </w:rPr>
        <w:t xml:space="preserve">הצבעות  </w:t>
      </w:r>
      <w:bookmarkEnd w:id="0"/>
      <w:r w:rsidRPr="000C7D0D">
        <w:rPr>
          <w:rFonts w:ascii="Times New Roman" w:eastAsia="Times New Roman" w:hAnsi="Times New Roman" w:cs="David" w:hint="cs"/>
          <w:b/>
          <w:bCs/>
          <w:color w:val="auto"/>
          <w:spacing w:val="0"/>
          <w:sz w:val="24"/>
          <w:szCs w:val="24"/>
          <w:u w:val="single"/>
          <w:rtl/>
          <w:lang w:eastAsia="he-IL"/>
        </w:rPr>
        <w:t>ביום 18.7.2016</w:t>
      </w:r>
      <w:r w:rsidR="00C11638">
        <w:rPr>
          <w:rFonts w:ascii="Times New Roman" w:eastAsia="Times New Roman" w:hAnsi="Times New Roman" w:cs="David" w:hint="cs"/>
          <w:b/>
          <w:bCs/>
          <w:color w:val="auto"/>
          <w:spacing w:val="0"/>
          <w:sz w:val="24"/>
          <w:szCs w:val="24"/>
          <w:u w:val="single"/>
          <w:rtl/>
          <w:lang w:eastAsia="he-IL"/>
        </w:rPr>
        <w:t xml:space="preserve"> על חוק היסוד והחוק הרגיל (אם תידחינה הרביזיות)</w:t>
      </w:r>
    </w:p>
    <w:p w:rsidR="00EB2EE9" w:rsidRDefault="00EB2EE9" w:rsidP="00EB2EE9">
      <w:pPr>
        <w:spacing w:before="0" w:line="240" w:lineRule="auto"/>
        <w:jc w:val="right"/>
      </w:pPr>
    </w:p>
    <w:p w:rsidR="00EB2EE9" w:rsidRDefault="00EB2EE9" w:rsidP="00EB2EE9">
      <w:pPr>
        <w:spacing w:before="0" w:line="240" w:lineRule="auto"/>
        <w:jc w:val="right"/>
        <w:rPr>
          <w:rtl/>
        </w:rPr>
      </w:pPr>
    </w:p>
    <w:p w:rsidR="00EB2EE9" w:rsidRDefault="00EB2EE9" w:rsidP="00EB2EE9">
      <w:pPr>
        <w:pStyle w:val="HeadHatzaotHok"/>
        <w:spacing w:before="0" w:line="240" w:lineRule="auto"/>
        <w:rPr>
          <w:rtl/>
        </w:rPr>
      </w:pPr>
      <w:bookmarkStart w:id="1" w:name="LGSName"/>
      <w:r>
        <w:rPr>
          <w:rFonts w:hint="cs"/>
          <w:rtl/>
        </w:rPr>
        <w:t xml:space="preserve">חוק-יסוד: הכנסת (תיקון מס' </w:t>
      </w:r>
      <w:bookmarkEnd w:id="1"/>
      <w:r>
        <w:rPr>
          <w:rFonts w:hint="cs"/>
          <w:rtl/>
        </w:rPr>
        <w:t>44)</w:t>
      </w:r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5896"/>
      </w:tblGrid>
      <w:tr w:rsidR="00EB2EE9" w:rsidRPr="005B65F6" w:rsidTr="00210E0B">
        <w:trPr>
          <w:cantSplit/>
          <w:jc w:val="center"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SideHeading"/>
              <w:rPr>
                <w:rtl/>
              </w:rPr>
            </w:pPr>
            <w:r w:rsidRPr="005B65F6">
              <w:rPr>
                <w:rtl/>
              </w:rPr>
              <w:t>תיקון סעיף 42</w:t>
            </w:r>
            <w:r>
              <w:rPr>
                <w:rFonts w:hint="cs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  <w:r w:rsidRPr="005B65F6">
              <w:rPr>
                <w:rtl/>
              </w:rPr>
              <w:t>1.</w:t>
            </w: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Block"/>
              <w:rPr>
                <w:rtl/>
              </w:rPr>
            </w:pPr>
            <w:r>
              <w:rPr>
                <w:rtl/>
              </w:rPr>
              <w:t>בחוק</w:t>
            </w:r>
            <w:r>
              <w:rPr>
                <w:rFonts w:hint="cs"/>
                <w:rtl/>
              </w:rPr>
              <w:t>-</w:t>
            </w:r>
            <w:r w:rsidRPr="005B65F6">
              <w:rPr>
                <w:rtl/>
              </w:rPr>
              <w:t>יסוד: הכנסת‏</w:t>
            </w:r>
            <w:r w:rsidRPr="005B65F6">
              <w:rPr>
                <w:rStyle w:val="a5"/>
                <w:rtl/>
              </w:rPr>
              <w:footnoteReference w:id="1"/>
            </w:r>
            <w:r w:rsidRPr="005B65F6">
              <w:rPr>
                <w:rtl/>
              </w:rPr>
              <w:t>, בסעיף 42</w:t>
            </w:r>
            <w:r>
              <w:rPr>
                <w:rFonts w:hint="cs"/>
                <w:rtl/>
              </w:rPr>
              <w:t xml:space="preserve">א </w:t>
            </w:r>
            <w:r>
              <w:rPr>
                <w:rtl/>
              </w:rPr>
              <w:t>–</w:t>
            </w:r>
            <w:r w:rsidRPr="005B65F6">
              <w:rPr>
                <w:rtl/>
              </w:rPr>
              <w:t xml:space="preserve"> </w:t>
            </w:r>
          </w:p>
        </w:tc>
      </w:tr>
      <w:tr w:rsidR="00EB2EE9" w:rsidRPr="005B65F6" w:rsidTr="00210E0B">
        <w:trPr>
          <w:cantSplit/>
          <w:jc w:val="center"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Default="00EB2EE9" w:rsidP="000C7D0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במקום כותרת השוליים יבוא "הפסקת </w:t>
            </w:r>
            <w:r w:rsidR="000C7D0D">
              <w:rPr>
                <w:rFonts w:hint="cs"/>
                <w:rtl/>
              </w:rPr>
              <w:t>חברות</w:t>
            </w:r>
            <w:r>
              <w:rPr>
                <w:rFonts w:hint="cs"/>
                <w:rtl/>
              </w:rPr>
              <w:t xml:space="preserve"> של חבר הכנסת";</w:t>
            </w:r>
          </w:p>
        </w:tc>
      </w:tr>
      <w:tr w:rsidR="00EB2EE9" w:rsidRPr="005B65F6" w:rsidTr="00210E0B">
        <w:trPr>
          <w:cantSplit/>
          <w:jc w:val="center"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Default="00EB2EE9" w:rsidP="00210E0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קטן (ב) יבוא:</w:t>
            </w:r>
          </w:p>
        </w:tc>
      </w:tr>
      <w:tr w:rsidR="00EB2EE9" w:rsidTr="00210E0B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EB2EE9" w:rsidRDefault="00EB2EE9" w:rsidP="00210E0B">
            <w:pPr>
              <w:pStyle w:val="TableSideHeading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  <w:r w:rsidRPr="005B65F6">
              <w:rPr>
                <w:rtl/>
              </w:rPr>
              <w:t>"(</w:t>
            </w:r>
            <w:r>
              <w:rPr>
                <w:rFonts w:hint="cs"/>
                <w:rtl/>
              </w:rPr>
              <w:t>ג</w:t>
            </w:r>
            <w:r w:rsidRPr="005B65F6">
              <w:rPr>
                <w:rtl/>
              </w:rPr>
              <w:t>)</w:t>
            </w:r>
          </w:p>
        </w:tc>
        <w:tc>
          <w:tcPr>
            <w:tcW w:w="5896" w:type="dxa"/>
          </w:tcPr>
          <w:p w:rsidR="00EB2EE9" w:rsidRDefault="00EB2EE9" w:rsidP="00210E0B">
            <w:pPr>
              <w:pStyle w:val="TableBlock"/>
            </w:pPr>
            <w:r w:rsidRPr="005B65F6">
              <w:rPr>
                <w:rtl/>
              </w:rPr>
              <w:t>(1)</w:t>
            </w:r>
            <w:r w:rsidRPr="005B65F6">
              <w:rPr>
                <w:rtl/>
              </w:rPr>
              <w:tab/>
              <w:t xml:space="preserve">הכנסת רשאית, ברוב של 90 חברי הכנסת, להחליט </w:t>
            </w:r>
            <w:r>
              <w:rPr>
                <w:rFonts w:hint="cs"/>
                <w:rtl/>
              </w:rPr>
              <w:t>להפסיק את חברותו של</w:t>
            </w:r>
            <w:r w:rsidRPr="005B65F6">
              <w:rPr>
                <w:rtl/>
              </w:rPr>
              <w:t xml:space="preserve"> חבר </w:t>
            </w:r>
            <w:r>
              <w:rPr>
                <w:rFonts w:hint="cs"/>
                <w:rtl/>
              </w:rPr>
              <w:t>ה</w:t>
            </w:r>
            <w:r w:rsidRPr="005B65F6">
              <w:rPr>
                <w:rtl/>
              </w:rPr>
              <w:t>כנסת אם קבעה שהתקיים בו, לאחר היבחרה של אותה כנסת, האמור בסעיף 7א(א)</w:t>
            </w:r>
            <w:r>
              <w:rPr>
                <w:rFonts w:hint="cs"/>
                <w:rtl/>
              </w:rPr>
              <w:t>(2) או (3)</w:t>
            </w:r>
            <w:r w:rsidRPr="005B65F6">
              <w:rPr>
                <w:rtl/>
              </w:rPr>
              <w:t xml:space="preserve"> לגבי מועמד</w:t>
            </w:r>
            <w:r>
              <w:rPr>
                <w:rFonts w:hint="cs"/>
                <w:rtl/>
              </w:rPr>
              <w:t>.</w:t>
            </w:r>
          </w:p>
        </w:tc>
      </w:tr>
      <w:tr w:rsidR="00EB2EE9" w:rsidTr="00210E0B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EB2EE9" w:rsidRDefault="00EB2EE9" w:rsidP="00210E0B">
            <w:pPr>
              <w:pStyle w:val="TableSideHeading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5896" w:type="dxa"/>
          </w:tcPr>
          <w:p w:rsidR="00EB2EE9" w:rsidRDefault="00EB2EE9" w:rsidP="00210E0B">
            <w:pPr>
              <w:pStyle w:val="TableBlock"/>
            </w:pPr>
            <w:r w:rsidRPr="00CC7927">
              <w:rPr>
                <w:sz w:val="26"/>
                <w:rtl/>
              </w:rPr>
              <w:t>(2)</w:t>
            </w:r>
            <w:r w:rsidRPr="00CC7927">
              <w:rPr>
                <w:sz w:val="26"/>
                <w:rtl/>
              </w:rPr>
              <w:tab/>
              <w:t xml:space="preserve">החלטה כאמור בפסקה (1) תתקבל לפי הצעת ועדת הכנסת שהתקבלה ברוב של שלושה רבעים מחבריה, על בסיס בקשה של </w:t>
            </w:r>
            <w:r>
              <w:rPr>
                <w:rFonts w:hint="cs"/>
                <w:sz w:val="26"/>
                <w:rtl/>
              </w:rPr>
              <w:t>70</w:t>
            </w:r>
            <w:r w:rsidRPr="00CC7927">
              <w:rPr>
                <w:sz w:val="26"/>
                <w:rtl/>
              </w:rPr>
              <w:t xml:space="preserve"> חברי הכנסת</w:t>
            </w:r>
            <w:r>
              <w:rPr>
                <w:rFonts w:hint="cs"/>
                <w:sz w:val="26"/>
                <w:rtl/>
              </w:rPr>
              <w:t xml:space="preserve">, מתוכם 10 לפחות </w:t>
            </w:r>
            <w:r w:rsidRPr="00CC7927">
              <w:rPr>
                <w:rFonts w:hint="cs"/>
                <w:sz w:val="26"/>
                <w:rtl/>
              </w:rPr>
              <w:t>חברי</w:t>
            </w:r>
            <w:r>
              <w:rPr>
                <w:rFonts w:hint="cs"/>
                <w:sz w:val="26"/>
                <w:rtl/>
              </w:rPr>
              <w:t xml:space="preserve"> כנסת</w:t>
            </w:r>
            <w:r w:rsidRPr="00CC7927">
              <w:rPr>
                <w:rFonts w:hint="cs"/>
                <w:sz w:val="26"/>
                <w:rtl/>
              </w:rPr>
              <w:t xml:space="preserve"> ב</w:t>
            </w:r>
            <w:r w:rsidRPr="00CC7927">
              <w:rPr>
                <w:sz w:val="26"/>
                <w:rtl/>
              </w:rPr>
              <w:t xml:space="preserve">סיעות שאינן צדדים להסכמים המחייבים תמיכה בממשלה. </w:t>
            </w:r>
          </w:p>
        </w:tc>
      </w:tr>
      <w:tr w:rsidR="00EB2EE9" w:rsidTr="00210E0B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EB2EE9" w:rsidRDefault="00EB2EE9" w:rsidP="00210E0B">
            <w:pPr>
              <w:pStyle w:val="TableSideHeading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5896" w:type="dxa"/>
          </w:tcPr>
          <w:p w:rsidR="00EB2EE9" w:rsidRDefault="00EB2EE9" w:rsidP="000C7D0D">
            <w:pPr>
              <w:pStyle w:val="TableBlock"/>
            </w:pPr>
            <w:r w:rsidRPr="00CC7927">
              <w:rPr>
                <w:sz w:val="26"/>
                <w:rtl/>
              </w:rPr>
              <w:t>(3)</w:t>
            </w:r>
            <w:r w:rsidRPr="00CC7927">
              <w:rPr>
                <w:sz w:val="26"/>
                <w:rtl/>
              </w:rPr>
              <w:tab/>
              <w:t xml:space="preserve">מי שחברותו בכנסת </w:t>
            </w:r>
            <w:r>
              <w:rPr>
                <w:rFonts w:hint="cs"/>
                <w:sz w:val="26"/>
                <w:rtl/>
              </w:rPr>
              <w:t>הופסקה</w:t>
            </w:r>
            <w:r w:rsidRPr="00CC7927">
              <w:rPr>
                <w:sz w:val="26"/>
                <w:rtl/>
              </w:rPr>
              <w:t xml:space="preserve"> לפי פסקה (1), משרתו תתפנה כעבור </w:t>
            </w:r>
            <w:r>
              <w:rPr>
                <w:rFonts w:hint="cs"/>
                <w:sz w:val="26"/>
                <w:rtl/>
              </w:rPr>
              <w:t>14</w:t>
            </w:r>
            <w:r w:rsidRPr="00CC7927">
              <w:rPr>
                <w:sz w:val="26"/>
                <w:rtl/>
              </w:rPr>
              <w:t xml:space="preserve"> ימים מיום החלטת הכנסת, אולם בתקופה שמהחלטת הכנסת ועד </w:t>
            </w:r>
            <w:r>
              <w:rPr>
                <w:rFonts w:hint="cs"/>
                <w:sz w:val="26"/>
                <w:rtl/>
              </w:rPr>
              <w:t xml:space="preserve">יום הפסקת </w:t>
            </w:r>
            <w:r w:rsidR="000C7D0D">
              <w:rPr>
                <w:rFonts w:hint="cs"/>
                <w:sz w:val="26"/>
                <w:rtl/>
              </w:rPr>
              <w:t>החברות</w:t>
            </w:r>
            <w:r w:rsidRPr="00CC7927">
              <w:rPr>
                <w:sz w:val="26"/>
                <w:rtl/>
              </w:rPr>
              <w:t xml:space="preserve"> הוא לא יהיה רשאי להשתתף בישיבות הכנסת או בישיבות ועדה של הכנסת אלא לשם הצבעה בלבד. </w:t>
            </w:r>
          </w:p>
        </w:tc>
      </w:tr>
      <w:tr w:rsidR="00EB2EE9" w:rsidTr="00210E0B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EB2EE9" w:rsidRDefault="00EB2EE9" w:rsidP="00210E0B">
            <w:pPr>
              <w:pStyle w:val="TableSideHeading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5896" w:type="dxa"/>
          </w:tcPr>
          <w:p w:rsidR="00EB2EE9" w:rsidRDefault="00EB2EE9" w:rsidP="000C7D0D">
            <w:pPr>
              <w:pStyle w:val="TableBlock"/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 w:rsidRPr="004F20F9">
              <w:rPr>
                <w:rtl/>
              </w:rPr>
              <w:t xml:space="preserve">על החלטת הכנסת </w:t>
            </w:r>
            <w:r>
              <w:rPr>
                <w:rFonts w:hint="cs"/>
                <w:rtl/>
              </w:rPr>
              <w:t xml:space="preserve">להפסיק את </w:t>
            </w:r>
            <w:r w:rsidR="000C7D0D">
              <w:rPr>
                <w:rFonts w:hint="cs"/>
                <w:rtl/>
              </w:rPr>
              <w:t>חברותו</w:t>
            </w:r>
            <w:r>
              <w:rPr>
                <w:rFonts w:hint="cs"/>
                <w:rtl/>
              </w:rPr>
              <w:t xml:space="preserve"> </w:t>
            </w:r>
            <w:r w:rsidRPr="004F20F9">
              <w:rPr>
                <w:rtl/>
              </w:rPr>
              <w:t xml:space="preserve">רשאי </w:t>
            </w:r>
            <w:r>
              <w:rPr>
                <w:rFonts w:hint="cs"/>
                <w:rtl/>
              </w:rPr>
              <w:t xml:space="preserve">חבר הכנסת </w:t>
            </w:r>
            <w:r w:rsidRPr="004F20F9">
              <w:rPr>
                <w:rtl/>
              </w:rPr>
              <w:t>לערער לבית המשפט העליון</w:t>
            </w:r>
            <w:r>
              <w:rPr>
                <w:rFonts w:hint="cs"/>
                <w:rtl/>
              </w:rPr>
              <w:t>.</w:t>
            </w:r>
          </w:p>
        </w:tc>
      </w:tr>
      <w:tr w:rsidR="00EB2EE9" w:rsidTr="00210E0B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EB2EE9" w:rsidRDefault="00EB2EE9" w:rsidP="00210E0B">
            <w:pPr>
              <w:pStyle w:val="TableSideHeading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5896" w:type="dxa"/>
          </w:tcPr>
          <w:p w:rsidR="00EB2EE9" w:rsidRDefault="00EB2EE9" w:rsidP="00210E0B">
            <w:pPr>
              <w:pStyle w:val="TableBlock"/>
            </w:pPr>
            <w:r>
              <w:rPr>
                <w:rFonts w:hint="cs"/>
                <w:rtl/>
              </w:rPr>
              <w:t>(5)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סעיף קטן זה לא יחול בתקופת בחירות, כפי שתיקבע בחוק.</w:t>
            </w:r>
          </w:p>
        </w:tc>
      </w:tr>
      <w:tr w:rsidR="00EB2EE9" w:rsidTr="00210E0B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EB2EE9" w:rsidRDefault="00EB2EE9" w:rsidP="00210E0B">
            <w:pPr>
              <w:pStyle w:val="TableSideHeading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5896" w:type="dxa"/>
          </w:tcPr>
          <w:p w:rsidR="00EB2EE9" w:rsidRDefault="00EB2EE9" w:rsidP="00210E0B">
            <w:pPr>
              <w:pStyle w:val="TableBlock"/>
            </w:pPr>
            <w:r w:rsidRPr="005B65F6">
              <w:rPr>
                <w:rtl/>
              </w:rPr>
              <w:t>(</w:t>
            </w:r>
            <w:r>
              <w:rPr>
                <w:rFonts w:hint="cs"/>
                <w:rtl/>
              </w:rPr>
              <w:t>6</w:t>
            </w:r>
            <w:r w:rsidRPr="005B65F6">
              <w:rPr>
                <w:rtl/>
              </w:rPr>
              <w:t>)</w:t>
            </w:r>
            <w:r w:rsidRPr="005B65F6">
              <w:rPr>
                <w:rtl/>
              </w:rPr>
              <w:tab/>
              <w:t>פרטים לעניין הגשת הבקשה, הדיון בה וההשגה על ההחלטה ייקבעו בחוק או בתקנון הכנסת."</w:t>
            </w:r>
          </w:p>
        </w:tc>
      </w:tr>
      <w:tr w:rsidR="00EB2EE9" w:rsidRPr="005B65F6" w:rsidTr="00210E0B">
        <w:trPr>
          <w:cantSplit/>
          <w:jc w:val="center"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SideHeading"/>
              <w:rPr>
                <w:rtl/>
              </w:rPr>
            </w:pPr>
            <w:r w:rsidRPr="005B65F6">
              <w:rPr>
                <w:rtl/>
              </w:rPr>
              <w:t xml:space="preserve">תחולה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  <w:r w:rsidRPr="005B65F6">
              <w:rPr>
                <w:rtl/>
              </w:rPr>
              <w:t xml:space="preserve">2. </w:t>
            </w: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Block"/>
              <w:rPr>
                <w:rtl/>
              </w:rPr>
            </w:pPr>
            <w:r>
              <w:rPr>
                <w:rtl/>
              </w:rPr>
              <w:t>בקשה כאמור בסעיף 42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ג</w:t>
            </w:r>
            <w:r>
              <w:rPr>
                <w:rtl/>
              </w:rPr>
              <w:t>)(2) לחוק</w:t>
            </w:r>
            <w:r>
              <w:rPr>
                <w:rFonts w:hint="cs"/>
                <w:rtl/>
              </w:rPr>
              <w:t>-</w:t>
            </w:r>
            <w:r w:rsidRPr="005B65F6">
              <w:rPr>
                <w:rtl/>
              </w:rPr>
              <w:t>יסוד: הכנסת, כנוסחו בחוק יסוד זה, לא תוגש אלא בעקבות מעשה שנעשה לאחר תחילתו של חוק יסוד זה.</w:t>
            </w:r>
          </w:p>
        </w:tc>
      </w:tr>
    </w:tbl>
    <w:p w:rsidR="00EB2EE9" w:rsidRDefault="00EB2EE9" w:rsidP="00EB2EE9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EB2EE9" w:rsidRDefault="00EB2EE9" w:rsidP="00EB2EE9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</w:p>
    <w:p w:rsidR="00EB2EE9" w:rsidRDefault="00EB2EE9" w:rsidP="00EB2EE9">
      <w:pPr>
        <w:spacing w:before="0"/>
        <w:jc w:val="right"/>
      </w:pPr>
    </w:p>
    <w:p w:rsidR="00EB2EE9" w:rsidRDefault="00EB2EE9" w:rsidP="00EB2EE9">
      <w:pPr>
        <w:spacing w:before="0"/>
        <w:jc w:val="right"/>
        <w:rPr>
          <w:rtl/>
        </w:rPr>
      </w:pPr>
    </w:p>
    <w:p w:rsidR="00EB2EE9" w:rsidRDefault="00EB2EE9" w:rsidP="00EB2EE9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חוק הכנסת (תיקון מס' 43),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2016</w:t>
      </w:r>
    </w:p>
    <w:p w:rsidR="00EB2EE9" w:rsidRDefault="00EB2EE9" w:rsidP="00EB2EE9">
      <w:pPr>
        <w:pStyle w:val="HeadHatzaotHok"/>
        <w:spacing w:before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EB2EE9" w:rsidRPr="005B65F6" w:rsidTr="00210E0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SideHeading"/>
              <w:rPr>
                <w:rtl/>
              </w:rPr>
            </w:pPr>
            <w:r w:rsidRPr="005B65F6">
              <w:rPr>
                <w:rtl/>
              </w:rPr>
              <w:t>הוספת פרק ד'1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  <w:r w:rsidRPr="005B65F6">
              <w:rPr>
                <w:rtl/>
              </w:rPr>
              <w:t>1.</w:t>
            </w: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Block"/>
              <w:rPr>
                <w:rtl/>
              </w:rPr>
            </w:pPr>
            <w:r w:rsidRPr="005B65F6">
              <w:rPr>
                <w:rtl/>
              </w:rPr>
              <w:t xml:space="preserve">בחוק הכנסת, </w:t>
            </w:r>
            <w:proofErr w:type="spellStart"/>
            <w:r w:rsidRPr="005B65F6">
              <w:rPr>
                <w:rtl/>
              </w:rPr>
              <w:t>התשנ"ד</w:t>
            </w:r>
            <w:proofErr w:type="spellEnd"/>
            <w:r w:rsidRPr="005B65F6">
              <w:rPr>
                <w:rtl/>
              </w:rPr>
              <w:t>–1994‏</w:t>
            </w:r>
            <w:r w:rsidRPr="005B65F6">
              <w:rPr>
                <w:rStyle w:val="a5"/>
                <w:rtl/>
              </w:rPr>
              <w:footnoteReference w:id="2"/>
            </w:r>
            <w:r w:rsidRPr="005B65F6">
              <w:rPr>
                <w:rtl/>
              </w:rPr>
              <w:t xml:space="preserve">, אחרי סעיף 8 יבוא: </w:t>
            </w:r>
          </w:p>
        </w:tc>
      </w:tr>
      <w:tr w:rsidR="00EB2EE9" w:rsidRPr="005B65F6" w:rsidTr="00210E0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Head"/>
              <w:rPr>
                <w:rtl/>
              </w:rPr>
            </w:pPr>
            <w:r w:rsidRPr="005B65F6">
              <w:rPr>
                <w:rtl/>
              </w:rPr>
              <w:t xml:space="preserve">"פרק ד'1: </w:t>
            </w:r>
            <w:r>
              <w:rPr>
                <w:rFonts w:hint="cs"/>
                <w:rtl/>
              </w:rPr>
              <w:t xml:space="preserve">הפסקת </w:t>
            </w:r>
            <w:r w:rsidR="000C7D0D">
              <w:rPr>
                <w:rFonts w:hint="cs"/>
                <w:rtl/>
              </w:rPr>
              <w:t>חברות</w:t>
            </w:r>
            <w:r w:rsidR="000C7D0D" w:rsidRPr="005B65F6">
              <w:rPr>
                <w:rtl/>
              </w:rPr>
              <w:t xml:space="preserve"> </w:t>
            </w:r>
            <w:r w:rsidRPr="005B65F6">
              <w:rPr>
                <w:rtl/>
              </w:rPr>
              <w:t>של חבר הכנסת שהתקיים ב</w:t>
            </w:r>
            <w:r>
              <w:rPr>
                <w:rtl/>
              </w:rPr>
              <w:t>ו האמור בסעיף 7א</w:t>
            </w:r>
            <w:r>
              <w:rPr>
                <w:rFonts w:hint="cs"/>
                <w:rtl/>
              </w:rPr>
              <w:t>(א)(2) או (3)</w:t>
            </w:r>
            <w:r>
              <w:rPr>
                <w:rtl/>
              </w:rPr>
              <w:t xml:space="preserve"> לחוק</w:t>
            </w:r>
            <w:r>
              <w:rPr>
                <w:rFonts w:hint="cs"/>
                <w:rtl/>
              </w:rPr>
              <w:t>-</w:t>
            </w:r>
            <w:r w:rsidRPr="005B65F6">
              <w:rPr>
                <w:rtl/>
              </w:rPr>
              <w:t>יסוד: הכנסת</w:t>
            </w:r>
          </w:p>
        </w:tc>
      </w:tr>
      <w:tr w:rsidR="00EB2EE9" w:rsidRPr="005B65F6" w:rsidTr="00210E0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InnerSideHeading"/>
              <w:rPr>
                <w:rtl/>
              </w:rPr>
            </w:pPr>
            <w:r>
              <w:rPr>
                <w:rFonts w:hint="cs"/>
                <w:rtl/>
              </w:rPr>
              <w:t xml:space="preserve">הפסקת </w:t>
            </w:r>
            <w:r w:rsidR="000C7D0D">
              <w:rPr>
                <w:rFonts w:hint="cs"/>
                <w:rtl/>
              </w:rPr>
              <w:t>חברות</w:t>
            </w:r>
            <w:r w:rsidR="000C7D0D" w:rsidRPr="005B65F6">
              <w:rPr>
                <w:rtl/>
              </w:rPr>
              <w:t xml:space="preserve"> </w:t>
            </w:r>
            <w:r w:rsidRPr="005B65F6">
              <w:rPr>
                <w:rtl/>
              </w:rPr>
              <w:t>של חבר הכנסת</w:t>
            </w:r>
            <w:r>
              <w:rPr>
                <w:rtl/>
              </w:rPr>
              <w:t xml:space="preserve"> שהתקיים בו האמור בסעיף 7א</w:t>
            </w:r>
            <w:r>
              <w:rPr>
                <w:rFonts w:hint="cs"/>
                <w:rtl/>
              </w:rPr>
              <w:t>(א)(2) או (3)</w:t>
            </w:r>
            <w:r>
              <w:rPr>
                <w:rtl/>
              </w:rPr>
              <w:t xml:space="preserve"> לחוק</w:t>
            </w:r>
            <w:r>
              <w:rPr>
                <w:rFonts w:hint="cs"/>
                <w:rtl/>
              </w:rPr>
              <w:t>-</w:t>
            </w:r>
            <w:r w:rsidRPr="005B65F6">
              <w:rPr>
                <w:rtl/>
              </w:rPr>
              <w:t>יסוד: הכנסת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  <w:r w:rsidRPr="005B65F6">
              <w:rPr>
                <w:rtl/>
              </w:rPr>
              <w:t>8א.</w:t>
            </w: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Block"/>
              <w:rPr>
                <w:rtl/>
              </w:rPr>
            </w:pPr>
            <w:r w:rsidRPr="005B65F6">
              <w:rPr>
                <w:rtl/>
              </w:rPr>
              <w:t>(א)</w:t>
            </w:r>
            <w:r w:rsidRPr="005B65F6">
              <w:rPr>
                <w:rtl/>
              </w:rPr>
              <w:tab/>
            </w:r>
            <w:r>
              <w:rPr>
                <w:rtl/>
              </w:rPr>
              <w:t>בקשה לפי סעיף 42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ג</w:t>
            </w:r>
            <w:r>
              <w:rPr>
                <w:rtl/>
              </w:rPr>
              <w:t>) לחוק</w:t>
            </w:r>
            <w:r>
              <w:rPr>
                <w:rFonts w:hint="cs"/>
                <w:rtl/>
              </w:rPr>
              <w:t>-</w:t>
            </w:r>
            <w:r w:rsidRPr="005B65F6">
              <w:rPr>
                <w:rtl/>
              </w:rPr>
              <w:t xml:space="preserve">יסוד: הכנסת, תוגש ליושב ראש הכנסת בכתב, בצירוף נימוקים והחומר שעליו היא מתבססת, והוא </w:t>
            </w:r>
            <w:proofErr w:type="spellStart"/>
            <w:r w:rsidRPr="005B65F6">
              <w:rPr>
                <w:rtl/>
              </w:rPr>
              <w:t>יעבירנה</w:t>
            </w:r>
            <w:proofErr w:type="spellEnd"/>
            <w:r w:rsidRPr="005B65F6">
              <w:rPr>
                <w:rtl/>
              </w:rPr>
              <w:t xml:space="preserve"> לוועדת הכנסת לדיון.</w:t>
            </w:r>
          </w:p>
        </w:tc>
      </w:tr>
      <w:tr w:rsidR="00EB2EE9" w:rsidTr="00210E0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EB2EE9" w:rsidRDefault="00EB2EE9" w:rsidP="00210E0B">
            <w:pPr>
              <w:pStyle w:val="TableSideHeading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624" w:type="dxa"/>
          </w:tcPr>
          <w:p w:rsidR="00EB2EE9" w:rsidRDefault="00EB2EE9" w:rsidP="00210E0B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EB2EE9" w:rsidRPr="005B65F6" w:rsidRDefault="00EB2EE9" w:rsidP="00210E0B">
            <w:pPr>
              <w:pStyle w:val="TableBlock"/>
              <w:rPr>
                <w:rtl/>
              </w:rPr>
            </w:pPr>
            <w:r w:rsidRPr="005B65F6">
              <w:rPr>
                <w:rtl/>
              </w:rPr>
              <w:t>(ב)</w:t>
            </w:r>
            <w:r w:rsidRPr="005B65F6">
              <w:rPr>
                <w:rtl/>
              </w:rPr>
              <w:tab/>
              <w:t xml:space="preserve">החליטה ועדת הכנסת שלא להציע </w:t>
            </w:r>
            <w:r>
              <w:rPr>
                <w:rFonts w:hint="cs"/>
                <w:rtl/>
              </w:rPr>
              <w:t xml:space="preserve">להפסיק את </w:t>
            </w:r>
            <w:r w:rsidR="000C7D0D">
              <w:rPr>
                <w:rFonts w:hint="cs"/>
                <w:rtl/>
              </w:rPr>
              <w:t>חברותו</w:t>
            </w:r>
            <w:r w:rsidR="000C7D0D" w:rsidRPr="005B65F6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של</w:t>
            </w:r>
            <w:r w:rsidRPr="005B65F6">
              <w:rPr>
                <w:rtl/>
              </w:rPr>
              <w:t xml:space="preserve"> חבר הכנסת, תהא החלטתה סופית.</w:t>
            </w:r>
          </w:p>
        </w:tc>
      </w:tr>
      <w:tr w:rsidR="00EB2EE9" w:rsidRPr="005B65F6" w:rsidTr="00210E0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Block"/>
              <w:rPr>
                <w:rtl/>
              </w:rPr>
            </w:pPr>
            <w:r w:rsidRPr="005B65F6">
              <w:rPr>
                <w:rtl/>
              </w:rPr>
              <w:t>(ג)</w:t>
            </w:r>
            <w:r w:rsidRPr="005B65F6">
              <w:rPr>
                <w:rtl/>
              </w:rPr>
              <w:tab/>
              <w:t>ועדת הכנסת לא תציע והכנסת לא תחליט ל</w:t>
            </w:r>
            <w:r>
              <w:rPr>
                <w:rFonts w:hint="cs"/>
                <w:rtl/>
              </w:rPr>
              <w:t xml:space="preserve">הפסיק את </w:t>
            </w:r>
            <w:r w:rsidR="000C7D0D">
              <w:rPr>
                <w:rFonts w:hint="cs"/>
                <w:rtl/>
              </w:rPr>
              <w:t>חברותו</w:t>
            </w:r>
            <w:r w:rsidR="000C7D0D" w:rsidRPr="005B65F6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של</w:t>
            </w:r>
            <w:r w:rsidRPr="005B65F6">
              <w:rPr>
                <w:rtl/>
              </w:rPr>
              <w:t xml:space="preserve"> חבר הכנסת, </w:t>
            </w:r>
            <w:r w:rsidRPr="00613434">
              <w:rPr>
                <w:rtl/>
              </w:rPr>
              <w:t>אלא לאחר שניתנה לאותו חבר הכנסת, ליועץ המשפטי לכנסת וליועץ המשפטי לממשלה הזדמנות להשמיע את דברם</w:t>
            </w:r>
            <w:r w:rsidRPr="005B65F6">
              <w:rPr>
                <w:rtl/>
              </w:rPr>
              <w:t>; חבר הכנסת רשאי להיות מיוצג בוועדה על ידי עורך דין.</w:t>
            </w:r>
          </w:p>
        </w:tc>
      </w:tr>
      <w:tr w:rsidR="00EB2EE9" w:rsidRPr="005B65F6" w:rsidTr="00210E0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Block"/>
              <w:rPr>
                <w:rtl/>
              </w:rPr>
            </w:pPr>
            <w:r w:rsidRPr="005B65F6">
              <w:rPr>
                <w:rtl/>
              </w:rPr>
              <w:t>(ד)</w:t>
            </w:r>
            <w:r w:rsidRPr="005B65F6">
              <w:rPr>
                <w:rtl/>
              </w:rPr>
              <w:tab/>
              <w:t xml:space="preserve">ועדת הכנסת לא תדון </w:t>
            </w:r>
            <w:r>
              <w:rPr>
                <w:rFonts w:hint="cs"/>
                <w:rtl/>
              </w:rPr>
              <w:t xml:space="preserve">בהפסקת </w:t>
            </w:r>
            <w:r w:rsidR="000C7D0D">
              <w:rPr>
                <w:rFonts w:hint="cs"/>
                <w:rtl/>
              </w:rPr>
              <w:t>חברות</w:t>
            </w:r>
            <w:r w:rsidR="000C7D0D" w:rsidRPr="005B65F6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של </w:t>
            </w:r>
            <w:r w:rsidRPr="005B65F6">
              <w:rPr>
                <w:rtl/>
              </w:rPr>
              <w:t xml:space="preserve">חבר הכנסת ולא תחליט </w:t>
            </w:r>
            <w:r>
              <w:rPr>
                <w:rFonts w:hint="cs"/>
                <w:rtl/>
              </w:rPr>
              <w:t>על כך</w:t>
            </w:r>
            <w:r w:rsidRPr="005B65F6">
              <w:rPr>
                <w:rtl/>
              </w:rPr>
              <w:t xml:space="preserve">, אלא אם כן הודיעו לחבר הכנסת ולחברי הוועדה על קיום הדיון וההצבעה לפחות עשרה ימים מראש; הכנסת לא תדון כאמור אלא אם כן הודיע יושב ראש הכנסת לחברי הכנסת על קיום הדיון וההצבעה לפחות עשרה ימים מראש. </w:t>
            </w:r>
          </w:p>
        </w:tc>
      </w:tr>
      <w:tr w:rsidR="00EB2EE9" w:rsidRPr="005B65F6" w:rsidTr="00210E0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Block"/>
              <w:rPr>
                <w:rtl/>
              </w:rPr>
            </w:pPr>
            <w:r w:rsidRPr="005B65F6">
              <w:rPr>
                <w:rtl/>
              </w:rPr>
              <w:t>(ה)</w:t>
            </w:r>
            <w:r w:rsidRPr="005B65F6">
              <w:rPr>
                <w:rtl/>
              </w:rPr>
              <w:tab/>
              <w:t>הדיון בוועדת הכנסת יתקיים בתוך שלושה שבועות מהיום שהבקשה הגיעה לידיה, במועד שיקבע יושב ראש הוועדה; הדיון בכנסת יתקיים בתוך שלושה שבועות מיום החלטת ועדת הכנסת, במועד שיקבע יושב ראש הכנסת.</w:t>
            </w:r>
          </w:p>
        </w:tc>
      </w:tr>
      <w:tr w:rsidR="00EB2EE9" w:rsidRPr="005B65F6" w:rsidTr="00210E0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Block"/>
              <w:rPr>
                <w:rtl/>
              </w:rPr>
            </w:pPr>
            <w:r w:rsidRPr="005B65F6">
              <w:rPr>
                <w:rtl/>
              </w:rPr>
              <w:t>(</w:t>
            </w:r>
            <w:r>
              <w:rPr>
                <w:rFonts w:hint="cs"/>
                <w:rtl/>
              </w:rPr>
              <w:t>ו</w:t>
            </w:r>
            <w:r w:rsidRPr="005B65F6">
              <w:rPr>
                <w:rtl/>
              </w:rPr>
              <w:t>)</w:t>
            </w:r>
            <w:r w:rsidRPr="005B65F6">
              <w:rPr>
                <w:rtl/>
              </w:rPr>
              <w:tab/>
              <w:t>על סדרי הדיון בוועדת הכנסת יחולו הוראות תקנון הכנסת בעניין קביעת חסינות או נטילת זכות מחבר הכנסת</w:t>
            </w:r>
            <w:r>
              <w:rPr>
                <w:rFonts w:hint="cs"/>
                <w:rtl/>
              </w:rPr>
              <w:t>.</w:t>
            </w:r>
          </w:p>
        </w:tc>
      </w:tr>
      <w:tr w:rsidR="00EB2EE9" w:rsidRPr="005B65F6" w:rsidTr="00210E0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C11638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C11638" w:rsidRDefault="00EB2EE9" w:rsidP="00210E0B">
            <w:pPr>
              <w:pStyle w:val="TableBlock"/>
              <w:rPr>
                <w:rtl/>
              </w:rPr>
            </w:pPr>
            <w:r w:rsidRPr="00C11638">
              <w:rPr>
                <w:rFonts w:hint="cs"/>
                <w:rtl/>
              </w:rPr>
              <w:t>(ז)</w:t>
            </w:r>
            <w:r w:rsidRPr="00C11638">
              <w:rPr>
                <w:rtl/>
              </w:rPr>
              <w:tab/>
            </w:r>
            <w:r w:rsidR="00B47F58" w:rsidRPr="00C11638">
              <w:rPr>
                <w:rtl/>
              </w:rPr>
              <w:t xml:space="preserve">ערעור </w:t>
            </w:r>
            <w:r w:rsidR="00B47F58" w:rsidRPr="00C11638">
              <w:rPr>
                <w:rFonts w:hint="cs"/>
                <w:rtl/>
              </w:rPr>
              <w:t>לבית המשפט העליון כאמור בסעיף 42א(ג)(4) לחוק-יסוד: הכנסת, יוגש בתוך יומיים מיום החלטת הכנסת, ו</w:t>
            </w:r>
            <w:r w:rsidRPr="00C11638">
              <w:rPr>
                <w:rtl/>
              </w:rPr>
              <w:t xml:space="preserve">יחולו הוראות סעיף 64(ב1) לחוק הבחירות לכנסת [נוסח משולב], </w:t>
            </w:r>
            <w:proofErr w:type="spellStart"/>
            <w:r w:rsidRPr="00C11638">
              <w:rPr>
                <w:rtl/>
              </w:rPr>
              <w:t>התשכ"ט</w:t>
            </w:r>
            <w:proofErr w:type="spellEnd"/>
            <w:r w:rsidRPr="00C11638">
              <w:rPr>
                <w:rtl/>
              </w:rPr>
              <w:t>–1969‏</w:t>
            </w:r>
            <w:r w:rsidRPr="00C11638">
              <w:rPr>
                <w:rStyle w:val="a5"/>
                <w:rtl/>
              </w:rPr>
              <w:footnoteReference w:id="3"/>
            </w:r>
            <w:r w:rsidRPr="00C11638">
              <w:rPr>
                <w:rFonts w:hint="cs"/>
                <w:rtl/>
              </w:rPr>
              <w:t>.</w:t>
            </w:r>
          </w:p>
        </w:tc>
      </w:tr>
      <w:tr w:rsidR="00EB2EE9" w:rsidRPr="005B65F6" w:rsidTr="00210E0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(ח)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סעיף 42א(ג)(5) לחוק-יסוד: הכנסת, תקופת הבחירות </w:t>
            </w:r>
            <w:r>
              <w:rPr>
                <w:rtl/>
              </w:rPr>
              <w:t>תסתיים ביום כינוס הכנסת כאמור בסעיף 12 לחוק</w:t>
            </w:r>
            <w:r>
              <w:rPr>
                <w:rFonts w:hint="cs"/>
                <w:rtl/>
              </w:rPr>
              <w:t xml:space="preserve"> היסוד ותחל באחד מאלה, לפי העניין:</w:t>
            </w:r>
          </w:p>
        </w:tc>
      </w:tr>
      <w:tr w:rsidR="00EB2EE9" w:rsidRPr="005B65F6" w:rsidTr="00210E0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151A63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6" w:type="dxa"/>
            <w:shd w:val="clear" w:color="auto" w:fill="auto"/>
          </w:tcPr>
          <w:p w:rsidR="00EB2EE9" w:rsidRPr="00151A63" w:rsidRDefault="00EB2EE9" w:rsidP="00210E0B">
            <w:pPr>
              <w:pStyle w:val="TableBlock"/>
              <w:rPr>
                <w:rtl/>
              </w:rPr>
            </w:pPr>
            <w:r>
              <w:rPr>
                <w:rtl/>
              </w:rPr>
              <w:t>(1)   היום ה-180 שלפני יום הבחירות לכנסת לפי סעיף 9 לחוק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יסוד: הכנסת;</w:t>
            </w:r>
          </w:p>
        </w:tc>
      </w:tr>
      <w:tr w:rsidR="00EB2EE9" w:rsidRPr="005B65F6" w:rsidTr="00210E0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151A63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6" w:type="dxa"/>
            <w:shd w:val="clear" w:color="auto" w:fill="auto"/>
          </w:tcPr>
          <w:p w:rsidR="00EB2EE9" w:rsidRPr="00151A63" w:rsidRDefault="00EB2EE9" w:rsidP="00210E0B">
            <w:pPr>
              <w:pStyle w:val="TableBlock"/>
              <w:rPr>
                <w:rtl/>
              </w:rPr>
            </w:pPr>
            <w:r>
              <w:rPr>
                <w:rtl/>
              </w:rPr>
              <w:t>(2)   בבחירות המתקיימות על פי חוק התפזרות הכנסת, כאמור בסעיף 34 לחוק-יסוד: הכנסת – היום שבו התקבל החוק בכנסת;</w:t>
            </w:r>
          </w:p>
        </w:tc>
      </w:tr>
      <w:tr w:rsidR="00EB2EE9" w:rsidRPr="005B65F6" w:rsidTr="00210E0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5B65F6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EE9" w:rsidRPr="00151A63" w:rsidRDefault="00EB2EE9" w:rsidP="00210E0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3" w:type="dxa"/>
            <w:shd w:val="clear" w:color="auto" w:fill="auto"/>
          </w:tcPr>
          <w:p w:rsidR="00EB2EE9" w:rsidRPr="00151A63" w:rsidRDefault="00EB2EE9" w:rsidP="00210E0B">
            <w:pPr>
              <w:pStyle w:val="TableBlock"/>
              <w:rPr>
                <w:rtl/>
              </w:rPr>
            </w:pPr>
            <w:r>
              <w:rPr>
                <w:rtl/>
              </w:rPr>
              <w:t>(3)</w:t>
            </w:r>
            <w:r>
              <w:rPr>
                <w:rtl/>
              </w:rPr>
              <w:tab/>
              <w:t>בבחירות מוקדמות המתקיימות לפי הוראות סעיפים 11(ב) או 29(ו) לחוק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יסוד: הממשלה, או לפי הוראות סעיף 36א לחוק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יסוד: הכנסת – היום שבו נוצרה העילה לקיום הבחירות המוקדמות</w:t>
            </w:r>
            <w:r>
              <w:rPr>
                <w:rFonts w:hint="cs"/>
                <w:rtl/>
              </w:rPr>
              <w:t>."</w:t>
            </w:r>
          </w:p>
        </w:tc>
      </w:tr>
    </w:tbl>
    <w:p w:rsidR="00EB2EE9" w:rsidRDefault="00EB2EE9" w:rsidP="00EB2EE9">
      <w:pPr>
        <w:pStyle w:val="HeadHatzaotHok"/>
        <w:spacing w:before="0"/>
        <w:rPr>
          <w:rtl/>
        </w:rPr>
      </w:pPr>
    </w:p>
    <w:p w:rsidR="00EB2EE9" w:rsidRDefault="00EB2EE9" w:rsidP="00EB2EE9">
      <w:pPr>
        <w:pStyle w:val="Noparagraphstyle"/>
        <w:ind w:right="-28"/>
        <w:rPr>
          <w:rtl/>
        </w:rPr>
      </w:pPr>
    </w:p>
    <w:p w:rsidR="00EB2EE9" w:rsidRDefault="00EB2EE9" w:rsidP="00EB2EE9">
      <w:pPr>
        <w:ind w:right="-28"/>
        <w:jc w:val="center"/>
        <w:rPr>
          <w:sz w:val="26"/>
          <w:szCs w:val="26"/>
          <w:rtl/>
        </w:rPr>
      </w:pPr>
    </w:p>
    <w:p w:rsidR="00EB2EE9" w:rsidRDefault="00EB2EE9" w:rsidP="00EB2EE9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4F28D5" w:rsidRDefault="004F28D5"/>
    <w:sectPr w:rsidR="004F28D5" w:rsidSect="00C11638">
      <w:pgSz w:w="11906" w:h="16838"/>
      <w:pgMar w:top="851" w:right="1440" w:bottom="851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80C" w:rsidRDefault="005B380C" w:rsidP="00EB2EE9">
      <w:pPr>
        <w:spacing w:before="0" w:line="240" w:lineRule="auto"/>
      </w:pPr>
      <w:r>
        <w:separator/>
      </w:r>
    </w:p>
  </w:endnote>
  <w:endnote w:type="continuationSeparator" w:id="0">
    <w:p w:rsidR="005B380C" w:rsidRDefault="005B380C" w:rsidP="00EB2EE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80C" w:rsidRDefault="005B380C" w:rsidP="00EB2EE9">
      <w:pPr>
        <w:spacing w:before="0" w:line="240" w:lineRule="auto"/>
      </w:pPr>
      <w:r>
        <w:separator/>
      </w:r>
    </w:p>
  </w:footnote>
  <w:footnote w:type="continuationSeparator" w:id="0">
    <w:p w:rsidR="005B380C" w:rsidRDefault="005B380C" w:rsidP="00EB2EE9">
      <w:pPr>
        <w:spacing w:before="0" w:line="240" w:lineRule="auto"/>
      </w:pPr>
      <w:r>
        <w:continuationSeparator/>
      </w:r>
    </w:p>
  </w:footnote>
  <w:footnote w:id="1">
    <w:p w:rsidR="00EB2EE9" w:rsidRDefault="00EB2EE9" w:rsidP="00EB2EE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התשי"ח</w:t>
      </w:r>
      <w:proofErr w:type="spellEnd"/>
      <w:r>
        <w:rPr>
          <w:rtl/>
        </w:rPr>
        <w:t xml:space="preserve">, עמ' 69; </w:t>
      </w:r>
      <w:proofErr w:type="spellStart"/>
      <w:r>
        <w:rPr>
          <w:rtl/>
        </w:rPr>
        <w:t>התשע"ו</w:t>
      </w:r>
      <w:proofErr w:type="spellEnd"/>
      <w:r>
        <w:rPr>
          <w:rtl/>
        </w:rPr>
        <w:t>, עמ' 338.</w:t>
      </w:r>
    </w:p>
  </w:footnote>
  <w:footnote w:id="2">
    <w:p w:rsidR="00EB2EE9" w:rsidRDefault="00EB2EE9" w:rsidP="00EB2EE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התשנ"ד</w:t>
      </w:r>
      <w:proofErr w:type="spellEnd"/>
      <w:r>
        <w:rPr>
          <w:rtl/>
        </w:rPr>
        <w:t xml:space="preserve">, עמ' 140; </w:t>
      </w:r>
      <w:proofErr w:type="spellStart"/>
      <w:r>
        <w:rPr>
          <w:rtl/>
        </w:rPr>
        <w:t>התשע"ו</w:t>
      </w:r>
      <w:proofErr w:type="spellEnd"/>
      <w:r>
        <w:rPr>
          <w:rtl/>
        </w:rPr>
        <w:t xml:space="preserve">, עמ' 338. </w:t>
      </w:r>
    </w:p>
  </w:footnote>
  <w:footnote w:id="3">
    <w:p w:rsidR="00EB2EE9" w:rsidRDefault="00EB2EE9" w:rsidP="00EB2EE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התשכ"ט</w:t>
      </w:r>
      <w:proofErr w:type="spellEnd"/>
      <w:r>
        <w:rPr>
          <w:rFonts w:hint="cs"/>
          <w:rtl/>
        </w:rPr>
        <w:t>, עמ' 103.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EE9"/>
    <w:rsid w:val="00026121"/>
    <w:rsid w:val="00096F80"/>
    <w:rsid w:val="000C7D0D"/>
    <w:rsid w:val="000F6A45"/>
    <w:rsid w:val="00105025"/>
    <w:rsid w:val="0017537F"/>
    <w:rsid w:val="00216DB0"/>
    <w:rsid w:val="002827D5"/>
    <w:rsid w:val="002B3548"/>
    <w:rsid w:val="0030263C"/>
    <w:rsid w:val="00305C69"/>
    <w:rsid w:val="00344BEE"/>
    <w:rsid w:val="00362399"/>
    <w:rsid w:val="003900B5"/>
    <w:rsid w:val="003F4308"/>
    <w:rsid w:val="00401E38"/>
    <w:rsid w:val="00421022"/>
    <w:rsid w:val="00471FE1"/>
    <w:rsid w:val="004D1D3F"/>
    <w:rsid w:val="004E3C8F"/>
    <w:rsid w:val="004F063E"/>
    <w:rsid w:val="004F28D5"/>
    <w:rsid w:val="00506BAC"/>
    <w:rsid w:val="00523CC0"/>
    <w:rsid w:val="005430EA"/>
    <w:rsid w:val="00571D3D"/>
    <w:rsid w:val="005B380C"/>
    <w:rsid w:val="005D0FE5"/>
    <w:rsid w:val="005D68A8"/>
    <w:rsid w:val="005E6785"/>
    <w:rsid w:val="006758B8"/>
    <w:rsid w:val="00782C4B"/>
    <w:rsid w:val="007A49DB"/>
    <w:rsid w:val="00803E30"/>
    <w:rsid w:val="00816F7F"/>
    <w:rsid w:val="00873838"/>
    <w:rsid w:val="00880C49"/>
    <w:rsid w:val="00880D08"/>
    <w:rsid w:val="008B362A"/>
    <w:rsid w:val="009616C3"/>
    <w:rsid w:val="00967A57"/>
    <w:rsid w:val="00AA7379"/>
    <w:rsid w:val="00AE76F8"/>
    <w:rsid w:val="00B47F58"/>
    <w:rsid w:val="00B54F57"/>
    <w:rsid w:val="00B717BA"/>
    <w:rsid w:val="00B727B9"/>
    <w:rsid w:val="00B94942"/>
    <w:rsid w:val="00C11638"/>
    <w:rsid w:val="00C13830"/>
    <w:rsid w:val="00C23144"/>
    <w:rsid w:val="00C47143"/>
    <w:rsid w:val="00C62CFB"/>
    <w:rsid w:val="00C64D5D"/>
    <w:rsid w:val="00CA364D"/>
    <w:rsid w:val="00CB3029"/>
    <w:rsid w:val="00CB31F2"/>
    <w:rsid w:val="00D17206"/>
    <w:rsid w:val="00D312F0"/>
    <w:rsid w:val="00D93E32"/>
    <w:rsid w:val="00D97C72"/>
    <w:rsid w:val="00DD368C"/>
    <w:rsid w:val="00DE3EBD"/>
    <w:rsid w:val="00DF10A5"/>
    <w:rsid w:val="00E843CF"/>
    <w:rsid w:val="00EB2EE9"/>
    <w:rsid w:val="00EB342C"/>
    <w:rsid w:val="00ED3A35"/>
    <w:rsid w:val="00EF5913"/>
    <w:rsid w:val="00F11BE7"/>
    <w:rsid w:val="00F46A2A"/>
    <w:rsid w:val="00FC61E2"/>
    <w:rsid w:val="00FD0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08964AC7-1E74-428B-AF73-AF6F72EAA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EE9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EB2EE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EB2EE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EB2EE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EB2EE9"/>
    <w:pPr>
      <w:ind w:right="0"/>
      <w:jc w:val="both"/>
    </w:pPr>
  </w:style>
  <w:style w:type="paragraph" w:customStyle="1" w:styleId="TableSideHeading">
    <w:name w:val="Table SideHeading"/>
    <w:basedOn w:val="TableText"/>
    <w:rsid w:val="00EB2EE9"/>
  </w:style>
  <w:style w:type="paragraph" w:styleId="a3">
    <w:name w:val="footnote text"/>
    <w:basedOn w:val="a"/>
    <w:link w:val="a4"/>
    <w:autoRedefine/>
    <w:semiHidden/>
    <w:rsid w:val="00EB2EE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EB2EE9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semiHidden/>
    <w:rsid w:val="00EB2EE9"/>
    <w:rPr>
      <w:vertAlign w:val="superscript"/>
    </w:rPr>
  </w:style>
  <w:style w:type="paragraph" w:customStyle="1" w:styleId="TableHead">
    <w:name w:val="Table Head"/>
    <w:basedOn w:val="TableText"/>
    <w:rsid w:val="00EB2EE9"/>
    <w:pPr>
      <w:ind w:right="0"/>
      <w:jc w:val="center"/>
    </w:pPr>
    <w:rPr>
      <w:b/>
      <w:bCs/>
    </w:rPr>
  </w:style>
  <w:style w:type="paragraph" w:customStyle="1" w:styleId="Noparagraphstyle">
    <w:name w:val="[No paragraph style]"/>
    <w:rsid w:val="00EB2EE9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EB2EE9"/>
  </w:style>
  <w:style w:type="paragraph" w:styleId="a6">
    <w:name w:val="header"/>
    <w:basedOn w:val="a"/>
    <w:link w:val="a7"/>
    <w:uiPriority w:val="99"/>
    <w:unhideWhenUsed/>
    <w:rsid w:val="00C11638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C1163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8">
    <w:name w:val="footer"/>
    <w:basedOn w:val="a"/>
    <w:link w:val="a9"/>
    <w:uiPriority w:val="99"/>
    <w:unhideWhenUsed/>
    <w:rsid w:val="00C11638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C1163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a">
    <w:name w:val="Balloon Text"/>
    <w:basedOn w:val="a"/>
    <w:link w:val="ab"/>
    <w:uiPriority w:val="99"/>
    <w:semiHidden/>
    <w:unhideWhenUsed/>
    <w:rsid w:val="00216DB0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טקסט בלונים תו"/>
    <w:basedOn w:val="a0"/>
    <w:link w:val="aa"/>
    <w:uiPriority w:val="99"/>
    <w:semiHidden/>
    <w:rsid w:val="00216DB0"/>
    <w:rPr>
      <w:rFonts w:ascii="Segoe UI" w:eastAsia="MS Mincho" w:hAnsi="Segoe UI" w:cs="Segoe UI"/>
      <w:color w:val="000000"/>
      <w:spacing w:val="1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CA5FD5-ED45-4A4F-8861-A4F5095EFD42}"/>
</file>

<file path=customXml/itemProps2.xml><?xml version="1.0" encoding="utf-8"?>
<ds:datastoreItem xmlns:ds="http://schemas.openxmlformats.org/officeDocument/2006/customXml" ds:itemID="{0F2D5FB4-19B3-449D-AF45-5E52DB1430F6}"/>
</file>

<file path=customXml/itemProps3.xml><?xml version="1.0" encoding="utf-8"?>
<ds:datastoreItem xmlns:ds="http://schemas.openxmlformats.org/officeDocument/2006/customXml" ds:itemID="{F3B5714E-2080-482A-8F69-E005ECA4E3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598</Words>
  <Characters>2994</Characters>
  <Application>Microsoft Office Word</Application>
  <DocSecurity>4</DocSecurity>
  <Lines>24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Knesset of Israel</Company>
  <LinksUpToDate>false</LinksUpToDate>
  <CharactersWithSpaces>3585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אפרת חקאק</dc:creator>
  <cp:keywords/>
  <dc:description/>
  <cp:lastModifiedBy>נטלי שלף</cp:lastModifiedBy>
  <cp:revision>2</cp:revision>
  <cp:lastPrinted>2016-07-17T11:01:00Z</cp:lastPrinted>
  <dcterms:created xsi:type="dcterms:W3CDTF">2016-07-17T11:14:00Z</dcterms:created>
  <dcterms:modified xsi:type="dcterms:W3CDTF">2016-07-17T11:14:00Z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2005839</vt:r8>
  </property>
</Properties>
</file>