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A07" w:rsidRPr="00414995" w:rsidRDefault="00266A07" w:rsidP="001F6565">
      <w:pPr>
        <w:rPr>
          <w:rFonts w:ascii="Arial" w:hAnsi="Arial"/>
          <w:b/>
          <w:bCs/>
          <w:color w:val="000000"/>
          <w:sz w:val="28"/>
          <w:szCs w:val="28"/>
        </w:rPr>
      </w:pPr>
    </w:p>
    <w:p w:rsidR="00266A07" w:rsidRPr="00414995" w:rsidRDefault="00266A07" w:rsidP="00266A07">
      <w:pPr>
        <w:pStyle w:val="ab"/>
        <w:bidi w:val="0"/>
        <w:jc w:val="center"/>
        <w:rPr>
          <w:color w:val="3366FF"/>
          <w:lang w:eastAsia="en-US"/>
        </w:rPr>
      </w:pPr>
      <w:bookmarkStart w:id="0" w:name="_Toc324070999"/>
      <w:r w:rsidRPr="00414995">
        <w:rPr>
          <w:rFonts w:hint="cs"/>
          <w:noProof/>
          <w:rtl/>
          <w:lang w:val="en-US" w:eastAsia="en-US"/>
        </w:rPr>
        <w:drawing>
          <wp:anchor distT="0" distB="0" distL="114300" distR="114300" simplePos="0" relativeHeight="251659776" behindDoc="1" locked="0" layoutInCell="1" allowOverlap="1" wp14:anchorId="6DD3756F" wp14:editId="644D2088">
            <wp:simplePos x="0" y="0"/>
            <wp:positionH relativeFrom="column">
              <wp:posOffset>4908550</wp:posOffset>
            </wp:positionH>
            <wp:positionV relativeFrom="paragraph">
              <wp:posOffset>-342900</wp:posOffset>
            </wp:positionV>
            <wp:extent cx="1371600" cy="8856980"/>
            <wp:effectExtent l="0" t="0" r="0" b="127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8856980"/>
                    </a:xfrm>
                    <a:prstGeom prst="rect">
                      <a:avLst/>
                    </a:prstGeom>
                    <a:noFill/>
                    <a:ln>
                      <a:noFill/>
                    </a:ln>
                  </pic:spPr>
                </pic:pic>
              </a:graphicData>
            </a:graphic>
          </wp:anchor>
        </w:drawing>
      </w:r>
    </w:p>
    <w:p w:rsidR="00266A07" w:rsidRPr="00414995" w:rsidRDefault="00266A07" w:rsidP="005840CF">
      <w:pPr>
        <w:pStyle w:val="ab"/>
        <w:jc w:val="left"/>
        <w:rPr>
          <w:color w:val="000066"/>
          <w:sz w:val="28"/>
          <w:szCs w:val="28"/>
          <w:rtl/>
          <w:lang w:eastAsia="en-US"/>
        </w:rPr>
      </w:pPr>
    </w:p>
    <w:p w:rsidR="00266A07" w:rsidRPr="00414995" w:rsidRDefault="00FF2B81" w:rsidP="00266A07">
      <w:pPr>
        <w:pStyle w:val="a9"/>
        <w:ind w:left="-14"/>
        <w:rPr>
          <w:rtl/>
        </w:rPr>
      </w:pPr>
      <w:r w:rsidRPr="00414995">
        <w:rPr>
          <w:noProof/>
          <w:rtl/>
        </w:rPr>
        <mc:AlternateContent>
          <mc:Choice Requires="wps">
            <w:drawing>
              <wp:anchor distT="0" distB="0" distL="114300" distR="114300" simplePos="0" relativeHeight="251655680" behindDoc="0" locked="1" layoutInCell="1" allowOverlap="1" wp14:anchorId="7DE5DFE3" wp14:editId="76CB098A">
                <wp:simplePos x="0" y="0"/>
                <wp:positionH relativeFrom="margin">
                  <wp:align>left</wp:align>
                </wp:positionH>
                <wp:positionV relativeFrom="paragraph">
                  <wp:posOffset>338455</wp:posOffset>
                </wp:positionV>
                <wp:extent cx="3757930" cy="793750"/>
                <wp:effectExtent l="0" t="0" r="0" b="6350"/>
                <wp:wrapNone/>
                <wp:docPr id="5" name="תיבת טקסט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7930" cy="79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708" w:rsidRPr="00A060B2" w:rsidRDefault="00A56708" w:rsidP="004C0C9F">
                            <w:pPr>
                              <w:jc w:val="center"/>
                              <w:rPr>
                                <w:b/>
                                <w:bCs/>
                                <w:sz w:val="36"/>
                                <w:szCs w:val="36"/>
                                <w:rtl/>
                              </w:rPr>
                            </w:pPr>
                            <w:r>
                              <w:rPr>
                                <w:rFonts w:hint="cs"/>
                                <w:b/>
                                <w:bCs/>
                                <w:sz w:val="34"/>
                                <w:szCs w:val="34"/>
                                <w:rtl/>
                              </w:rPr>
                              <w:t>מדרג הענישה בעבירות ההמתה</w:t>
                            </w:r>
                          </w:p>
                          <w:p w:rsidR="00A56708" w:rsidRPr="00266A07" w:rsidRDefault="00A56708" w:rsidP="00B1489F">
                            <w:pPr>
                              <w:jc w:val="center"/>
                              <w:rPr>
                                <w:sz w:val="34"/>
                                <w:szCs w:val="34"/>
                                <w:rtl/>
                              </w:rPr>
                            </w:pPr>
                            <w:r w:rsidRPr="0083077E">
                              <w:rPr>
                                <w:rFonts w:hint="eastAsia"/>
                                <w:sz w:val="28"/>
                                <w:szCs w:val="28"/>
                                <w:rtl/>
                              </w:rPr>
                              <w:t>–</w:t>
                            </w:r>
                            <w:r w:rsidRPr="0083077E">
                              <w:rPr>
                                <w:rFonts w:hint="cs"/>
                                <w:sz w:val="28"/>
                                <w:szCs w:val="28"/>
                                <w:rtl/>
                              </w:rPr>
                              <w:t xml:space="preserve"> עקרונות מנחים על פי המשפט העברי</w:t>
                            </w:r>
                            <w:r w:rsidRPr="0083077E">
                              <w:rPr>
                                <w:rFonts w:hint="cs"/>
                                <w:sz w:val="34"/>
                                <w:szCs w:val="34"/>
                                <w:rtl/>
                              </w:rPr>
                              <w:t xml:space="preserve"> </w:t>
                            </w:r>
                            <w:r w:rsidRPr="0083077E">
                              <w:rPr>
                                <w:rFonts w:hint="eastAsia"/>
                                <w:sz w:val="34"/>
                                <w:szCs w:val="34"/>
                                <w:rtl/>
                              </w:rPr>
                              <w:t>–</w:t>
                            </w:r>
                          </w:p>
                          <w:p w:rsidR="00A56708" w:rsidRPr="00266A07" w:rsidRDefault="00A56708" w:rsidP="00266A07">
                            <w:pPr>
                              <w:jc w:val="center"/>
                              <w:rPr>
                                <w:b/>
                                <w:bCs/>
                                <w:sz w:val="36"/>
                                <w:szCs w:val="36"/>
                                <w:rtl/>
                              </w:rPr>
                            </w:pP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5DFE3" id="_x0000_t202" coordsize="21600,21600" o:spt="202" path="m,l,21600r21600,l21600,xe">
                <v:stroke joinstyle="miter"/>
                <v:path gradientshapeok="t" o:connecttype="rect"/>
              </v:shapetype>
              <v:shape id="תיבת טקסט 5" o:spid="_x0000_s1026" type="#_x0000_t202" style="position:absolute;left:0;text-align:left;margin-left:0;margin-top:26.65pt;width:295.9pt;height:62.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" filled="f" stroked="f">
                <v:textbox inset=",,,1mm">
                  <w:txbxContent>
                    <w:p w:rsidR="00A56708" w:rsidRPr="00A060B2" w:rsidRDefault="00A56708" w:rsidP="004C0C9F">
                      <w:pPr>
                        <w:jc w:val="center"/>
                        <w:rPr>
                          <w:b/>
                          <w:bCs/>
                          <w:sz w:val="36"/>
                          <w:szCs w:val="36"/>
                          <w:rtl/>
                        </w:rPr>
                      </w:pPr>
                      <w:r>
                        <w:rPr>
                          <w:rFonts w:hint="cs"/>
                          <w:b/>
                          <w:bCs/>
                          <w:sz w:val="34"/>
                          <w:szCs w:val="34"/>
                          <w:rtl/>
                        </w:rPr>
                        <w:t>מדרג הענישה בעבירות ההמתה</w:t>
                      </w:r>
                    </w:p>
                    <w:p w:rsidR="00A56708" w:rsidRPr="00266A07" w:rsidRDefault="00A56708" w:rsidP="00B1489F">
                      <w:pPr>
                        <w:jc w:val="center"/>
                        <w:rPr>
                          <w:sz w:val="34"/>
                          <w:szCs w:val="34"/>
                          <w:rtl/>
                        </w:rPr>
                      </w:pPr>
                      <w:r w:rsidRPr="0083077E">
                        <w:rPr>
                          <w:rFonts w:hint="eastAsia"/>
                          <w:sz w:val="28"/>
                          <w:szCs w:val="28"/>
                          <w:rtl/>
                        </w:rPr>
                        <w:t>–</w:t>
                      </w:r>
                      <w:r w:rsidRPr="0083077E">
                        <w:rPr>
                          <w:rFonts w:hint="cs"/>
                          <w:sz w:val="28"/>
                          <w:szCs w:val="28"/>
                          <w:rtl/>
                        </w:rPr>
                        <w:t xml:space="preserve"> עקרונות מנחים על פי המשפט העברי</w:t>
                      </w:r>
                      <w:r w:rsidRPr="0083077E">
                        <w:rPr>
                          <w:rFonts w:hint="cs"/>
                          <w:sz w:val="34"/>
                          <w:szCs w:val="34"/>
                          <w:rtl/>
                        </w:rPr>
                        <w:t xml:space="preserve"> </w:t>
                      </w:r>
                      <w:r w:rsidRPr="0083077E">
                        <w:rPr>
                          <w:rFonts w:hint="eastAsia"/>
                          <w:sz w:val="34"/>
                          <w:szCs w:val="34"/>
                          <w:rtl/>
                        </w:rPr>
                        <w:t>–</w:t>
                      </w:r>
                    </w:p>
                    <w:p w:rsidR="00A56708" w:rsidRPr="00266A07" w:rsidRDefault="00A56708" w:rsidP="00266A07">
                      <w:pPr>
                        <w:jc w:val="center"/>
                        <w:rPr>
                          <w:b/>
                          <w:bCs/>
                          <w:sz w:val="36"/>
                          <w:szCs w:val="36"/>
                          <w:rtl/>
                        </w:rPr>
                      </w:pPr>
                    </w:p>
                  </w:txbxContent>
                </v:textbox>
                <w10:wrap anchorx="margin"/>
                <w10:anchorlock/>
              </v:shape>
            </w:pict>
          </mc:Fallback>
        </mc:AlternateContent>
      </w:r>
    </w:p>
    <w:p w:rsidR="00266A07" w:rsidRPr="00414995" w:rsidRDefault="00266A07" w:rsidP="00266A07">
      <w:pPr>
        <w:pStyle w:val="a9"/>
        <w:ind w:left="-14"/>
        <w:jc w:val="center"/>
        <w:rPr>
          <w:b/>
          <w:bCs/>
          <w:sz w:val="40"/>
          <w:szCs w:val="40"/>
          <w:rtl/>
        </w:rPr>
      </w:pPr>
    </w:p>
    <w:p w:rsidR="00266A07" w:rsidRPr="00414995" w:rsidRDefault="00266A07" w:rsidP="00266A07">
      <w:pPr>
        <w:pStyle w:val="a9"/>
        <w:ind w:left="-14"/>
        <w:jc w:val="center"/>
        <w:rPr>
          <w:b/>
          <w:bCs/>
          <w:sz w:val="32"/>
          <w:szCs w:val="32"/>
          <w:rtl/>
        </w:rPr>
      </w:pPr>
    </w:p>
    <w:p w:rsidR="00266A07" w:rsidRPr="00414995" w:rsidRDefault="00BC15AE" w:rsidP="00BC15AE">
      <w:pPr>
        <w:pStyle w:val="a9"/>
        <w:jc w:val="center"/>
        <w:rPr>
          <w:rtl/>
        </w:rPr>
      </w:pPr>
      <w:r w:rsidRPr="00414995">
        <w:rPr>
          <w:rFonts w:hint="cs"/>
          <w:rtl/>
        </w:rPr>
        <w:t xml:space="preserve">                                                 </w:t>
      </w:r>
    </w:p>
    <w:p w:rsidR="00266A07" w:rsidRPr="00414995" w:rsidRDefault="00317E53" w:rsidP="00BC15AE">
      <w:pPr>
        <w:pStyle w:val="a9"/>
        <w:ind w:left="-14"/>
        <w:jc w:val="center"/>
        <w:rPr>
          <w:rtl/>
        </w:rPr>
      </w:pPr>
      <w:r w:rsidRPr="00414995">
        <w:rPr>
          <w:rFonts w:hint="cs"/>
          <w:rtl/>
        </w:rPr>
        <w:t xml:space="preserve">                                          </w:t>
      </w:r>
    </w:p>
    <w:p w:rsidR="00B1489F" w:rsidRPr="00414995" w:rsidRDefault="00957CA9" w:rsidP="00317E53">
      <w:pPr>
        <w:pStyle w:val="a9"/>
        <w:spacing w:line="240" w:lineRule="auto"/>
        <w:jc w:val="center"/>
        <w:rPr>
          <w:rtl/>
        </w:rPr>
      </w:pPr>
      <w:r w:rsidRPr="00414995">
        <w:rPr>
          <w:rFonts w:hint="cs"/>
          <w:rtl/>
        </w:rPr>
        <w:t xml:space="preserve">            </w:t>
      </w:r>
    </w:p>
    <w:p w:rsidR="00B1489F" w:rsidRPr="00414995" w:rsidRDefault="00B1489F" w:rsidP="00317E53">
      <w:pPr>
        <w:pStyle w:val="a9"/>
        <w:spacing w:line="240" w:lineRule="auto"/>
        <w:jc w:val="center"/>
        <w:rPr>
          <w:rtl/>
        </w:rPr>
      </w:pPr>
    </w:p>
    <w:p w:rsidR="00B1489F" w:rsidRPr="00414995" w:rsidRDefault="005C4E19" w:rsidP="00317E53">
      <w:pPr>
        <w:pStyle w:val="a9"/>
        <w:spacing w:line="240" w:lineRule="auto"/>
        <w:jc w:val="center"/>
        <w:rPr>
          <w:rtl/>
        </w:rPr>
      </w:pPr>
      <w:r w:rsidRPr="00414995">
        <w:rPr>
          <w:noProof/>
          <w:sz w:val="20"/>
          <w:rtl/>
        </w:rPr>
        <mc:AlternateContent>
          <mc:Choice Requires="wps">
            <w:drawing>
              <wp:anchor distT="0" distB="0" distL="114300" distR="114300" simplePos="0" relativeHeight="251658752" behindDoc="0" locked="0" layoutInCell="1" allowOverlap="1" wp14:anchorId="1E2281DE" wp14:editId="2CDCDBDF">
                <wp:simplePos x="0" y="0"/>
                <wp:positionH relativeFrom="margin">
                  <wp:posOffset>964565</wp:posOffset>
                </wp:positionH>
                <wp:positionV relativeFrom="paragraph">
                  <wp:posOffset>98425</wp:posOffset>
                </wp:positionV>
                <wp:extent cx="1768475" cy="295910"/>
                <wp:effectExtent l="0" t="0" r="3175" b="8890"/>
                <wp:wrapNone/>
                <wp:docPr id="3"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2959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56708" w:rsidRPr="009024DD" w:rsidRDefault="00A56708" w:rsidP="009024DD">
                            <w:pPr>
                              <w:tabs>
                                <w:tab w:val="left" w:pos="1956"/>
                              </w:tabs>
                              <w:spacing w:before="60" w:after="60" w:line="432" w:lineRule="auto"/>
                              <w:jc w:val="center"/>
                              <w:rPr>
                                <w:b/>
                                <w:bCs/>
                                <w:sz w:val="28"/>
                                <w:szCs w:val="28"/>
                                <w:rtl/>
                              </w:rPr>
                            </w:pPr>
                            <w:r w:rsidRPr="00266A07">
                              <w:rPr>
                                <w:rFonts w:hint="cs"/>
                                <w:b/>
                                <w:bCs/>
                                <w:sz w:val="28"/>
                                <w:szCs w:val="28"/>
                                <w:rtl/>
                              </w:rPr>
                              <w:t xml:space="preserve">כתיבה: </w:t>
                            </w:r>
                            <w:r w:rsidRPr="009024DD">
                              <w:rPr>
                                <w:rFonts w:hint="cs"/>
                                <w:b/>
                                <w:bCs/>
                                <w:sz w:val="28"/>
                                <w:szCs w:val="28"/>
                                <w:rtl/>
                              </w:rPr>
                              <w:t>עו"ד ירון אונגר</w:t>
                            </w:r>
                          </w:p>
                          <w:p w:rsidR="00A56708" w:rsidRPr="00266A07" w:rsidRDefault="00A56708" w:rsidP="00266A07">
                            <w:pPr>
                              <w:tabs>
                                <w:tab w:val="left" w:pos="1956"/>
                              </w:tabs>
                              <w:spacing w:before="60" w:after="60" w:line="432" w:lineRule="auto"/>
                              <w:jc w:val="center"/>
                              <w:rPr>
                                <w:b/>
                                <w:bCs/>
                                <w:sz w:val="28"/>
                                <w:szCs w:val="28"/>
                              </w:rPr>
                            </w:pP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281DE" id="תיבת טקסט 3" o:spid="_x0000_s1027" type="#_x0000_t202" style="position:absolute;left:0;text-align:left;margin-left:75.95pt;margin-top:7.75pt;width:139.25pt;height:23.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" filled="f" stroked="f">
                <v:textbox inset="0,,0,1mm">
                  <w:txbxContent>
                    <w:p w:rsidR="00A56708" w:rsidRPr="009024DD" w:rsidRDefault="00A56708" w:rsidP="009024DD">
                      <w:pPr>
                        <w:tabs>
                          <w:tab w:val="left" w:pos="1956"/>
                        </w:tabs>
                        <w:spacing w:before="60" w:after="60" w:line="432" w:lineRule="auto"/>
                        <w:jc w:val="center"/>
                        <w:rPr>
                          <w:b/>
                          <w:bCs/>
                          <w:sz w:val="28"/>
                          <w:szCs w:val="28"/>
                          <w:rtl/>
                        </w:rPr>
                      </w:pPr>
                      <w:r w:rsidRPr="00266A07">
                        <w:rPr>
                          <w:rFonts w:hint="cs"/>
                          <w:b/>
                          <w:bCs/>
                          <w:sz w:val="28"/>
                          <w:szCs w:val="28"/>
                          <w:rtl/>
                        </w:rPr>
                        <w:t xml:space="preserve">כתיבה: </w:t>
                      </w:r>
                      <w:r w:rsidRPr="009024DD">
                        <w:rPr>
                          <w:rFonts w:hint="cs"/>
                          <w:b/>
                          <w:bCs/>
                          <w:sz w:val="28"/>
                          <w:szCs w:val="28"/>
                          <w:rtl/>
                        </w:rPr>
                        <w:t>עו"ד ירון אונגר</w:t>
                      </w:r>
                    </w:p>
                    <w:p w:rsidR="00A56708" w:rsidRPr="00266A07" w:rsidRDefault="00A56708" w:rsidP="00266A07">
                      <w:pPr>
                        <w:tabs>
                          <w:tab w:val="left" w:pos="1956"/>
                        </w:tabs>
                        <w:spacing w:before="60" w:after="60" w:line="432" w:lineRule="auto"/>
                        <w:jc w:val="center"/>
                        <w:rPr>
                          <w:b/>
                          <w:bCs/>
                          <w:sz w:val="28"/>
                          <w:szCs w:val="28"/>
                        </w:rPr>
                      </w:pPr>
                    </w:p>
                  </w:txbxContent>
                </v:textbox>
                <w10:wrap anchorx="margin"/>
              </v:shape>
            </w:pict>
          </mc:Fallback>
        </mc:AlternateContent>
      </w:r>
    </w:p>
    <w:p w:rsidR="00B1489F" w:rsidRPr="00414995" w:rsidRDefault="00B1489F" w:rsidP="00317E53">
      <w:pPr>
        <w:pStyle w:val="a9"/>
        <w:spacing w:line="240" w:lineRule="auto"/>
        <w:jc w:val="center"/>
        <w:rPr>
          <w:rtl/>
        </w:rPr>
      </w:pPr>
    </w:p>
    <w:p w:rsidR="00266A07" w:rsidRPr="00414995" w:rsidRDefault="00957CA9" w:rsidP="00317E53">
      <w:pPr>
        <w:pStyle w:val="a9"/>
        <w:spacing w:line="240" w:lineRule="auto"/>
        <w:jc w:val="center"/>
        <w:rPr>
          <w:rtl/>
        </w:rPr>
      </w:pPr>
      <w:r w:rsidRPr="00414995">
        <w:rPr>
          <w:rFonts w:hint="cs"/>
          <w:rtl/>
        </w:rPr>
        <w:t xml:space="preserve">             </w:t>
      </w:r>
      <w:r w:rsidR="009063D2" w:rsidRPr="00414995">
        <w:rPr>
          <w:rFonts w:hint="cs"/>
          <w:rtl/>
        </w:rPr>
        <w:t xml:space="preserve">               </w:t>
      </w:r>
      <w:r w:rsidRPr="00414995">
        <w:rPr>
          <w:rFonts w:hint="cs"/>
          <w:rtl/>
        </w:rPr>
        <w:t xml:space="preserve">                     </w:t>
      </w:r>
    </w:p>
    <w:p w:rsidR="00266A07" w:rsidRPr="00414995" w:rsidRDefault="00266A07" w:rsidP="00266A07">
      <w:pPr>
        <w:pStyle w:val="a9"/>
        <w:ind w:left="-14"/>
        <w:rPr>
          <w:rtl/>
        </w:rPr>
      </w:pPr>
    </w:p>
    <w:p w:rsidR="00266A07" w:rsidRPr="00414995" w:rsidRDefault="00266A07" w:rsidP="00266A07">
      <w:pPr>
        <w:pStyle w:val="ad"/>
        <w:rPr>
          <w:rtl/>
        </w:rPr>
      </w:pPr>
    </w:p>
    <w:p w:rsidR="00A060B2" w:rsidRPr="00414995" w:rsidRDefault="00A060B2" w:rsidP="00266A07">
      <w:pPr>
        <w:rPr>
          <w:rtl/>
        </w:rPr>
      </w:pPr>
    </w:p>
    <w:p w:rsidR="00BC15AE" w:rsidRPr="00414995" w:rsidRDefault="00BC15AE" w:rsidP="00266A07">
      <w:pPr>
        <w:rPr>
          <w:rtl/>
        </w:rPr>
      </w:pPr>
    </w:p>
    <w:p w:rsidR="00BC15AE" w:rsidRPr="00414995" w:rsidRDefault="00BC15AE" w:rsidP="00266A07">
      <w:pPr>
        <w:rPr>
          <w:rtl/>
        </w:rPr>
      </w:pPr>
    </w:p>
    <w:p w:rsidR="00A060B2" w:rsidRPr="00414995" w:rsidRDefault="00A060B2" w:rsidP="00266A07">
      <w:pPr>
        <w:rPr>
          <w:rtl/>
        </w:rPr>
      </w:pPr>
    </w:p>
    <w:p w:rsidR="00A060B2" w:rsidRPr="00414995" w:rsidRDefault="00A060B2" w:rsidP="00266A07">
      <w:pPr>
        <w:rPr>
          <w:rtl/>
        </w:rPr>
      </w:pPr>
    </w:p>
    <w:tbl>
      <w:tblPr>
        <w:tblpPr w:leftFromText="180" w:rightFromText="180" w:vertAnchor="text" w:horzAnchor="page" w:tblpX="1190" w:tblpY="2247"/>
        <w:bidiVisual/>
        <w:tblW w:w="8332" w:type="dxa"/>
        <w:tblLayout w:type="fixed"/>
        <w:tblCellMar>
          <w:left w:w="0" w:type="dxa"/>
          <w:right w:w="0" w:type="dxa"/>
        </w:tblCellMar>
        <w:tblLook w:val="0000" w:firstRow="0" w:lastRow="0" w:firstColumn="0" w:lastColumn="0" w:noHBand="0" w:noVBand="0"/>
      </w:tblPr>
      <w:tblGrid>
        <w:gridCol w:w="15"/>
        <w:gridCol w:w="5008"/>
        <w:gridCol w:w="3309"/>
      </w:tblGrid>
      <w:tr w:rsidR="00123119" w:rsidRPr="00414995" w:rsidTr="00123119">
        <w:trPr>
          <w:gridBefore w:val="1"/>
          <w:wBefore w:w="15" w:type="dxa"/>
          <w:trHeight w:val="1148"/>
        </w:trPr>
        <w:tc>
          <w:tcPr>
            <w:tcW w:w="5008" w:type="dxa"/>
            <w:vAlign w:val="bottom"/>
          </w:tcPr>
          <w:p w:rsidR="00123119" w:rsidRPr="00414995" w:rsidRDefault="00123119" w:rsidP="00123119">
            <w:pPr>
              <w:jc w:val="left"/>
              <w:rPr>
                <w:noProof/>
                <w:rtl/>
              </w:rPr>
            </w:pPr>
            <w:r w:rsidRPr="00414995">
              <w:rPr>
                <w:rFonts w:hint="cs"/>
                <w:noProof/>
                <w:rtl/>
              </w:rPr>
              <w:t xml:space="preserve">אישור:  </w:t>
            </w:r>
          </w:p>
          <w:p w:rsidR="00123119" w:rsidRPr="00414995" w:rsidRDefault="00123119" w:rsidP="00123119">
            <w:pPr>
              <w:jc w:val="left"/>
              <w:rPr>
                <w:noProof/>
              </w:rPr>
            </w:pPr>
            <w:r w:rsidRPr="00414995">
              <w:rPr>
                <w:rFonts w:hint="cs"/>
                <w:noProof/>
                <w:rtl/>
              </w:rPr>
              <w:t xml:space="preserve">עו"ד הודיה קין, ממונה בכירה (חקיקה ומחקר משפטי) </w:t>
            </w:r>
          </w:p>
        </w:tc>
        <w:tc>
          <w:tcPr>
            <w:tcW w:w="3309" w:type="dxa"/>
            <w:vAlign w:val="bottom"/>
          </w:tcPr>
          <w:p w:rsidR="00123119" w:rsidRPr="00414995" w:rsidRDefault="00123119" w:rsidP="005C4E19">
            <w:pPr>
              <w:jc w:val="center"/>
              <w:rPr>
                <w:rtl/>
              </w:rPr>
            </w:pPr>
            <w:r w:rsidRPr="00414995">
              <w:rPr>
                <w:rtl/>
              </w:rPr>
              <w:fldChar w:fldCharType="begin"/>
            </w:r>
            <w:r w:rsidRPr="00414995">
              <w:rPr>
                <w:rtl/>
              </w:rPr>
              <w:instrText xml:space="preserve"> </w:instrText>
            </w:r>
            <w:r w:rsidRPr="00414995">
              <w:instrText>CREATEDATE  \@ "dd MMMM yyyy" \h  \* MERGEFORMAT</w:instrText>
            </w:r>
            <w:r w:rsidRPr="00414995">
              <w:rPr>
                <w:rtl/>
              </w:rPr>
              <w:instrText xml:space="preserve"> </w:instrText>
            </w:r>
            <w:r w:rsidRPr="00414995">
              <w:rPr>
                <w:rtl/>
              </w:rPr>
              <w:fldChar w:fldCharType="separate"/>
            </w:r>
            <w:r w:rsidRPr="00414995">
              <w:rPr>
                <w:noProof/>
                <w:rtl/>
              </w:rPr>
              <w:t>‏</w:t>
            </w:r>
            <w:r w:rsidR="005C4E19" w:rsidRPr="00414995">
              <w:rPr>
                <w:rFonts w:hint="cs"/>
                <w:noProof/>
                <w:rtl/>
              </w:rPr>
              <w:t>ד' בתמוז</w:t>
            </w:r>
            <w:r w:rsidRPr="00414995">
              <w:rPr>
                <w:rFonts w:hint="cs"/>
                <w:noProof/>
                <w:rtl/>
              </w:rPr>
              <w:t xml:space="preserve">, </w:t>
            </w:r>
            <w:r w:rsidRPr="00414995">
              <w:rPr>
                <w:rFonts w:hint="eastAsia"/>
                <w:noProof/>
                <w:rtl/>
              </w:rPr>
              <w:t>תשע</w:t>
            </w:r>
            <w:r w:rsidRPr="00414995">
              <w:rPr>
                <w:noProof/>
                <w:rtl/>
              </w:rPr>
              <w:t>"</w:t>
            </w:r>
            <w:r w:rsidRPr="00414995">
              <w:rPr>
                <w:rFonts w:hint="eastAsia"/>
                <w:noProof/>
                <w:rtl/>
              </w:rPr>
              <w:t>ו</w:t>
            </w:r>
            <w:r w:rsidRPr="00414995">
              <w:rPr>
                <w:rtl/>
              </w:rPr>
              <w:fldChar w:fldCharType="end"/>
            </w:r>
          </w:p>
          <w:p w:rsidR="00123119" w:rsidRPr="00414995" w:rsidRDefault="005C4E19" w:rsidP="005C4E19">
            <w:pPr>
              <w:jc w:val="center"/>
              <w:rPr>
                <w:highlight w:val="yellow"/>
              </w:rPr>
            </w:pPr>
            <w:r w:rsidRPr="00414995">
              <w:rPr>
                <w:rFonts w:hint="cs"/>
                <w:rtl/>
              </w:rPr>
              <w:t>1</w:t>
            </w:r>
            <w:r w:rsidR="00123119" w:rsidRPr="00414995">
              <w:rPr>
                <w:rFonts w:hint="cs"/>
                <w:rtl/>
              </w:rPr>
              <w:t>0 ב</w:t>
            </w:r>
            <w:r w:rsidRPr="00414995">
              <w:rPr>
                <w:rFonts w:hint="cs"/>
                <w:rtl/>
              </w:rPr>
              <w:t xml:space="preserve">יולי </w:t>
            </w:r>
            <w:r w:rsidR="00123119" w:rsidRPr="00414995">
              <w:rPr>
                <w:rFonts w:hint="cs"/>
                <w:rtl/>
              </w:rPr>
              <w:t>2016</w:t>
            </w:r>
          </w:p>
        </w:tc>
      </w:tr>
      <w:tr w:rsidR="00123119" w:rsidRPr="00414995" w:rsidTr="00123119">
        <w:trPr>
          <w:trHeight w:val="696"/>
        </w:trPr>
        <w:tc>
          <w:tcPr>
            <w:tcW w:w="8332" w:type="dxa"/>
            <w:gridSpan w:val="3"/>
            <w:vAlign w:val="bottom"/>
          </w:tcPr>
          <w:p w:rsidR="00123119" w:rsidRPr="00414995" w:rsidRDefault="00123119" w:rsidP="00123119">
            <w:pPr>
              <w:spacing w:before="300" w:after="0"/>
              <w:jc w:val="center"/>
              <w:rPr>
                <w:b/>
                <w:bCs/>
                <w:rtl/>
              </w:rPr>
            </w:pPr>
            <w:r w:rsidRPr="00414995">
              <w:rPr>
                <w:rFonts w:hint="cs"/>
                <w:b/>
                <w:bCs/>
                <w:rtl/>
              </w:rPr>
              <w:t>מסמך זה הוא סקירה משפטית ואינו חוות דעת משפטית</w:t>
            </w:r>
          </w:p>
        </w:tc>
      </w:tr>
    </w:tbl>
    <w:p w:rsidR="009024DD" w:rsidRPr="00414995" w:rsidRDefault="00BC15AE" w:rsidP="00266A07">
      <w:pPr>
        <w:rPr>
          <w:rtl/>
        </w:rPr>
      </w:pPr>
      <w:r w:rsidRPr="00414995">
        <w:rPr>
          <w:rtl/>
        </w:rPr>
        <w:t xml:space="preserve"> </w:t>
      </w:r>
      <w:r w:rsidR="00266A07" w:rsidRPr="00414995">
        <w:rPr>
          <w:rtl/>
        </w:rPr>
        <w:br w:type="page"/>
      </w:r>
      <w:bookmarkEnd w:id="0"/>
    </w:p>
    <w:p w:rsidR="0039010B" w:rsidRPr="00414995" w:rsidRDefault="0039010B" w:rsidP="00266A07">
      <w:pPr>
        <w:rPr>
          <w:rFonts w:ascii="Arial" w:hAnsi="Arial"/>
          <w:b/>
          <w:bCs/>
          <w:color w:val="000000"/>
          <w:sz w:val="28"/>
          <w:szCs w:val="28"/>
          <w:rtl/>
        </w:rPr>
      </w:pPr>
      <w:r w:rsidRPr="00414995">
        <w:rPr>
          <w:rFonts w:ascii="Arial" w:hAnsi="Arial" w:hint="cs"/>
          <w:b/>
          <w:bCs/>
          <w:color w:val="000000"/>
          <w:sz w:val="28"/>
          <w:szCs w:val="28"/>
          <w:rtl/>
        </w:rPr>
        <w:lastRenderedPageBreak/>
        <w:t>תמצית</w:t>
      </w:r>
    </w:p>
    <w:p w:rsidR="00B1489F" w:rsidRPr="00414995" w:rsidRDefault="0059728C" w:rsidP="008D26B1">
      <w:pPr>
        <w:rPr>
          <w:rtl/>
          <w:lang w:eastAsia="he-IL"/>
        </w:rPr>
      </w:pPr>
      <w:r w:rsidRPr="00414995">
        <w:rPr>
          <w:rFonts w:hint="cs"/>
          <w:rtl/>
          <w:lang w:eastAsia="he-IL"/>
        </w:rPr>
        <w:t xml:space="preserve">מסמך זה נכתב </w:t>
      </w:r>
      <w:r w:rsidR="00856304" w:rsidRPr="00414995">
        <w:rPr>
          <w:rFonts w:hint="cs"/>
          <w:rtl/>
          <w:lang w:eastAsia="he-IL"/>
        </w:rPr>
        <w:t>לבקשת</w:t>
      </w:r>
      <w:r w:rsidR="00856304" w:rsidRPr="00414995">
        <w:rPr>
          <w:rtl/>
          <w:lang w:eastAsia="he-IL"/>
        </w:rPr>
        <w:t xml:space="preserve"> </w:t>
      </w:r>
      <w:r w:rsidR="00856304" w:rsidRPr="00414995">
        <w:rPr>
          <w:rFonts w:hint="cs"/>
          <w:rtl/>
          <w:lang w:eastAsia="he-IL"/>
        </w:rPr>
        <w:t>יושב</w:t>
      </w:r>
      <w:r w:rsidR="00856304" w:rsidRPr="00414995">
        <w:rPr>
          <w:rtl/>
          <w:lang w:eastAsia="he-IL"/>
        </w:rPr>
        <w:t xml:space="preserve"> </w:t>
      </w:r>
      <w:r w:rsidR="00856304" w:rsidRPr="00414995">
        <w:rPr>
          <w:rFonts w:hint="cs"/>
          <w:rtl/>
          <w:lang w:eastAsia="he-IL"/>
        </w:rPr>
        <w:t>ראש</w:t>
      </w:r>
      <w:r w:rsidR="00856304" w:rsidRPr="00414995">
        <w:rPr>
          <w:rtl/>
          <w:lang w:eastAsia="he-IL"/>
        </w:rPr>
        <w:t xml:space="preserve"> </w:t>
      </w:r>
      <w:r w:rsidR="00856304" w:rsidRPr="00414995">
        <w:rPr>
          <w:rFonts w:hint="cs"/>
          <w:rtl/>
          <w:lang w:eastAsia="he-IL"/>
        </w:rPr>
        <w:t>ועדת</w:t>
      </w:r>
      <w:r w:rsidR="00856304" w:rsidRPr="00414995">
        <w:rPr>
          <w:rtl/>
          <w:lang w:eastAsia="he-IL"/>
        </w:rPr>
        <w:t xml:space="preserve"> החוקה, חוק ומשפט של הכנסת, חבר הכנסת ניסן סלומינסקי, </w:t>
      </w:r>
      <w:r w:rsidRPr="00414995">
        <w:rPr>
          <w:rFonts w:hint="cs"/>
          <w:rtl/>
          <w:lang w:eastAsia="he-IL"/>
        </w:rPr>
        <w:t>כמסמך</w:t>
      </w:r>
      <w:r w:rsidRPr="00414995">
        <w:rPr>
          <w:rtl/>
          <w:lang w:eastAsia="he-IL"/>
        </w:rPr>
        <w:t xml:space="preserve"> </w:t>
      </w:r>
      <w:r w:rsidRPr="00414995">
        <w:rPr>
          <w:rFonts w:hint="cs"/>
          <w:rtl/>
          <w:lang w:eastAsia="he-IL"/>
        </w:rPr>
        <w:t>רקע</w:t>
      </w:r>
      <w:r w:rsidRPr="00414995">
        <w:rPr>
          <w:rtl/>
          <w:lang w:eastAsia="he-IL"/>
        </w:rPr>
        <w:t xml:space="preserve"> </w:t>
      </w:r>
      <w:r w:rsidRPr="00414995">
        <w:rPr>
          <w:rFonts w:hint="cs"/>
          <w:rtl/>
          <w:lang w:eastAsia="he-IL"/>
        </w:rPr>
        <w:t>לדיון</w:t>
      </w:r>
      <w:r w:rsidRPr="00414995">
        <w:rPr>
          <w:rtl/>
          <w:lang w:eastAsia="he-IL"/>
        </w:rPr>
        <w:t xml:space="preserve"> </w:t>
      </w:r>
      <w:r w:rsidRPr="00414995">
        <w:rPr>
          <w:rFonts w:hint="cs"/>
          <w:rtl/>
          <w:lang w:eastAsia="he-IL"/>
        </w:rPr>
        <w:t>ב</w:t>
      </w:r>
      <w:r w:rsidRPr="00414995">
        <w:rPr>
          <w:rtl/>
          <w:lang w:eastAsia="he-IL"/>
        </w:rPr>
        <w:t>הצעת חוק העונשין (תיקון מס' 124) (עבירות המתה), התשע"ו-2015</w:t>
      </w:r>
      <w:r w:rsidR="007936F1" w:rsidRPr="00414995">
        <w:rPr>
          <w:rtl/>
          <w:lang w:eastAsia="he-IL"/>
        </w:rPr>
        <w:t xml:space="preserve">, שמטרתה </w:t>
      </w:r>
      <w:r w:rsidR="007936F1" w:rsidRPr="00414995">
        <w:rPr>
          <w:rFonts w:hint="cs"/>
          <w:rtl/>
          <w:lang w:eastAsia="he-IL"/>
        </w:rPr>
        <w:t>לשנות</w:t>
      </w:r>
      <w:r w:rsidR="007936F1" w:rsidRPr="00414995">
        <w:rPr>
          <w:rtl/>
          <w:lang w:eastAsia="he-IL"/>
        </w:rPr>
        <w:t xml:space="preserve"> </w:t>
      </w:r>
      <w:r w:rsidR="007936F1" w:rsidRPr="00414995">
        <w:rPr>
          <w:rFonts w:hint="cs"/>
          <w:rtl/>
          <w:lang w:eastAsia="he-IL"/>
        </w:rPr>
        <w:t>את</w:t>
      </w:r>
      <w:r w:rsidR="007936F1" w:rsidRPr="00414995">
        <w:rPr>
          <w:rtl/>
          <w:lang w:eastAsia="he-IL"/>
        </w:rPr>
        <w:t xml:space="preserve"> </w:t>
      </w:r>
      <w:r w:rsidR="007936F1" w:rsidRPr="00414995">
        <w:rPr>
          <w:rFonts w:hint="cs"/>
          <w:rtl/>
          <w:lang w:eastAsia="he-IL"/>
        </w:rPr>
        <w:t>המדרג</w:t>
      </w:r>
      <w:r w:rsidR="007936F1" w:rsidRPr="00414995">
        <w:rPr>
          <w:rtl/>
          <w:lang w:eastAsia="he-IL"/>
        </w:rPr>
        <w:t xml:space="preserve"> </w:t>
      </w:r>
      <w:r w:rsidR="007936F1" w:rsidRPr="00414995">
        <w:rPr>
          <w:rFonts w:hint="cs"/>
          <w:rtl/>
          <w:lang w:eastAsia="he-IL"/>
        </w:rPr>
        <w:t>של</w:t>
      </w:r>
      <w:r w:rsidR="007936F1" w:rsidRPr="00414995">
        <w:rPr>
          <w:rtl/>
          <w:lang w:eastAsia="he-IL"/>
        </w:rPr>
        <w:t xml:space="preserve"> </w:t>
      </w:r>
      <w:r w:rsidR="007936F1" w:rsidRPr="00414995">
        <w:rPr>
          <w:rFonts w:hint="cs"/>
          <w:rtl/>
          <w:lang w:eastAsia="he-IL"/>
        </w:rPr>
        <w:t>עבירות</w:t>
      </w:r>
      <w:r w:rsidR="007936F1" w:rsidRPr="00414995">
        <w:rPr>
          <w:rtl/>
          <w:lang w:eastAsia="he-IL"/>
        </w:rPr>
        <w:t xml:space="preserve"> </w:t>
      </w:r>
      <w:r w:rsidR="007936F1" w:rsidRPr="00414995">
        <w:rPr>
          <w:rFonts w:hint="cs"/>
          <w:rtl/>
          <w:lang w:eastAsia="he-IL"/>
        </w:rPr>
        <w:t>ההמתה</w:t>
      </w:r>
      <w:r w:rsidR="007936F1" w:rsidRPr="00414995">
        <w:rPr>
          <w:rtl/>
          <w:lang w:eastAsia="he-IL"/>
        </w:rPr>
        <w:t xml:space="preserve"> </w:t>
      </w:r>
      <w:r w:rsidR="007936F1" w:rsidRPr="00414995">
        <w:rPr>
          <w:rFonts w:hint="cs"/>
          <w:rtl/>
          <w:lang w:eastAsia="he-IL"/>
        </w:rPr>
        <w:t>הקבועות</w:t>
      </w:r>
      <w:r w:rsidR="007936F1" w:rsidRPr="00414995">
        <w:rPr>
          <w:rtl/>
          <w:lang w:eastAsia="he-IL"/>
        </w:rPr>
        <w:t xml:space="preserve"> </w:t>
      </w:r>
      <w:r w:rsidR="007936F1" w:rsidRPr="00414995">
        <w:rPr>
          <w:rFonts w:hint="cs"/>
          <w:rtl/>
          <w:lang w:eastAsia="he-IL"/>
        </w:rPr>
        <w:t>ב</w:t>
      </w:r>
      <w:r w:rsidR="007936F1" w:rsidRPr="00414995">
        <w:rPr>
          <w:rtl/>
          <w:lang w:eastAsia="he-IL"/>
        </w:rPr>
        <w:t xml:space="preserve">סימן א' בפרק י' לחוק העונשין, התשל"ז-1977 (להלן: </w:t>
      </w:r>
      <w:r w:rsidR="007936F1" w:rsidRPr="00414995">
        <w:rPr>
          <w:rFonts w:hint="cs"/>
          <w:rtl/>
          <w:lang w:eastAsia="he-IL"/>
        </w:rPr>
        <w:t>חוק</w:t>
      </w:r>
      <w:r w:rsidR="007936F1" w:rsidRPr="00414995">
        <w:rPr>
          <w:rtl/>
          <w:lang w:eastAsia="he-IL"/>
        </w:rPr>
        <w:t xml:space="preserve"> </w:t>
      </w:r>
      <w:r w:rsidR="007936F1" w:rsidRPr="00414995">
        <w:rPr>
          <w:rFonts w:hint="cs"/>
          <w:rtl/>
          <w:lang w:eastAsia="he-IL"/>
        </w:rPr>
        <w:t>העונשין</w:t>
      </w:r>
      <w:r w:rsidR="007936F1" w:rsidRPr="00414995">
        <w:rPr>
          <w:rtl/>
          <w:lang w:eastAsia="he-IL"/>
        </w:rPr>
        <w:t xml:space="preserve">), </w:t>
      </w:r>
      <w:r w:rsidR="007936F1" w:rsidRPr="00414995">
        <w:rPr>
          <w:rFonts w:hint="cs"/>
          <w:rtl/>
          <w:lang w:eastAsia="he-IL"/>
        </w:rPr>
        <w:t>באופן</w:t>
      </w:r>
      <w:r w:rsidR="007936F1" w:rsidRPr="00414995">
        <w:rPr>
          <w:rtl/>
          <w:lang w:eastAsia="he-IL"/>
        </w:rPr>
        <w:t xml:space="preserve"> </w:t>
      </w:r>
      <w:r w:rsidR="007936F1" w:rsidRPr="00414995">
        <w:rPr>
          <w:rFonts w:hint="cs"/>
          <w:rtl/>
          <w:lang w:eastAsia="he-IL"/>
        </w:rPr>
        <w:t>שיבטיח</w:t>
      </w:r>
      <w:r w:rsidR="007936F1" w:rsidRPr="00414995">
        <w:rPr>
          <w:rtl/>
          <w:lang w:eastAsia="he-IL"/>
        </w:rPr>
        <w:t xml:space="preserve"> </w:t>
      </w:r>
      <w:r w:rsidR="007936F1" w:rsidRPr="00414995">
        <w:rPr>
          <w:rFonts w:hint="cs"/>
          <w:rtl/>
          <w:lang w:eastAsia="he-IL"/>
        </w:rPr>
        <w:t>הלימה</w:t>
      </w:r>
      <w:r w:rsidR="007936F1" w:rsidRPr="00414995">
        <w:rPr>
          <w:rtl/>
          <w:lang w:eastAsia="he-IL"/>
        </w:rPr>
        <w:t xml:space="preserve"> </w:t>
      </w:r>
      <w:r w:rsidR="007936F1" w:rsidRPr="00414995">
        <w:rPr>
          <w:rFonts w:hint="cs"/>
          <w:rtl/>
          <w:lang w:eastAsia="he-IL"/>
        </w:rPr>
        <w:t>ראויה</w:t>
      </w:r>
      <w:r w:rsidR="007936F1" w:rsidRPr="00414995">
        <w:rPr>
          <w:rtl/>
          <w:lang w:eastAsia="he-IL"/>
        </w:rPr>
        <w:t xml:space="preserve"> </w:t>
      </w:r>
      <w:r w:rsidR="007936F1" w:rsidRPr="00414995">
        <w:rPr>
          <w:rFonts w:hint="cs"/>
          <w:rtl/>
          <w:lang w:eastAsia="he-IL"/>
        </w:rPr>
        <w:t>בין</w:t>
      </w:r>
      <w:r w:rsidR="007936F1" w:rsidRPr="00414995">
        <w:rPr>
          <w:rtl/>
          <w:lang w:eastAsia="he-IL"/>
        </w:rPr>
        <w:t xml:space="preserve"> </w:t>
      </w:r>
      <w:r w:rsidR="007936F1" w:rsidRPr="00414995">
        <w:rPr>
          <w:rFonts w:hint="cs"/>
          <w:rtl/>
          <w:lang w:eastAsia="he-IL"/>
        </w:rPr>
        <w:t>מידת</w:t>
      </w:r>
      <w:r w:rsidR="007936F1" w:rsidRPr="00414995">
        <w:rPr>
          <w:rtl/>
          <w:lang w:eastAsia="he-IL"/>
        </w:rPr>
        <w:t xml:space="preserve"> </w:t>
      </w:r>
      <w:r w:rsidR="007936F1" w:rsidRPr="00414995">
        <w:rPr>
          <w:rFonts w:hint="cs"/>
          <w:rtl/>
          <w:lang w:eastAsia="he-IL"/>
        </w:rPr>
        <w:t>האשמה</w:t>
      </w:r>
      <w:r w:rsidR="007936F1" w:rsidRPr="00414995">
        <w:rPr>
          <w:rtl/>
          <w:lang w:eastAsia="he-IL"/>
        </w:rPr>
        <w:t xml:space="preserve"> </w:t>
      </w:r>
      <w:r w:rsidR="007936F1" w:rsidRPr="00414995">
        <w:rPr>
          <w:rFonts w:hint="cs"/>
          <w:rtl/>
          <w:lang w:eastAsia="he-IL"/>
        </w:rPr>
        <w:t>של</w:t>
      </w:r>
      <w:r w:rsidR="007936F1" w:rsidRPr="00414995">
        <w:rPr>
          <w:rtl/>
          <w:lang w:eastAsia="he-IL"/>
        </w:rPr>
        <w:t xml:space="preserve"> </w:t>
      </w:r>
      <w:r w:rsidR="007936F1" w:rsidRPr="00414995">
        <w:rPr>
          <w:rFonts w:hint="cs"/>
          <w:rtl/>
          <w:lang w:eastAsia="he-IL"/>
        </w:rPr>
        <w:t>מבצע</w:t>
      </w:r>
      <w:r w:rsidR="007936F1" w:rsidRPr="00414995">
        <w:rPr>
          <w:rtl/>
          <w:lang w:eastAsia="he-IL"/>
        </w:rPr>
        <w:t xml:space="preserve"> </w:t>
      </w:r>
      <w:r w:rsidR="007936F1" w:rsidRPr="00414995">
        <w:rPr>
          <w:rFonts w:hint="cs"/>
          <w:rtl/>
          <w:lang w:eastAsia="he-IL"/>
        </w:rPr>
        <w:t>העבירה</w:t>
      </w:r>
      <w:r w:rsidR="007936F1" w:rsidRPr="00414995">
        <w:rPr>
          <w:rtl/>
          <w:lang w:eastAsia="he-IL"/>
        </w:rPr>
        <w:t xml:space="preserve"> </w:t>
      </w:r>
      <w:r w:rsidR="007936F1" w:rsidRPr="00414995">
        <w:rPr>
          <w:rFonts w:hint="cs"/>
          <w:rtl/>
          <w:lang w:eastAsia="he-IL"/>
        </w:rPr>
        <w:t>לעונש</w:t>
      </w:r>
      <w:r w:rsidR="007936F1" w:rsidRPr="00414995">
        <w:rPr>
          <w:rtl/>
          <w:lang w:eastAsia="he-IL"/>
        </w:rPr>
        <w:t xml:space="preserve"> </w:t>
      </w:r>
      <w:r w:rsidR="007936F1" w:rsidRPr="00414995">
        <w:rPr>
          <w:rFonts w:hint="cs"/>
          <w:rtl/>
          <w:lang w:eastAsia="he-IL"/>
        </w:rPr>
        <w:t>שיוטל</w:t>
      </w:r>
      <w:r w:rsidR="007936F1" w:rsidRPr="00414995">
        <w:rPr>
          <w:rtl/>
          <w:lang w:eastAsia="he-IL"/>
        </w:rPr>
        <w:t xml:space="preserve"> </w:t>
      </w:r>
      <w:r w:rsidR="007936F1" w:rsidRPr="00414995">
        <w:rPr>
          <w:rFonts w:hint="cs"/>
          <w:rtl/>
          <w:lang w:eastAsia="he-IL"/>
        </w:rPr>
        <w:t>עליו.</w:t>
      </w:r>
      <w:r w:rsidR="00CF4CDA" w:rsidRPr="00414995">
        <w:rPr>
          <w:rStyle w:val="a7"/>
          <w:rtl/>
          <w:lang w:eastAsia="he-IL"/>
        </w:rPr>
        <w:footnoteReference w:id="1"/>
      </w:r>
      <w:r w:rsidRPr="00414995">
        <w:rPr>
          <w:rFonts w:hint="cs"/>
          <w:rtl/>
          <w:lang w:eastAsia="he-IL"/>
        </w:rPr>
        <w:t xml:space="preserve"> </w:t>
      </w:r>
    </w:p>
    <w:p w:rsidR="00856304" w:rsidRPr="00414995" w:rsidRDefault="00856304" w:rsidP="00062035">
      <w:pPr>
        <w:rPr>
          <w:rtl/>
          <w:lang w:eastAsia="he-IL"/>
        </w:rPr>
      </w:pPr>
      <w:r w:rsidRPr="00414995">
        <w:rPr>
          <w:rFonts w:hint="cs"/>
          <w:rtl/>
          <w:lang w:eastAsia="he-IL"/>
        </w:rPr>
        <w:t>המסמך בוחן את מדרג ה</w:t>
      </w:r>
      <w:r w:rsidR="00062035">
        <w:rPr>
          <w:rFonts w:hint="cs"/>
          <w:rtl/>
          <w:lang w:eastAsia="he-IL"/>
        </w:rPr>
        <w:t>ענישה בעבירות ההמתה</w:t>
      </w:r>
      <w:r w:rsidRPr="00414995">
        <w:rPr>
          <w:rFonts w:hint="cs"/>
          <w:rtl/>
          <w:lang w:eastAsia="he-IL"/>
        </w:rPr>
        <w:t xml:space="preserve">, </w:t>
      </w:r>
      <w:r w:rsidR="00247940">
        <w:rPr>
          <w:rFonts w:hint="cs"/>
          <w:rtl/>
          <w:lang w:eastAsia="he-IL"/>
        </w:rPr>
        <w:t xml:space="preserve">לאור עקרונות הענישה של </w:t>
      </w:r>
      <w:r w:rsidRPr="00414995">
        <w:rPr>
          <w:rFonts w:hint="cs"/>
          <w:rtl/>
          <w:lang w:eastAsia="he-IL"/>
        </w:rPr>
        <w:t>המשפט העברי.</w:t>
      </w:r>
      <w:r w:rsidR="00247940">
        <w:rPr>
          <w:rFonts w:hint="cs"/>
          <w:rtl/>
          <w:lang w:eastAsia="he-IL"/>
        </w:rPr>
        <w:t xml:space="preserve"> </w:t>
      </w:r>
    </w:p>
    <w:p w:rsidR="00856304" w:rsidRPr="00414995" w:rsidRDefault="00856304" w:rsidP="00EF310C">
      <w:pPr>
        <w:rPr>
          <w:rtl/>
          <w:lang w:eastAsia="he-IL"/>
        </w:rPr>
      </w:pPr>
      <w:r w:rsidRPr="00414995">
        <w:rPr>
          <w:rFonts w:hint="cs"/>
          <w:rtl/>
          <w:lang w:eastAsia="he-IL"/>
        </w:rPr>
        <w:t xml:space="preserve">מן המסמך עולה </w:t>
      </w:r>
      <w:r w:rsidR="00EF310C" w:rsidRPr="00414995">
        <w:rPr>
          <w:rFonts w:hint="cs"/>
          <w:rtl/>
          <w:lang w:eastAsia="he-IL"/>
        </w:rPr>
        <w:t>שעל פי הדין העברי</w:t>
      </w:r>
      <w:r w:rsidRPr="00414995">
        <w:rPr>
          <w:rFonts w:hint="cs"/>
          <w:rtl/>
          <w:lang w:eastAsia="he-IL"/>
        </w:rPr>
        <w:t xml:space="preserve">: </w:t>
      </w:r>
    </w:p>
    <w:p w:rsidR="00856304" w:rsidRPr="00414995" w:rsidRDefault="00856304" w:rsidP="00AD332B">
      <w:pPr>
        <w:pStyle w:val="a3"/>
        <w:numPr>
          <w:ilvl w:val="0"/>
          <w:numId w:val="29"/>
        </w:numPr>
        <w:spacing w:before="0" w:after="0"/>
        <w:ind w:left="714" w:hanging="357"/>
        <w:rPr>
          <w:b/>
          <w:lang w:eastAsia="he-IL"/>
        </w:rPr>
      </w:pPr>
      <w:r w:rsidRPr="00414995">
        <w:rPr>
          <w:rFonts w:hint="cs"/>
          <w:b/>
          <w:rtl/>
          <w:lang w:eastAsia="he-IL"/>
        </w:rPr>
        <w:t xml:space="preserve">דירוג אשמתם של הגורמים למותו של אדם חייב לשקף את </w:t>
      </w:r>
      <w:r w:rsidR="00EF310C" w:rsidRPr="00414995">
        <w:rPr>
          <w:rFonts w:hint="cs"/>
          <w:b/>
          <w:rtl/>
          <w:lang w:eastAsia="he-IL"/>
        </w:rPr>
        <w:t>חומרתם של המעשים, בהתחשב בערך של קדושת חיי האדם מחד, ובצורך להבטיח הלימה בין אשמתו של מבצע העבירה לחומרת העונש שיוטל עליו</w:t>
      </w:r>
      <w:r w:rsidR="007936F1" w:rsidRPr="00414995">
        <w:rPr>
          <w:rFonts w:hint="cs"/>
          <w:b/>
          <w:rtl/>
          <w:lang w:eastAsia="he-IL"/>
        </w:rPr>
        <w:t>, מאידך</w:t>
      </w:r>
      <w:r w:rsidR="00EF310C" w:rsidRPr="00414995">
        <w:rPr>
          <w:rFonts w:hint="cs"/>
          <w:b/>
          <w:rtl/>
          <w:lang w:eastAsia="he-IL"/>
        </w:rPr>
        <w:t>.</w:t>
      </w:r>
    </w:p>
    <w:p w:rsidR="00EF310C" w:rsidRPr="00247940" w:rsidRDefault="00247940" w:rsidP="00247940">
      <w:pPr>
        <w:pStyle w:val="a3"/>
        <w:numPr>
          <w:ilvl w:val="0"/>
          <w:numId w:val="29"/>
        </w:numPr>
        <w:spacing w:before="0" w:after="0"/>
        <w:ind w:left="714" w:hanging="357"/>
        <w:rPr>
          <w:b/>
          <w:lang w:eastAsia="he-IL"/>
        </w:rPr>
      </w:pPr>
      <w:r w:rsidRPr="00247940">
        <w:rPr>
          <w:rFonts w:hint="cs"/>
          <w:b/>
          <w:rtl/>
          <w:lang w:eastAsia="he-IL"/>
        </w:rPr>
        <w:t>מי שגרם ל</w:t>
      </w:r>
      <w:r w:rsidR="00EF310C" w:rsidRPr="00247940">
        <w:rPr>
          <w:rFonts w:hint="cs"/>
          <w:b/>
          <w:rtl/>
          <w:lang w:eastAsia="he-IL"/>
        </w:rPr>
        <w:t xml:space="preserve">מותו של אדם </w:t>
      </w:r>
      <w:r w:rsidRPr="00247940">
        <w:rPr>
          <w:rFonts w:hint="cs"/>
          <w:b/>
          <w:rtl/>
          <w:lang w:eastAsia="he-IL"/>
        </w:rPr>
        <w:t xml:space="preserve">ויכול היה לצפות שקיים סיכוי סביר שבמעשיו יגרום לכך, דינו כרוצח לכל דבר ועניין, בין אם רצה במותו של האדם שהומת, בין אם לא רצה בכך ובין אם היה אדיש לנוכח האפשרות שמעשיו יגרמו למותו של אדם. </w:t>
      </w:r>
      <w:r w:rsidR="00EF310C" w:rsidRPr="00247940">
        <w:rPr>
          <w:rFonts w:hint="cs"/>
          <w:b/>
          <w:rtl/>
          <w:lang w:eastAsia="he-IL"/>
        </w:rPr>
        <w:t xml:space="preserve"> </w:t>
      </w:r>
    </w:p>
    <w:p w:rsidR="00EF310C" w:rsidRPr="00414995" w:rsidRDefault="00EF310C" w:rsidP="00AD332B">
      <w:pPr>
        <w:pStyle w:val="a3"/>
        <w:numPr>
          <w:ilvl w:val="0"/>
          <w:numId w:val="29"/>
        </w:numPr>
        <w:spacing w:before="0" w:after="0"/>
        <w:ind w:left="714" w:hanging="357"/>
        <w:rPr>
          <w:b/>
          <w:lang w:eastAsia="he-IL"/>
        </w:rPr>
      </w:pPr>
      <w:r w:rsidRPr="00414995">
        <w:rPr>
          <w:rFonts w:hint="cs"/>
          <w:b/>
          <w:rtl/>
          <w:lang w:eastAsia="he-IL"/>
        </w:rPr>
        <w:t>מן הראוי להבחין בין העבירה של גרימת מוות ברשלנות לבין העבירה של גרימת מוות ברשלנות בנסיבות מחמירות. ואולם, בניגוד להצעת החוק, התולה את המעבר מ"רשלנות" גרידא ל"רשלנות בנסיבות מחמירות" בקיומם של ש</w:t>
      </w:r>
      <w:r w:rsidRPr="00414995">
        <w:rPr>
          <w:rFonts w:hint="cs"/>
          <w:rtl/>
        </w:rPr>
        <w:t xml:space="preserve">ני תנאים מצטברים: היעדר חוקיות וסטייה ניכרת מהתנהגות סבירה, הדין העברי רואה בתנאים אלו תנאים חלופיים, שקיומו של כל אחד מהם בפני עצמו מצדיק החמרה בענישה. </w:t>
      </w:r>
    </w:p>
    <w:p w:rsidR="00E4117C" w:rsidRPr="00414995" w:rsidRDefault="007936F1" w:rsidP="00260D86">
      <w:pPr>
        <w:pStyle w:val="a3"/>
        <w:numPr>
          <w:ilvl w:val="0"/>
          <w:numId w:val="29"/>
        </w:numPr>
        <w:spacing w:before="0" w:after="0"/>
        <w:ind w:left="714" w:hanging="357"/>
        <w:rPr>
          <w:lang w:eastAsia="he-IL"/>
        </w:rPr>
      </w:pPr>
      <w:r w:rsidRPr="00414995">
        <w:rPr>
          <w:rFonts w:hint="cs"/>
          <w:rtl/>
          <w:lang w:eastAsia="he-IL"/>
        </w:rPr>
        <w:t xml:space="preserve">ראוי להחמיר בעונשו של מי שביצע את מעשה הרצח </w:t>
      </w:r>
      <w:r w:rsidRPr="00414995">
        <w:rPr>
          <w:rtl/>
          <w:lang w:eastAsia="he-IL"/>
        </w:rPr>
        <w:t>לאחר תכנון או לאחר הליך ממשי של שקילה וגיבוש החלטה להמית</w:t>
      </w:r>
      <w:r w:rsidRPr="00414995">
        <w:rPr>
          <w:rFonts w:hint="cs"/>
          <w:rtl/>
          <w:lang w:eastAsia="he-IL"/>
        </w:rPr>
        <w:t xml:space="preserve">, מבעונשו של מי שביצע את מעשה הרצח בעקבות קנטור, אובייקטיבי או סובייקטיבי. </w:t>
      </w:r>
    </w:p>
    <w:p w:rsidR="00E4117C" w:rsidRPr="00414995" w:rsidRDefault="007936F1" w:rsidP="001E3940">
      <w:pPr>
        <w:pStyle w:val="a3"/>
        <w:numPr>
          <w:ilvl w:val="0"/>
          <w:numId w:val="29"/>
        </w:numPr>
        <w:spacing w:before="0" w:after="0"/>
        <w:ind w:left="714" w:hanging="357"/>
        <w:rPr>
          <w:lang w:eastAsia="he-IL"/>
        </w:rPr>
      </w:pPr>
      <w:r w:rsidRPr="00414995">
        <w:rPr>
          <w:rFonts w:hint="cs"/>
          <w:rtl/>
          <w:lang w:eastAsia="he-IL"/>
        </w:rPr>
        <w:t xml:space="preserve">ראוי </w:t>
      </w:r>
      <w:r w:rsidR="00E4117C" w:rsidRPr="00414995">
        <w:rPr>
          <w:rFonts w:hint="cs"/>
          <w:rtl/>
          <w:lang w:eastAsia="he-IL"/>
        </w:rPr>
        <w:t>להחמיר בעונשו של רוצח שבמעשה הרצח ביקש ל</w:t>
      </w:r>
      <w:r w:rsidR="00E4117C" w:rsidRPr="00414995">
        <w:rPr>
          <w:rtl/>
          <w:lang w:eastAsia="he-IL"/>
        </w:rPr>
        <w:t>אפשר ביצוע של עבירה</w:t>
      </w:r>
      <w:r w:rsidR="00E4117C" w:rsidRPr="00414995">
        <w:rPr>
          <w:rFonts w:hint="cs"/>
          <w:rtl/>
          <w:lang w:eastAsia="he-IL"/>
        </w:rPr>
        <w:t xml:space="preserve"> אחרת</w:t>
      </w:r>
      <w:r w:rsidR="00E4117C" w:rsidRPr="00414995">
        <w:rPr>
          <w:rtl/>
          <w:lang w:eastAsia="he-IL"/>
        </w:rPr>
        <w:t xml:space="preserve"> או לאפשר לאדם לחמוק מן הדין. </w:t>
      </w:r>
    </w:p>
    <w:p w:rsidR="00E4117C" w:rsidRPr="00414995" w:rsidRDefault="007936F1" w:rsidP="0041329A">
      <w:pPr>
        <w:pStyle w:val="a3"/>
        <w:numPr>
          <w:ilvl w:val="0"/>
          <w:numId w:val="29"/>
        </w:numPr>
        <w:spacing w:before="0" w:after="0"/>
        <w:ind w:left="714" w:hanging="357"/>
        <w:rPr>
          <w:lang w:eastAsia="he-IL"/>
        </w:rPr>
      </w:pPr>
      <w:r w:rsidRPr="00414995">
        <w:rPr>
          <w:rFonts w:hint="cs"/>
          <w:rtl/>
          <w:lang w:eastAsia="he-IL"/>
        </w:rPr>
        <w:t xml:space="preserve">ראוי </w:t>
      </w:r>
      <w:r w:rsidR="00E4117C" w:rsidRPr="00414995">
        <w:rPr>
          <w:rFonts w:hint="cs"/>
          <w:rtl/>
          <w:lang w:eastAsia="he-IL"/>
        </w:rPr>
        <w:t xml:space="preserve">להחמיר בעונשו של רוצח שמניעיו אידיאולוגיים, פוליטיים, טרוריסטיים או גזעניים, ובכלל זה, גם בעונשו של רוצח שביצע את הרצח כדי </w:t>
      </w:r>
      <w:r w:rsidR="00E4117C" w:rsidRPr="00414995">
        <w:rPr>
          <w:rtl/>
          <w:lang w:eastAsia="he-IL"/>
        </w:rPr>
        <w:t>לכפות אורחות חיים על ציבור</w:t>
      </w:r>
      <w:r w:rsidR="00E4117C" w:rsidRPr="00414995">
        <w:rPr>
          <w:rFonts w:hint="cs"/>
          <w:rtl/>
          <w:lang w:eastAsia="he-IL"/>
        </w:rPr>
        <w:t>.</w:t>
      </w:r>
    </w:p>
    <w:p w:rsidR="00EF310C" w:rsidRPr="00414995" w:rsidRDefault="007936F1" w:rsidP="00247940">
      <w:pPr>
        <w:pStyle w:val="a3"/>
        <w:numPr>
          <w:ilvl w:val="0"/>
          <w:numId w:val="29"/>
        </w:numPr>
        <w:spacing w:before="0" w:after="0"/>
        <w:ind w:left="714" w:hanging="357"/>
        <w:rPr>
          <w:lang w:eastAsia="he-IL"/>
        </w:rPr>
      </w:pPr>
      <w:r w:rsidRPr="00414995">
        <w:rPr>
          <w:rFonts w:hint="cs"/>
          <w:rtl/>
          <w:lang w:eastAsia="he-IL"/>
        </w:rPr>
        <w:t xml:space="preserve">ראוי </w:t>
      </w:r>
      <w:r w:rsidR="00E4117C" w:rsidRPr="00414995">
        <w:rPr>
          <w:rFonts w:hint="cs"/>
          <w:rtl/>
          <w:lang w:eastAsia="he-IL"/>
        </w:rPr>
        <w:t>להחמיר בעונשו של רוצח שביצע את מעשה הרצח תוך שימוש באכזריות רבה, סיכון הרבים או פגיעה בקטינים או חסרי ישע.</w:t>
      </w:r>
      <w:r w:rsidR="00E4117C" w:rsidRPr="00414995">
        <w:rPr>
          <w:rtl/>
          <w:lang w:eastAsia="he-IL"/>
        </w:rPr>
        <w:t xml:space="preserve"> </w:t>
      </w:r>
      <w:r w:rsidR="00E4117C" w:rsidRPr="00414995">
        <w:rPr>
          <w:rFonts w:hint="cs"/>
          <w:rtl/>
          <w:lang w:eastAsia="he-IL"/>
        </w:rPr>
        <w:t xml:space="preserve">  </w:t>
      </w:r>
    </w:p>
    <w:p w:rsidR="00E4117C" w:rsidRPr="00414995" w:rsidRDefault="007936F1" w:rsidP="0041329A">
      <w:pPr>
        <w:pStyle w:val="a3"/>
        <w:numPr>
          <w:ilvl w:val="0"/>
          <w:numId w:val="29"/>
        </w:numPr>
        <w:spacing w:before="0" w:after="0"/>
        <w:ind w:left="714" w:hanging="357"/>
        <w:rPr>
          <w:lang w:eastAsia="he-IL"/>
        </w:rPr>
      </w:pPr>
      <w:r w:rsidRPr="00247940">
        <w:rPr>
          <w:rFonts w:hint="cs"/>
          <w:spacing w:val="-4"/>
          <w:rtl/>
          <w:lang w:eastAsia="he-IL"/>
        </w:rPr>
        <w:t>ראוי</w:t>
      </w:r>
      <w:r w:rsidRPr="00247940">
        <w:rPr>
          <w:spacing w:val="-4"/>
          <w:rtl/>
          <w:lang w:eastAsia="he-IL"/>
        </w:rPr>
        <w:t xml:space="preserve"> </w:t>
      </w:r>
      <w:r w:rsidR="00E4117C" w:rsidRPr="00247940">
        <w:rPr>
          <w:rFonts w:hint="cs"/>
          <w:spacing w:val="-4"/>
          <w:rtl/>
          <w:lang w:eastAsia="he-IL"/>
        </w:rPr>
        <w:t>להחמיר</w:t>
      </w:r>
      <w:r w:rsidR="00E4117C" w:rsidRPr="00247940">
        <w:rPr>
          <w:spacing w:val="-4"/>
          <w:rtl/>
          <w:lang w:eastAsia="he-IL"/>
        </w:rPr>
        <w:t xml:space="preserve"> </w:t>
      </w:r>
      <w:r w:rsidR="00E4117C" w:rsidRPr="00247940">
        <w:rPr>
          <w:rFonts w:hint="cs"/>
          <w:spacing w:val="-4"/>
          <w:rtl/>
          <w:lang w:eastAsia="he-IL"/>
        </w:rPr>
        <w:t>בעונשו</w:t>
      </w:r>
      <w:r w:rsidR="00E4117C" w:rsidRPr="00247940">
        <w:rPr>
          <w:spacing w:val="-4"/>
          <w:rtl/>
          <w:lang w:eastAsia="he-IL"/>
        </w:rPr>
        <w:t xml:space="preserve"> </w:t>
      </w:r>
      <w:r w:rsidR="00E4117C" w:rsidRPr="00247940">
        <w:rPr>
          <w:rFonts w:hint="cs"/>
          <w:spacing w:val="-4"/>
          <w:rtl/>
          <w:lang w:eastAsia="he-IL"/>
        </w:rPr>
        <w:t>של</w:t>
      </w:r>
      <w:r w:rsidR="00E4117C" w:rsidRPr="00247940">
        <w:rPr>
          <w:spacing w:val="-4"/>
          <w:rtl/>
          <w:lang w:eastAsia="he-IL"/>
        </w:rPr>
        <w:t xml:space="preserve"> </w:t>
      </w:r>
      <w:r w:rsidR="00E4117C" w:rsidRPr="00247940">
        <w:rPr>
          <w:rFonts w:hint="cs"/>
          <w:spacing w:val="-4"/>
          <w:rtl/>
          <w:lang w:eastAsia="he-IL"/>
        </w:rPr>
        <w:t>רוצח</w:t>
      </w:r>
      <w:r w:rsidR="00E4117C" w:rsidRPr="00247940">
        <w:rPr>
          <w:spacing w:val="-4"/>
          <w:rtl/>
          <w:lang w:eastAsia="he-IL"/>
        </w:rPr>
        <w:t xml:space="preserve"> </w:t>
      </w:r>
      <w:r w:rsidR="00E4117C" w:rsidRPr="00247940">
        <w:rPr>
          <w:rFonts w:hint="cs"/>
          <w:spacing w:val="-4"/>
          <w:rtl/>
          <w:lang w:eastAsia="he-IL"/>
        </w:rPr>
        <w:t>שבמעשה</w:t>
      </w:r>
      <w:r w:rsidR="00E4117C" w:rsidRPr="00247940">
        <w:rPr>
          <w:spacing w:val="-4"/>
          <w:rtl/>
          <w:lang w:eastAsia="he-IL"/>
        </w:rPr>
        <w:t xml:space="preserve"> </w:t>
      </w:r>
      <w:r w:rsidR="00E4117C" w:rsidRPr="00247940">
        <w:rPr>
          <w:rFonts w:hint="cs"/>
          <w:spacing w:val="-4"/>
          <w:rtl/>
          <w:lang w:eastAsia="he-IL"/>
        </w:rPr>
        <w:t>הרצח</w:t>
      </w:r>
      <w:r w:rsidR="00E4117C" w:rsidRPr="00247940">
        <w:rPr>
          <w:spacing w:val="-4"/>
          <w:rtl/>
          <w:lang w:eastAsia="he-IL"/>
        </w:rPr>
        <w:t xml:space="preserve"> </w:t>
      </w:r>
      <w:r w:rsidR="00E4117C" w:rsidRPr="00247940">
        <w:rPr>
          <w:rFonts w:hint="cs"/>
          <w:spacing w:val="-4"/>
          <w:rtl/>
          <w:lang w:eastAsia="he-IL"/>
        </w:rPr>
        <w:t>המית</w:t>
      </w:r>
      <w:r w:rsidR="00E4117C" w:rsidRPr="00247940">
        <w:rPr>
          <w:spacing w:val="-4"/>
          <w:rtl/>
          <w:lang w:eastAsia="he-IL"/>
        </w:rPr>
        <w:t xml:space="preserve"> </w:t>
      </w:r>
      <w:r w:rsidR="00E4117C" w:rsidRPr="00247940">
        <w:rPr>
          <w:rFonts w:hint="cs"/>
          <w:spacing w:val="-4"/>
          <w:rtl/>
          <w:lang w:eastAsia="he-IL"/>
        </w:rPr>
        <w:t>את</w:t>
      </w:r>
      <w:r w:rsidR="00E4117C" w:rsidRPr="00247940">
        <w:rPr>
          <w:spacing w:val="-4"/>
          <w:rtl/>
          <w:lang w:eastAsia="he-IL"/>
        </w:rPr>
        <w:t xml:space="preserve"> </w:t>
      </w:r>
      <w:r w:rsidR="00E4117C" w:rsidRPr="00247940">
        <w:rPr>
          <w:rFonts w:hint="cs"/>
          <w:spacing w:val="-4"/>
          <w:rtl/>
          <w:lang w:eastAsia="he-IL"/>
        </w:rPr>
        <w:t>אחד</w:t>
      </w:r>
      <w:r w:rsidR="00E4117C" w:rsidRPr="00247940">
        <w:rPr>
          <w:spacing w:val="-4"/>
          <w:rtl/>
          <w:lang w:eastAsia="he-IL"/>
        </w:rPr>
        <w:t xml:space="preserve"> </w:t>
      </w:r>
      <w:r w:rsidR="00E4117C" w:rsidRPr="00247940">
        <w:rPr>
          <w:rFonts w:hint="cs"/>
          <w:spacing w:val="-4"/>
          <w:rtl/>
          <w:lang w:eastAsia="he-IL"/>
        </w:rPr>
        <w:t>מהוריו</w:t>
      </w:r>
      <w:r w:rsidR="00E4117C" w:rsidRPr="00247940">
        <w:rPr>
          <w:spacing w:val="-4"/>
          <w:rtl/>
          <w:lang w:eastAsia="he-IL"/>
        </w:rPr>
        <w:t xml:space="preserve">, </w:t>
      </w:r>
      <w:r w:rsidR="00E4117C" w:rsidRPr="00247940">
        <w:rPr>
          <w:rFonts w:hint="cs"/>
          <w:spacing w:val="-4"/>
          <w:rtl/>
          <w:lang w:eastAsia="he-IL"/>
        </w:rPr>
        <w:t>את</w:t>
      </w:r>
      <w:r w:rsidR="00E4117C" w:rsidRPr="00247940">
        <w:rPr>
          <w:spacing w:val="-4"/>
          <w:rtl/>
          <w:lang w:eastAsia="he-IL"/>
        </w:rPr>
        <w:t xml:space="preserve"> </w:t>
      </w:r>
      <w:r w:rsidR="00E4117C" w:rsidRPr="00247940">
        <w:rPr>
          <w:rFonts w:hint="cs"/>
          <w:spacing w:val="-4"/>
          <w:rtl/>
          <w:lang w:eastAsia="he-IL"/>
        </w:rPr>
        <w:t>סבו</w:t>
      </w:r>
      <w:r w:rsidR="00E4117C" w:rsidRPr="00247940">
        <w:rPr>
          <w:spacing w:val="-4"/>
          <w:rtl/>
          <w:lang w:eastAsia="he-IL"/>
        </w:rPr>
        <w:t xml:space="preserve"> </w:t>
      </w:r>
      <w:r w:rsidR="00E4117C" w:rsidRPr="00247940">
        <w:rPr>
          <w:rFonts w:hint="cs"/>
          <w:spacing w:val="-4"/>
          <w:rtl/>
          <w:lang w:eastAsia="he-IL"/>
        </w:rPr>
        <w:t>או</w:t>
      </w:r>
      <w:r w:rsidR="00E4117C" w:rsidRPr="00247940">
        <w:rPr>
          <w:spacing w:val="-4"/>
          <w:rtl/>
          <w:lang w:eastAsia="he-IL"/>
        </w:rPr>
        <w:t xml:space="preserve"> </w:t>
      </w:r>
      <w:r w:rsidR="00E4117C" w:rsidRPr="00247940">
        <w:rPr>
          <w:rFonts w:hint="cs"/>
          <w:spacing w:val="-4"/>
          <w:rtl/>
          <w:lang w:eastAsia="he-IL"/>
        </w:rPr>
        <w:t>את</w:t>
      </w:r>
      <w:r w:rsidR="00E4117C" w:rsidRPr="00247940">
        <w:rPr>
          <w:spacing w:val="-4"/>
          <w:rtl/>
          <w:lang w:eastAsia="he-IL"/>
        </w:rPr>
        <w:t xml:space="preserve"> </w:t>
      </w:r>
      <w:r w:rsidR="00E4117C" w:rsidRPr="00247940">
        <w:rPr>
          <w:rFonts w:hint="cs"/>
          <w:spacing w:val="-4"/>
          <w:rtl/>
          <w:lang w:eastAsia="he-IL"/>
        </w:rPr>
        <w:t>סבתו</w:t>
      </w:r>
      <w:r w:rsidR="00E4117C" w:rsidRPr="00414995">
        <w:rPr>
          <w:rFonts w:hint="cs"/>
          <w:rtl/>
          <w:lang w:eastAsia="he-IL"/>
        </w:rPr>
        <w:t>.</w:t>
      </w:r>
    </w:p>
    <w:p w:rsidR="00247940" w:rsidRDefault="007936F1" w:rsidP="00247940">
      <w:pPr>
        <w:pStyle w:val="a3"/>
        <w:numPr>
          <w:ilvl w:val="0"/>
          <w:numId w:val="29"/>
        </w:numPr>
        <w:spacing w:before="0" w:after="0"/>
        <w:ind w:left="714" w:hanging="357"/>
        <w:rPr>
          <w:lang w:eastAsia="he-IL"/>
        </w:rPr>
      </w:pPr>
      <w:r w:rsidRPr="00414995">
        <w:rPr>
          <w:rFonts w:hint="cs"/>
          <w:rtl/>
          <w:lang w:eastAsia="he-IL"/>
        </w:rPr>
        <w:t xml:space="preserve">ראוי </w:t>
      </w:r>
      <w:r w:rsidR="00AD332B" w:rsidRPr="00414995">
        <w:rPr>
          <w:rFonts w:hint="cs"/>
          <w:rtl/>
          <w:lang w:eastAsia="he-IL"/>
        </w:rPr>
        <w:t xml:space="preserve">להקל </w:t>
      </w:r>
      <w:r w:rsidR="00247940" w:rsidRPr="00247940">
        <w:rPr>
          <w:rFonts w:hint="cs"/>
          <w:rtl/>
          <w:lang w:eastAsia="he-IL"/>
        </w:rPr>
        <w:t>במידת מה בעונשו של מי שביצע את מעשה הרצח בעקבות קנטור סובייקטיבי, שבעקבותיו הוא בעקבות התקשה במידה ניכרת לשלוט בעצמו</w:t>
      </w:r>
      <w:r w:rsidR="00247940" w:rsidRPr="00414995">
        <w:rPr>
          <w:rFonts w:hint="cs"/>
          <w:rtl/>
          <w:lang w:eastAsia="he-IL"/>
        </w:rPr>
        <w:t>.</w:t>
      </w:r>
    </w:p>
    <w:p w:rsidR="002E3CEA" w:rsidRPr="00414995" w:rsidRDefault="007936F1" w:rsidP="0041329A">
      <w:pPr>
        <w:pStyle w:val="a3"/>
        <w:numPr>
          <w:ilvl w:val="0"/>
          <w:numId w:val="29"/>
        </w:numPr>
        <w:spacing w:before="0" w:after="0"/>
        <w:ind w:left="714" w:hanging="357"/>
        <w:rPr>
          <w:b/>
          <w:bCs/>
          <w:szCs w:val="28"/>
          <w:lang w:eastAsia="he-IL"/>
        </w:rPr>
      </w:pPr>
      <w:r w:rsidRPr="00414995">
        <w:rPr>
          <w:rFonts w:hint="cs"/>
          <w:rtl/>
          <w:lang w:eastAsia="he-IL"/>
        </w:rPr>
        <w:lastRenderedPageBreak/>
        <w:t xml:space="preserve">ראוי </w:t>
      </w:r>
      <w:r w:rsidR="00AD332B" w:rsidRPr="00414995">
        <w:rPr>
          <w:rFonts w:hint="cs"/>
          <w:rtl/>
          <w:lang w:eastAsia="he-IL"/>
        </w:rPr>
        <w:t xml:space="preserve">להקל בעונשו של מי שעשה שימוש </w:t>
      </w:r>
      <w:r w:rsidR="00AD332B" w:rsidRPr="00414995">
        <w:rPr>
          <w:rtl/>
          <w:lang w:eastAsia="he-IL"/>
        </w:rPr>
        <w:t>בכוח קטלני בלתי מידתי, אך האמין בתום לב שהיה צריך</w:t>
      </w:r>
      <w:r w:rsidR="00AD332B" w:rsidRPr="00414995">
        <w:rPr>
          <w:rFonts w:hint="cs"/>
          <w:rtl/>
          <w:lang w:eastAsia="he-IL"/>
        </w:rPr>
        <w:t xml:space="preserve"> להשתמש בכוח שכזה כדי להגן על עצמו או על זולתו.</w:t>
      </w:r>
      <w:r w:rsidR="002E3CEA" w:rsidRPr="00414995">
        <w:rPr>
          <w:b/>
          <w:rtl/>
          <w:lang w:eastAsia="he-IL"/>
        </w:rPr>
        <w:br w:type="page"/>
      </w:r>
    </w:p>
    <w:p w:rsidR="004F7430" w:rsidRPr="00414995" w:rsidRDefault="004F7430" w:rsidP="004F7430">
      <w:pPr>
        <w:pStyle w:val="1"/>
        <w:numPr>
          <w:ilvl w:val="0"/>
          <w:numId w:val="17"/>
        </w:numPr>
        <w:bidi/>
        <w:spacing w:after="120"/>
        <w:ind w:left="357" w:hanging="357"/>
        <w:rPr>
          <w:rFonts w:ascii="Times New Roman" w:hAnsi="Times New Roman"/>
          <w:b/>
          <w:kern w:val="0"/>
          <w:sz w:val="24"/>
          <w:rtl/>
          <w:lang w:eastAsia="he-IL"/>
        </w:rPr>
      </w:pPr>
      <w:r w:rsidRPr="00414995">
        <w:rPr>
          <w:rFonts w:ascii="Times New Roman" w:hAnsi="Times New Roman" w:hint="cs"/>
          <w:b/>
          <w:kern w:val="0"/>
          <w:sz w:val="24"/>
          <w:rtl/>
          <w:lang w:eastAsia="he-IL"/>
        </w:rPr>
        <w:lastRenderedPageBreak/>
        <w:t>רקע כללי</w:t>
      </w:r>
    </w:p>
    <w:p w:rsidR="007F2BF1" w:rsidRPr="00414995" w:rsidRDefault="00E93D19" w:rsidP="002855B5">
      <w:pPr>
        <w:rPr>
          <w:rtl/>
          <w:lang w:eastAsia="he-IL"/>
        </w:rPr>
      </w:pPr>
      <w:r w:rsidRPr="00414995">
        <w:rPr>
          <w:rFonts w:hint="cs"/>
          <w:rtl/>
          <w:lang w:eastAsia="he-IL"/>
        </w:rPr>
        <w:t>בפרשת ביטון</w:t>
      </w:r>
      <w:r w:rsidR="002855B5" w:rsidRPr="00414995">
        <w:rPr>
          <w:rStyle w:val="a7"/>
          <w:rtl/>
          <w:lang w:eastAsia="he-IL"/>
        </w:rPr>
        <w:footnoteReference w:id="2"/>
      </w:r>
      <w:r w:rsidRPr="00414995">
        <w:rPr>
          <w:rFonts w:hint="cs"/>
          <w:rtl/>
          <w:lang w:eastAsia="he-IL"/>
        </w:rPr>
        <w:t xml:space="preserve"> קרא נשיא בית המשפט העליון (כתוארו אז), השופט אהרון ברק, למחוקק, ל</w:t>
      </w:r>
      <w:r w:rsidR="00230BD7" w:rsidRPr="00414995">
        <w:rPr>
          <w:rFonts w:hint="cs"/>
          <w:rtl/>
          <w:lang w:eastAsia="he-IL"/>
        </w:rPr>
        <w:t>נסח מחדש את פרק עבירות ההמתה שב</w:t>
      </w:r>
      <w:r w:rsidR="00230BD7" w:rsidRPr="00414995">
        <w:rPr>
          <w:rtl/>
          <w:lang w:eastAsia="he-IL"/>
        </w:rPr>
        <w:t>סימן</w:t>
      </w:r>
      <w:r w:rsidR="00230BD7" w:rsidRPr="00414995">
        <w:rPr>
          <w:rFonts w:hint="cs"/>
          <w:rtl/>
          <w:lang w:eastAsia="he-IL"/>
        </w:rPr>
        <w:t xml:space="preserve"> </w:t>
      </w:r>
      <w:r w:rsidR="00230BD7" w:rsidRPr="00414995">
        <w:rPr>
          <w:rtl/>
          <w:lang w:eastAsia="he-IL"/>
        </w:rPr>
        <w:t xml:space="preserve">א' </w:t>
      </w:r>
      <w:r w:rsidR="00230BD7" w:rsidRPr="00414995">
        <w:rPr>
          <w:rFonts w:hint="cs"/>
          <w:rtl/>
          <w:lang w:eastAsia="he-IL"/>
        </w:rPr>
        <w:t xml:space="preserve">של </w:t>
      </w:r>
      <w:r w:rsidR="00230BD7" w:rsidRPr="00414995">
        <w:rPr>
          <w:rtl/>
          <w:lang w:eastAsia="he-IL"/>
        </w:rPr>
        <w:t>פרק י' לחוק העונשין, התשל"ז</w:t>
      </w:r>
      <w:r w:rsidR="00230BD7" w:rsidRPr="00414995">
        <w:rPr>
          <w:rFonts w:hint="cs"/>
          <w:rtl/>
          <w:lang w:eastAsia="he-IL"/>
        </w:rPr>
        <w:t>-</w:t>
      </w:r>
      <w:r w:rsidR="00230BD7" w:rsidRPr="00414995">
        <w:rPr>
          <w:rtl/>
          <w:lang w:eastAsia="he-IL"/>
        </w:rPr>
        <w:t>1977</w:t>
      </w:r>
      <w:r w:rsidR="00230BD7" w:rsidRPr="00414995">
        <w:rPr>
          <w:rFonts w:hint="cs"/>
          <w:rtl/>
          <w:lang w:eastAsia="he-IL"/>
        </w:rPr>
        <w:t xml:space="preserve"> (להלן: חוק העונשין)</w:t>
      </w:r>
      <w:r w:rsidR="007F2BF1" w:rsidRPr="00414995">
        <w:rPr>
          <w:rFonts w:hint="cs"/>
          <w:rtl/>
          <w:lang w:eastAsia="he-IL"/>
        </w:rPr>
        <w:t xml:space="preserve">. קריאה זו ביטאה את מורת רוחם של שופטי ישראל לנוכח היקף התחולה של כל אחת מעבירות ההמתה שבסימן זה, שלא אחת, לא ביטא כראוי את מידת האשמה שיש למבצע העבירה, דבר שהקשה על השופטים להתאים את הענישה לחומרתן של העבירות.    </w:t>
      </w:r>
    </w:p>
    <w:p w:rsidR="00E93D19" w:rsidRPr="00414995" w:rsidRDefault="007F2BF1" w:rsidP="00062035">
      <w:pPr>
        <w:rPr>
          <w:rtl/>
          <w:lang w:eastAsia="he-IL"/>
        </w:rPr>
      </w:pPr>
      <w:r w:rsidRPr="00414995">
        <w:rPr>
          <w:rFonts w:hint="cs"/>
          <w:rtl/>
          <w:lang w:eastAsia="he-IL"/>
        </w:rPr>
        <w:t>ב</w:t>
      </w:r>
      <w:r w:rsidR="00771B13" w:rsidRPr="00414995">
        <w:rPr>
          <w:rFonts w:hint="cs"/>
          <w:rtl/>
          <w:lang w:eastAsia="he-IL"/>
        </w:rPr>
        <w:t xml:space="preserve">עקבות הביקורת האמורה, </w:t>
      </w:r>
      <w:r w:rsidR="00E93D19" w:rsidRPr="00414995">
        <w:rPr>
          <w:rFonts w:hint="cs"/>
          <w:rtl/>
          <w:lang w:eastAsia="he-IL"/>
        </w:rPr>
        <w:t>מינה שר המשפטים</w:t>
      </w:r>
      <w:r w:rsidR="00062035">
        <w:rPr>
          <w:rFonts w:hint="cs"/>
          <w:rtl/>
          <w:lang w:eastAsia="he-IL"/>
        </w:rPr>
        <w:t xml:space="preserve"> דאז, פרופ' דניאל פרידמן,</w:t>
      </w:r>
      <w:r w:rsidR="00E93D19" w:rsidRPr="00414995">
        <w:rPr>
          <w:rFonts w:hint="cs"/>
          <w:rtl/>
          <w:lang w:eastAsia="he-IL"/>
        </w:rPr>
        <w:t xml:space="preserve"> צוות מיוחד בראשותו של פרופ' מרדכי קרמניצר, שהתבקש "</w:t>
      </w:r>
      <w:r w:rsidR="00E93D19" w:rsidRPr="00414995">
        <w:rPr>
          <w:rtl/>
          <w:lang w:eastAsia="he-IL"/>
        </w:rPr>
        <w:t>לבחון אפשרות יצירת מדרג ענישה ראוי בין עבירת הרצח לעבירת ההריגה, תוך בחינת הצורך</w:t>
      </w:r>
      <w:r w:rsidR="00E93D19" w:rsidRPr="00414995">
        <w:rPr>
          <w:rFonts w:hint="cs"/>
          <w:rtl/>
          <w:lang w:eastAsia="he-IL"/>
        </w:rPr>
        <w:t xml:space="preserve"> </w:t>
      </w:r>
      <w:r w:rsidR="00E93D19" w:rsidRPr="00414995">
        <w:rPr>
          <w:rtl/>
          <w:lang w:eastAsia="he-IL"/>
        </w:rPr>
        <w:t xml:space="preserve">בשינוי יסודות עבירות אלו, ובהתאם לכך גם השינוי במדרג העונשים הקבועים </w:t>
      </w:r>
      <w:r w:rsidR="002855B5" w:rsidRPr="00414995">
        <w:rPr>
          <w:rFonts w:hint="cs"/>
          <w:rtl/>
          <w:lang w:eastAsia="he-IL"/>
        </w:rPr>
        <w:t>ב</w:t>
      </w:r>
      <w:r w:rsidR="00E93D19" w:rsidRPr="00414995">
        <w:rPr>
          <w:rtl/>
          <w:lang w:eastAsia="he-IL"/>
        </w:rPr>
        <w:t>צדן, וכן לבחון</w:t>
      </w:r>
      <w:r w:rsidR="00E93D19" w:rsidRPr="00414995">
        <w:rPr>
          <w:rFonts w:hint="cs"/>
          <w:rtl/>
          <w:lang w:eastAsia="he-IL"/>
        </w:rPr>
        <w:t xml:space="preserve"> </w:t>
      </w:r>
      <w:r w:rsidR="00E93D19" w:rsidRPr="00414995">
        <w:rPr>
          <w:rtl/>
          <w:lang w:eastAsia="he-IL"/>
        </w:rPr>
        <w:t>את הצורך בקביעת מדרג ביניים של עבירה נוספת או עבירות נוספות, בין עבירת הרצח לעבירת</w:t>
      </w:r>
      <w:r w:rsidR="00E93D19" w:rsidRPr="00414995">
        <w:rPr>
          <w:rFonts w:hint="cs"/>
          <w:rtl/>
          <w:lang w:eastAsia="he-IL"/>
        </w:rPr>
        <w:t xml:space="preserve"> </w:t>
      </w:r>
      <w:r w:rsidR="00E93D19" w:rsidRPr="00414995">
        <w:rPr>
          <w:rtl/>
          <w:lang w:eastAsia="he-IL"/>
        </w:rPr>
        <w:t>ההריגה, על מנת ליצור מדרג ראוי של ענישה; במסגרת זו התבקש הצוות לבחון, בין היתר, את</w:t>
      </w:r>
      <w:r w:rsidR="00E93D19" w:rsidRPr="00414995">
        <w:rPr>
          <w:rFonts w:hint="cs"/>
          <w:rtl/>
          <w:lang w:eastAsia="he-IL"/>
        </w:rPr>
        <w:t xml:space="preserve"> </w:t>
      </w:r>
      <w:r w:rsidR="00E93D19" w:rsidRPr="00414995">
        <w:rPr>
          <w:rtl/>
          <w:lang w:eastAsia="he-IL"/>
        </w:rPr>
        <w:t>יסודות הכוונה תחילה בעבירת הרצח, ובכלל זה יסוד העדר ההתגרות</w:t>
      </w:r>
      <w:r w:rsidR="00E93D19" w:rsidRPr="00414995">
        <w:rPr>
          <w:rFonts w:hint="cs"/>
          <w:rtl/>
          <w:lang w:eastAsia="he-IL"/>
        </w:rPr>
        <w:t>"</w:t>
      </w:r>
      <w:r w:rsidR="00E93D19" w:rsidRPr="00414995">
        <w:rPr>
          <w:rtl/>
          <w:lang w:eastAsia="he-IL"/>
        </w:rPr>
        <w:t>.</w:t>
      </w:r>
      <w:r w:rsidR="00E93D19" w:rsidRPr="00414995">
        <w:rPr>
          <w:rStyle w:val="a7"/>
          <w:rtl/>
          <w:lang w:eastAsia="he-IL"/>
        </w:rPr>
        <w:footnoteReference w:id="3"/>
      </w:r>
    </w:p>
    <w:p w:rsidR="00E93D19" w:rsidRPr="00414995" w:rsidRDefault="00E93D19" w:rsidP="00E93D19">
      <w:pPr>
        <w:rPr>
          <w:rtl/>
          <w:lang w:eastAsia="he-IL"/>
        </w:rPr>
      </w:pPr>
      <w:r w:rsidRPr="00414995">
        <w:rPr>
          <w:rFonts w:hint="cs"/>
          <w:rtl/>
          <w:lang w:eastAsia="he-IL"/>
        </w:rPr>
        <w:t>כמו כן, הצוות התבקש "</w:t>
      </w:r>
      <w:r w:rsidRPr="00414995">
        <w:rPr>
          <w:rtl/>
          <w:lang w:eastAsia="he-IL"/>
        </w:rPr>
        <w:t>לבחון קביעת מדרג ראוי בין עבירת ההריגה לעבירת גרם מוות ברשלנות</w:t>
      </w:r>
      <w:r w:rsidRPr="00414995">
        <w:rPr>
          <w:rFonts w:hint="cs"/>
          <w:rtl/>
          <w:lang w:eastAsia="he-IL"/>
        </w:rPr>
        <w:t>",</w:t>
      </w:r>
      <w:r w:rsidRPr="00414995">
        <w:rPr>
          <w:rStyle w:val="a7"/>
          <w:rtl/>
          <w:lang w:eastAsia="he-IL"/>
        </w:rPr>
        <w:footnoteReference w:id="4"/>
      </w:r>
      <w:r w:rsidRPr="00414995">
        <w:rPr>
          <w:rFonts w:hint="cs"/>
          <w:rtl/>
          <w:lang w:eastAsia="he-IL"/>
        </w:rPr>
        <w:t xml:space="preserve"> ואף "</w:t>
      </w:r>
      <w:r w:rsidRPr="00414995">
        <w:rPr>
          <w:rtl/>
          <w:lang w:eastAsia="he-IL"/>
        </w:rPr>
        <w:t>לבחון את יסודות עבירת הניסיון לרצח ובחינת העבירה של מעשה העלול להפיץ מחלה</w:t>
      </w:r>
      <w:r w:rsidRPr="00414995">
        <w:rPr>
          <w:rFonts w:hint="cs"/>
          <w:rtl/>
          <w:lang w:eastAsia="he-IL"/>
        </w:rPr>
        <w:t>".</w:t>
      </w:r>
      <w:r w:rsidRPr="00414995">
        <w:rPr>
          <w:rStyle w:val="a7"/>
          <w:rtl/>
          <w:lang w:eastAsia="he-IL"/>
        </w:rPr>
        <w:footnoteReference w:id="5"/>
      </w:r>
    </w:p>
    <w:p w:rsidR="002855B5" w:rsidRPr="00414995" w:rsidRDefault="008D26B1" w:rsidP="004C0C9F">
      <w:pPr>
        <w:rPr>
          <w:rtl/>
          <w:lang w:eastAsia="he-IL"/>
        </w:rPr>
      </w:pPr>
      <w:r w:rsidRPr="00414995">
        <w:rPr>
          <w:rFonts w:hint="cs"/>
          <w:rtl/>
          <w:lang w:eastAsia="he-IL"/>
        </w:rPr>
        <w:t xml:space="preserve">במהלך </w:t>
      </w:r>
      <w:r w:rsidR="00E93D19" w:rsidRPr="00414995">
        <w:rPr>
          <w:rFonts w:hint="cs"/>
          <w:rtl/>
          <w:lang w:eastAsia="he-IL"/>
        </w:rPr>
        <w:t xml:space="preserve">עבודתו של הצוות, </w:t>
      </w:r>
      <w:r w:rsidRPr="00414995">
        <w:rPr>
          <w:rFonts w:hint="cs"/>
          <w:rtl/>
          <w:lang w:eastAsia="he-IL"/>
        </w:rPr>
        <w:t xml:space="preserve">הוא </w:t>
      </w:r>
      <w:r w:rsidR="00E93D19" w:rsidRPr="00414995">
        <w:rPr>
          <w:rFonts w:hint="cs"/>
          <w:rtl/>
          <w:lang w:eastAsia="he-IL"/>
        </w:rPr>
        <w:t>נדרש לדיון מעמיק ב</w:t>
      </w:r>
      <w:r w:rsidR="004C0C9F" w:rsidRPr="00414995">
        <w:rPr>
          <w:rFonts w:hint="cs"/>
          <w:rtl/>
          <w:lang w:eastAsia="he-IL"/>
        </w:rPr>
        <w:t xml:space="preserve">יסוד הנפשי של </w:t>
      </w:r>
      <w:r w:rsidR="00E93D19" w:rsidRPr="00414995">
        <w:rPr>
          <w:rtl/>
          <w:lang w:eastAsia="he-IL"/>
        </w:rPr>
        <w:t>הרשלנות</w:t>
      </w:r>
      <w:r w:rsidR="00E93D19" w:rsidRPr="00414995">
        <w:rPr>
          <w:rFonts w:hint="cs"/>
          <w:rtl/>
          <w:lang w:eastAsia="he-IL"/>
        </w:rPr>
        <w:t>, אגב הדיון בעבירה של גרימת מוות ברשלנות, ולבקשתו, הוסמך הצוות על ידי שר המשפטים, פרופ' יעקב נאמן</w:t>
      </w:r>
      <w:r w:rsidR="00E93D19" w:rsidRPr="00414995">
        <w:rPr>
          <w:rStyle w:val="a7"/>
          <w:rtl/>
          <w:lang w:eastAsia="he-IL"/>
        </w:rPr>
        <w:footnoteReference w:id="6"/>
      </w:r>
      <w:r w:rsidR="00E93D19" w:rsidRPr="00414995">
        <w:rPr>
          <w:rFonts w:hint="cs"/>
          <w:rtl/>
          <w:lang w:eastAsia="he-IL"/>
        </w:rPr>
        <w:t xml:space="preserve"> לדון גם בעניינים אלו ולהגיש לשר המשפטים </w:t>
      </w:r>
      <w:r w:rsidR="002855B5" w:rsidRPr="00414995">
        <w:rPr>
          <w:rFonts w:hint="cs"/>
          <w:rtl/>
          <w:lang w:eastAsia="he-IL"/>
        </w:rPr>
        <w:t>המלצות לעניין הגדרתה של הרשלנות בחוק העונשין</w:t>
      </w:r>
      <w:r w:rsidR="00E93D19" w:rsidRPr="00414995">
        <w:rPr>
          <w:rFonts w:hint="cs"/>
          <w:rtl/>
          <w:lang w:eastAsia="he-IL"/>
        </w:rPr>
        <w:t xml:space="preserve">. </w:t>
      </w:r>
    </w:p>
    <w:p w:rsidR="004C0C9F" w:rsidRPr="00414995" w:rsidRDefault="007C7AC3" w:rsidP="00062035">
      <w:pPr>
        <w:rPr>
          <w:rtl/>
          <w:lang w:eastAsia="he-IL"/>
        </w:rPr>
      </w:pPr>
      <w:r w:rsidRPr="00414995">
        <w:rPr>
          <w:rFonts w:hint="cs"/>
          <w:rtl/>
          <w:lang w:eastAsia="he-IL"/>
        </w:rPr>
        <w:t xml:space="preserve">המלצותיו של צוות זה </w:t>
      </w:r>
      <w:r w:rsidR="00260D86" w:rsidRPr="00414995">
        <w:rPr>
          <w:rFonts w:hint="cs"/>
          <w:rtl/>
          <w:lang w:eastAsia="he-IL"/>
        </w:rPr>
        <w:t>נכללו</w:t>
      </w:r>
      <w:r w:rsidRPr="00414995">
        <w:rPr>
          <w:rFonts w:hint="cs"/>
          <w:rtl/>
          <w:lang w:eastAsia="he-IL"/>
        </w:rPr>
        <w:t xml:space="preserve"> בדוח, שפורסם בחודש אב </w:t>
      </w:r>
      <w:r w:rsidR="00062035">
        <w:rPr>
          <w:rFonts w:hint="cs"/>
          <w:rtl/>
          <w:lang w:eastAsia="he-IL"/>
        </w:rPr>
        <w:t>ה</w:t>
      </w:r>
      <w:r w:rsidRPr="00414995">
        <w:rPr>
          <w:rFonts w:hint="cs"/>
          <w:rtl/>
          <w:lang w:eastAsia="he-IL"/>
        </w:rPr>
        <w:t xml:space="preserve">תשע"א </w:t>
      </w:r>
      <w:r w:rsidRPr="00414995">
        <w:rPr>
          <w:rtl/>
          <w:lang w:eastAsia="he-IL"/>
        </w:rPr>
        <w:t>(להלן: דוח הצוות לבחינת יסודות עבירות ההמתה)</w:t>
      </w:r>
      <w:r w:rsidRPr="00414995">
        <w:rPr>
          <w:rFonts w:hint="cs"/>
          <w:rtl/>
          <w:lang w:eastAsia="he-IL"/>
        </w:rPr>
        <w:t xml:space="preserve">. </w:t>
      </w:r>
    </w:p>
    <w:p w:rsidR="007F2BF1" w:rsidRPr="00414995" w:rsidRDefault="002855B5" w:rsidP="004C0C9F">
      <w:pPr>
        <w:rPr>
          <w:rtl/>
          <w:lang w:eastAsia="he-IL"/>
        </w:rPr>
      </w:pPr>
      <w:r w:rsidRPr="00414995">
        <w:rPr>
          <w:rtl/>
          <w:lang w:eastAsia="he-IL"/>
        </w:rPr>
        <w:t xml:space="preserve">הצעת חוק העונשין (תיקון מס' 124) (עבירות המתה), התשע"ו-2015 (להלן: הצעת החוק), </w:t>
      </w:r>
      <w:r w:rsidR="0041329A" w:rsidRPr="00414995">
        <w:rPr>
          <w:rFonts w:hint="cs"/>
          <w:rtl/>
          <w:lang w:eastAsia="he-IL"/>
        </w:rPr>
        <w:t xml:space="preserve">המונחת בימים אלה על שולחנה של ועדת החוקה, חוק ומשפט של הכנסת, </w:t>
      </w:r>
      <w:r w:rsidRPr="00414995">
        <w:rPr>
          <w:rtl/>
          <w:lang w:eastAsia="he-IL"/>
        </w:rPr>
        <w:t>שבה עוסק מסמך זה, מבוססת על המלצות</w:t>
      </w:r>
      <w:r w:rsidR="007C7AC3" w:rsidRPr="00414995">
        <w:rPr>
          <w:rtl/>
          <w:lang w:eastAsia="he-IL"/>
        </w:rPr>
        <w:t xml:space="preserve"> אלו</w:t>
      </w:r>
      <w:r w:rsidRPr="00414995">
        <w:rPr>
          <w:rFonts w:hint="cs"/>
          <w:rtl/>
          <w:lang w:eastAsia="he-IL"/>
        </w:rPr>
        <w:t>.</w:t>
      </w:r>
    </w:p>
    <w:p w:rsidR="00230BD7" w:rsidRPr="00414995" w:rsidRDefault="002855B5" w:rsidP="00062035">
      <w:pPr>
        <w:rPr>
          <w:rtl/>
          <w:lang w:eastAsia="he-IL"/>
        </w:rPr>
      </w:pPr>
      <w:r w:rsidRPr="00414995">
        <w:rPr>
          <w:rFonts w:hint="cs"/>
          <w:rtl/>
          <w:lang w:eastAsia="he-IL"/>
        </w:rPr>
        <w:t>ליבתה של הצעת החוק היא הקביעה של מדרג חדש לכל עבירות ההמתה, מדרג המבקש ליצור הלימה ראויה בין אשמתו של העבריין לעונש שיושת עליו</w:t>
      </w:r>
      <w:r w:rsidR="007C7AC3" w:rsidRPr="00414995">
        <w:rPr>
          <w:rFonts w:hint="cs"/>
          <w:rtl/>
          <w:lang w:eastAsia="he-IL"/>
        </w:rPr>
        <w:t>. ב</w:t>
      </w:r>
      <w:r w:rsidRPr="00414995">
        <w:rPr>
          <w:rFonts w:hint="cs"/>
          <w:rtl/>
          <w:lang w:eastAsia="he-IL"/>
        </w:rPr>
        <w:t>מסמך</w:t>
      </w:r>
      <w:r w:rsidR="007C7AC3" w:rsidRPr="00414995">
        <w:rPr>
          <w:rFonts w:hint="cs"/>
          <w:rtl/>
          <w:lang w:eastAsia="he-IL"/>
        </w:rPr>
        <w:t xml:space="preserve"> ייבחן מדרג </w:t>
      </w:r>
      <w:r w:rsidR="00062035">
        <w:rPr>
          <w:rFonts w:hint="cs"/>
          <w:rtl/>
          <w:lang w:eastAsia="he-IL"/>
        </w:rPr>
        <w:t>הענישה הראוי בעבירות ההמתה</w:t>
      </w:r>
      <w:r w:rsidR="007C7AC3" w:rsidRPr="00414995">
        <w:rPr>
          <w:rFonts w:hint="cs"/>
          <w:rtl/>
          <w:lang w:eastAsia="he-IL"/>
        </w:rPr>
        <w:t>, לאור עקרונות הענישה של המשפט העברי</w:t>
      </w:r>
      <w:r w:rsidRPr="00414995">
        <w:rPr>
          <w:rFonts w:hint="cs"/>
          <w:rtl/>
          <w:lang w:eastAsia="he-IL"/>
        </w:rPr>
        <w:t>.</w:t>
      </w:r>
      <w:r w:rsidRPr="00414995">
        <w:rPr>
          <w:rStyle w:val="a7"/>
          <w:rtl/>
          <w:lang w:eastAsia="he-IL"/>
        </w:rPr>
        <w:footnoteReference w:id="7"/>
      </w:r>
      <w:r w:rsidRPr="00414995">
        <w:rPr>
          <w:rFonts w:hint="cs"/>
          <w:rtl/>
          <w:lang w:eastAsia="he-IL"/>
        </w:rPr>
        <w:t xml:space="preserve"> </w:t>
      </w:r>
    </w:p>
    <w:p w:rsidR="00E46258" w:rsidRPr="00414995" w:rsidRDefault="00E46258" w:rsidP="00260D86">
      <w:pPr>
        <w:rPr>
          <w:lang w:eastAsia="he-IL"/>
        </w:rPr>
      </w:pPr>
    </w:p>
    <w:p w:rsidR="00647829" w:rsidRPr="00414995" w:rsidRDefault="007F2BF1" w:rsidP="007F2BF1">
      <w:pPr>
        <w:pStyle w:val="1"/>
        <w:numPr>
          <w:ilvl w:val="1"/>
          <w:numId w:val="17"/>
        </w:numPr>
        <w:bidi/>
        <w:spacing w:after="120"/>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lastRenderedPageBreak/>
        <w:t>הדין הפלילי העברי</w:t>
      </w:r>
    </w:p>
    <w:p w:rsidR="004F7430" w:rsidRPr="00414995" w:rsidRDefault="004F7430" w:rsidP="00986F7A">
      <w:pPr>
        <w:spacing w:before="0"/>
        <w:rPr>
          <w:lang w:eastAsia="he-IL"/>
        </w:rPr>
      </w:pPr>
      <w:r w:rsidRPr="00414995">
        <w:rPr>
          <w:rFonts w:hint="cs"/>
          <w:rtl/>
          <w:lang w:eastAsia="he-IL"/>
        </w:rPr>
        <w:t xml:space="preserve">הדין הפלילי </w:t>
      </w:r>
      <w:r w:rsidR="007F2BF1" w:rsidRPr="00414995">
        <w:rPr>
          <w:rFonts w:hint="cs"/>
          <w:rtl/>
          <w:lang w:eastAsia="he-IL"/>
        </w:rPr>
        <w:t xml:space="preserve">העברי מבוסס על </w:t>
      </w:r>
      <w:r w:rsidRPr="00414995">
        <w:rPr>
          <w:rFonts w:hint="cs"/>
          <w:rtl/>
          <w:lang w:eastAsia="he-IL"/>
        </w:rPr>
        <w:t>ארבע</w:t>
      </w:r>
      <w:r w:rsidR="007F2BF1" w:rsidRPr="00414995">
        <w:rPr>
          <w:rFonts w:hint="cs"/>
          <w:rtl/>
          <w:lang w:eastAsia="he-IL"/>
        </w:rPr>
        <w:t xml:space="preserve"> מערכות </w:t>
      </w:r>
      <w:r w:rsidR="00986F7A" w:rsidRPr="00414995">
        <w:rPr>
          <w:rFonts w:hint="cs"/>
          <w:rtl/>
          <w:lang w:eastAsia="he-IL"/>
        </w:rPr>
        <w:t xml:space="preserve">שיפוט </w:t>
      </w:r>
      <w:r w:rsidR="007F2BF1" w:rsidRPr="00414995">
        <w:rPr>
          <w:rFonts w:hint="cs"/>
          <w:rtl/>
          <w:lang w:eastAsia="he-IL"/>
        </w:rPr>
        <w:t>מקביל</w:t>
      </w:r>
      <w:bookmarkStart w:id="2" w:name="_Ref455403409"/>
      <w:r w:rsidR="00986F7A" w:rsidRPr="00414995">
        <w:rPr>
          <w:rFonts w:hint="cs"/>
          <w:rtl/>
          <w:lang w:eastAsia="he-IL"/>
        </w:rPr>
        <w:t>ות</w:t>
      </w:r>
      <w:bookmarkEnd w:id="2"/>
      <w:r w:rsidRPr="00414995">
        <w:rPr>
          <w:rFonts w:hint="cs"/>
          <w:rtl/>
          <w:lang w:eastAsia="he-IL"/>
        </w:rPr>
        <w:t>:</w:t>
      </w:r>
      <w:r w:rsidR="008D2287" w:rsidRPr="00414995">
        <w:rPr>
          <w:rFonts w:hint="cs"/>
          <w:rtl/>
          <w:lang w:eastAsia="he-IL"/>
        </w:rPr>
        <w:t xml:space="preserve"> </w:t>
      </w:r>
      <w:r w:rsidRPr="00414995">
        <w:rPr>
          <w:rFonts w:hint="cs"/>
          <w:rtl/>
          <w:lang w:eastAsia="he-IL"/>
        </w:rPr>
        <w:t>דין התורה;</w:t>
      </w:r>
      <w:r w:rsidR="008D2287" w:rsidRPr="00414995">
        <w:rPr>
          <w:rFonts w:hint="cs"/>
          <w:rtl/>
          <w:lang w:eastAsia="he-IL"/>
        </w:rPr>
        <w:t xml:space="preserve"> </w:t>
      </w:r>
      <w:r w:rsidRPr="00414995">
        <w:rPr>
          <w:rFonts w:hint="cs"/>
          <w:rtl/>
          <w:lang w:eastAsia="he-IL"/>
        </w:rPr>
        <w:t>דין המלך;</w:t>
      </w:r>
      <w:r w:rsidR="008D2287" w:rsidRPr="00414995">
        <w:rPr>
          <w:rFonts w:hint="cs"/>
          <w:rtl/>
          <w:lang w:eastAsia="he-IL"/>
        </w:rPr>
        <w:t xml:space="preserve"> </w:t>
      </w:r>
      <w:r w:rsidRPr="00414995">
        <w:rPr>
          <w:rFonts w:hint="cs"/>
          <w:rtl/>
          <w:lang w:eastAsia="he-IL"/>
        </w:rPr>
        <w:t>הוראת שעה;</w:t>
      </w:r>
      <w:r w:rsidR="008D2287" w:rsidRPr="00414995">
        <w:rPr>
          <w:rFonts w:hint="cs"/>
          <w:rtl/>
          <w:lang w:eastAsia="he-IL"/>
        </w:rPr>
        <w:t xml:space="preserve"> </w:t>
      </w:r>
      <w:r w:rsidRPr="00414995">
        <w:rPr>
          <w:rFonts w:hint="cs"/>
          <w:rtl/>
          <w:lang w:eastAsia="he-IL"/>
        </w:rPr>
        <w:t>דין שמים.</w:t>
      </w:r>
      <w:r w:rsidR="00986F7A" w:rsidRPr="00414995">
        <w:rPr>
          <w:rStyle w:val="a7"/>
          <w:rtl/>
          <w:lang w:eastAsia="he-IL"/>
        </w:rPr>
        <w:footnoteReference w:id="8"/>
      </w:r>
    </w:p>
    <w:p w:rsidR="00E7472C" w:rsidRPr="00414995" w:rsidRDefault="008D2287" w:rsidP="00986F7A">
      <w:pPr>
        <w:rPr>
          <w:rtl/>
          <w:lang w:eastAsia="he-IL"/>
        </w:rPr>
      </w:pPr>
      <w:r w:rsidRPr="00414995">
        <w:rPr>
          <w:rFonts w:hint="cs"/>
          <w:rtl/>
          <w:lang w:eastAsia="he-IL"/>
        </w:rPr>
        <w:t xml:space="preserve">ענישת הרוצח </w:t>
      </w:r>
      <w:r w:rsidR="00221233" w:rsidRPr="00414995">
        <w:rPr>
          <w:rFonts w:hint="cs"/>
          <w:rtl/>
          <w:lang w:eastAsia="he-IL"/>
        </w:rPr>
        <w:t>בדיני אדם</w:t>
      </w:r>
      <w:r w:rsidRPr="00414995">
        <w:rPr>
          <w:rFonts w:hint="cs"/>
          <w:rtl/>
          <w:lang w:eastAsia="he-IL"/>
        </w:rPr>
        <w:t>, על פי דין התורה</w:t>
      </w:r>
      <w:r w:rsidR="00221233" w:rsidRPr="00414995">
        <w:rPr>
          <w:rFonts w:hint="cs"/>
          <w:rtl/>
          <w:lang w:eastAsia="he-IL"/>
        </w:rPr>
        <w:t xml:space="preserve">, </w:t>
      </w:r>
      <w:r w:rsidRPr="00414995">
        <w:rPr>
          <w:rFonts w:hint="cs"/>
          <w:rtl/>
          <w:lang w:eastAsia="he-IL"/>
        </w:rPr>
        <w:t xml:space="preserve">כרוכה במגבלות </w:t>
      </w:r>
      <w:r w:rsidR="00221233" w:rsidRPr="00414995">
        <w:rPr>
          <w:rFonts w:hint="cs"/>
          <w:rtl/>
          <w:lang w:eastAsia="he-IL"/>
        </w:rPr>
        <w:t>מחמירות ביותר</w:t>
      </w:r>
      <w:r w:rsidR="00E7472C" w:rsidRPr="00414995">
        <w:rPr>
          <w:rFonts w:hint="cs"/>
          <w:rtl/>
          <w:lang w:eastAsia="he-IL"/>
        </w:rPr>
        <w:t>, הן בנוגע ליסודותיה העובדתיים והנפשיים של העבירה והן בנוגע לדרישות פרוצדוראליות וראייתיות שונות, שאין כאן המקום להרחיב בהן</w:t>
      </w:r>
      <w:r w:rsidR="00221233" w:rsidRPr="00414995">
        <w:rPr>
          <w:rFonts w:hint="cs"/>
          <w:rtl/>
          <w:lang w:eastAsia="he-IL"/>
        </w:rPr>
        <w:t xml:space="preserve">. </w:t>
      </w:r>
    </w:p>
    <w:p w:rsidR="00E7472C" w:rsidRPr="00414995" w:rsidRDefault="00E7472C" w:rsidP="008D2287">
      <w:pPr>
        <w:rPr>
          <w:rtl/>
          <w:lang w:eastAsia="he-IL"/>
        </w:rPr>
      </w:pPr>
      <w:r w:rsidRPr="00414995">
        <w:rPr>
          <w:rFonts w:hint="cs"/>
          <w:rtl/>
          <w:lang w:eastAsia="he-IL"/>
        </w:rPr>
        <w:t xml:space="preserve">כך למשל, </w:t>
      </w:r>
      <w:r w:rsidR="00221233" w:rsidRPr="00414995">
        <w:rPr>
          <w:rFonts w:hint="cs"/>
          <w:rtl/>
          <w:lang w:eastAsia="he-IL"/>
        </w:rPr>
        <w:t xml:space="preserve">בית הדין </w:t>
      </w:r>
      <w:r w:rsidRPr="00414995">
        <w:rPr>
          <w:rFonts w:hint="cs"/>
          <w:rtl/>
          <w:lang w:eastAsia="he-IL"/>
        </w:rPr>
        <w:t xml:space="preserve">לא יעניש אדם ברצח, אלא אם הוא </w:t>
      </w:r>
      <w:r w:rsidR="00221233" w:rsidRPr="00414995">
        <w:rPr>
          <w:rFonts w:hint="cs"/>
          <w:b/>
          <w:bCs/>
          <w:rtl/>
          <w:lang w:eastAsia="he-IL"/>
        </w:rPr>
        <w:t>גרם במישרין</w:t>
      </w:r>
      <w:r w:rsidR="00221233" w:rsidRPr="00414995">
        <w:rPr>
          <w:rFonts w:hint="cs"/>
          <w:rtl/>
          <w:lang w:eastAsia="he-IL"/>
        </w:rPr>
        <w:t xml:space="preserve"> למותו של אדם, ואפילו מי ש</w:t>
      </w:r>
      <w:r w:rsidRPr="00414995">
        <w:rPr>
          <w:rFonts w:hint="cs"/>
          <w:rtl/>
          <w:lang w:eastAsia="he-IL"/>
        </w:rPr>
        <w:t>"</w:t>
      </w:r>
      <w:r w:rsidRPr="00414995">
        <w:rPr>
          <w:rtl/>
        </w:rPr>
        <w:t>כפת חברו והניחו לפני הארי</w:t>
      </w:r>
      <w:r w:rsidRPr="00414995">
        <w:rPr>
          <w:rFonts w:hint="cs"/>
          <w:rtl/>
        </w:rPr>
        <w:t>"</w:t>
      </w:r>
      <w:r w:rsidR="001D25ED" w:rsidRPr="00414995">
        <w:rPr>
          <w:rStyle w:val="a7"/>
          <w:rtl/>
        </w:rPr>
        <w:footnoteReference w:id="9"/>
      </w:r>
      <w:r w:rsidRPr="00414995">
        <w:rPr>
          <w:rFonts w:hint="cs"/>
          <w:rtl/>
        </w:rPr>
        <w:t xml:space="preserve"> והארי טרף אותו, אינו חייב מיתה בידי אדם</w:t>
      </w:r>
      <w:r w:rsidR="008D2287" w:rsidRPr="00414995">
        <w:rPr>
          <w:rFonts w:hint="cs"/>
          <w:rtl/>
        </w:rPr>
        <w:t xml:space="preserve">, אך יהיה </w:t>
      </w:r>
      <w:r w:rsidR="001D25ED" w:rsidRPr="00414995">
        <w:rPr>
          <w:rFonts w:hint="cs"/>
          <w:rtl/>
        </w:rPr>
        <w:t>"</w:t>
      </w:r>
      <w:r w:rsidR="001D25ED" w:rsidRPr="00414995">
        <w:rPr>
          <w:rtl/>
        </w:rPr>
        <w:t>חייב מיתה לשמים</w:t>
      </w:r>
      <w:r w:rsidR="001D25ED" w:rsidRPr="00414995">
        <w:rPr>
          <w:rFonts w:hint="cs"/>
          <w:rtl/>
        </w:rPr>
        <w:t>".</w:t>
      </w:r>
      <w:r w:rsidR="001D25ED" w:rsidRPr="00414995">
        <w:rPr>
          <w:rStyle w:val="a7"/>
          <w:rtl/>
          <w:lang w:eastAsia="he-IL"/>
        </w:rPr>
        <w:footnoteReference w:id="10"/>
      </w:r>
    </w:p>
    <w:p w:rsidR="007F2BF1" w:rsidRPr="00414995" w:rsidRDefault="007F2BF1" w:rsidP="008D2287">
      <w:pPr>
        <w:rPr>
          <w:rtl/>
          <w:lang w:eastAsia="he-IL"/>
        </w:rPr>
      </w:pPr>
      <w:r w:rsidRPr="00414995">
        <w:rPr>
          <w:rFonts w:hint="cs"/>
          <w:rtl/>
          <w:lang w:eastAsia="he-IL"/>
        </w:rPr>
        <w:t xml:space="preserve">על מנת להתמודד עם עבריינות חברתית שדין התורה אינו מעניק לדייני ישראל כלים כדי להתמודד עמה, הוקנו לבתי הדין סמכויות לדון עבריינים בהוראת שעה ("למגדר מלתא"), </w:t>
      </w:r>
      <w:r w:rsidR="00E44948" w:rsidRPr="00414995">
        <w:rPr>
          <w:rFonts w:hint="cs"/>
          <w:rtl/>
          <w:lang w:eastAsia="he-IL"/>
        </w:rPr>
        <w:t>בהתאם לשיקול דעתם, מבלי שיהיו כפופים למגבלות הדין המהותי או דיני הראיות של דין התורה.</w:t>
      </w:r>
      <w:r w:rsidR="00E44948" w:rsidRPr="00414995">
        <w:rPr>
          <w:rStyle w:val="a7"/>
          <w:rtl/>
          <w:lang w:eastAsia="he-IL"/>
        </w:rPr>
        <w:footnoteReference w:id="11"/>
      </w:r>
    </w:p>
    <w:p w:rsidR="00E7472C" w:rsidRPr="00414995" w:rsidRDefault="00E7472C" w:rsidP="00E44948">
      <w:pPr>
        <w:rPr>
          <w:rtl/>
        </w:rPr>
      </w:pPr>
      <w:r w:rsidRPr="00414995">
        <w:rPr>
          <w:rFonts w:hint="cs"/>
          <w:rtl/>
          <w:lang w:eastAsia="he-IL"/>
        </w:rPr>
        <w:t>סמכויות</w:t>
      </w:r>
      <w:r w:rsidR="00E44948" w:rsidRPr="00414995">
        <w:rPr>
          <w:rFonts w:hint="cs"/>
          <w:rtl/>
          <w:lang w:eastAsia="he-IL"/>
        </w:rPr>
        <w:t xml:space="preserve"> דומות נמסרו גם ביד</w:t>
      </w:r>
      <w:r w:rsidRPr="00414995">
        <w:rPr>
          <w:rFonts w:hint="cs"/>
          <w:rtl/>
          <w:lang w:eastAsia="he-IL"/>
        </w:rPr>
        <w:t>יו של השלטון ('דין המלך')</w:t>
      </w:r>
      <w:r w:rsidR="00E44948" w:rsidRPr="00414995">
        <w:rPr>
          <w:rFonts w:hint="cs"/>
          <w:rtl/>
          <w:lang w:eastAsia="he-IL"/>
        </w:rPr>
        <w:t xml:space="preserve">, על מנת </w:t>
      </w:r>
      <w:r w:rsidRPr="00414995">
        <w:rPr>
          <w:rFonts w:hint="cs"/>
          <w:rtl/>
          <w:lang w:eastAsia="he-IL"/>
        </w:rPr>
        <w:t>"</w:t>
      </w:r>
      <w:r w:rsidRPr="00414995">
        <w:rPr>
          <w:rtl/>
        </w:rPr>
        <w:t>להשלים ולתקן את החללים שמותיר דין התורה, לבל ינצלו אותו פושעים ועבריינים באופן אשר יסכן את הסדר החברתי והב</w:t>
      </w:r>
      <w:r w:rsidRPr="00414995">
        <w:rPr>
          <w:rFonts w:hint="cs"/>
          <w:rtl/>
        </w:rPr>
        <w:t>י</w:t>
      </w:r>
      <w:r w:rsidRPr="00414995">
        <w:rPr>
          <w:rtl/>
        </w:rPr>
        <w:t>טחון האישי</w:t>
      </w:r>
      <w:r w:rsidRPr="00414995">
        <w:rPr>
          <w:rFonts w:hint="cs"/>
          <w:rtl/>
        </w:rPr>
        <w:t>".</w:t>
      </w:r>
      <w:r w:rsidR="001D25ED" w:rsidRPr="00414995">
        <w:rPr>
          <w:rStyle w:val="a7"/>
          <w:rtl/>
        </w:rPr>
        <w:footnoteReference w:id="12"/>
      </w:r>
      <w:r w:rsidRPr="00414995">
        <w:rPr>
          <w:rFonts w:hint="cs"/>
          <w:rtl/>
        </w:rPr>
        <w:t xml:space="preserve"> לכן, "</w:t>
      </w:r>
      <w:r w:rsidRPr="00414995">
        <w:rPr>
          <w:rtl/>
        </w:rPr>
        <w:t>כל אלו הרצחנים וכיוצא בהן</w:t>
      </w:r>
      <w:r w:rsidRPr="00414995">
        <w:rPr>
          <w:rFonts w:hint="cs"/>
          <w:rtl/>
        </w:rPr>
        <w:t>,</w:t>
      </w:r>
      <w:r w:rsidRPr="00414995">
        <w:rPr>
          <w:rtl/>
        </w:rPr>
        <w:t xml:space="preserve"> שאינן מחויבים מיתת בית דין</w:t>
      </w:r>
      <w:r w:rsidRPr="00414995">
        <w:rPr>
          <w:rFonts w:hint="cs"/>
          <w:rtl/>
        </w:rPr>
        <w:t>,</w:t>
      </w:r>
      <w:r w:rsidRPr="00414995">
        <w:rPr>
          <w:rtl/>
        </w:rPr>
        <w:t xml:space="preserve"> אם רצה מלך ישראל להרגם בדין המלכות ותקנת העולם הרשות בידו</w:t>
      </w:r>
      <w:r w:rsidRPr="00414995">
        <w:rPr>
          <w:rFonts w:hint="cs"/>
          <w:rtl/>
        </w:rPr>
        <w:t>".</w:t>
      </w:r>
      <w:r w:rsidR="002103BD" w:rsidRPr="00414995">
        <w:rPr>
          <w:rStyle w:val="a7"/>
          <w:rtl/>
        </w:rPr>
        <w:footnoteReference w:id="13"/>
      </w:r>
    </w:p>
    <w:p w:rsidR="00E458F2" w:rsidRPr="00414995" w:rsidRDefault="00E7472C" w:rsidP="001D25ED">
      <w:pPr>
        <w:rPr>
          <w:rtl/>
          <w:lang w:eastAsia="he-IL"/>
        </w:rPr>
      </w:pPr>
      <w:r w:rsidRPr="00414995">
        <w:rPr>
          <w:rFonts w:hint="cs"/>
          <w:rtl/>
        </w:rPr>
        <w:t xml:space="preserve">אמנם, גם ענישה על פי 'דין המלך', אינה משוחררת מעקרונות המוסר היהודי, </w:t>
      </w:r>
      <w:r w:rsidRPr="00414995">
        <w:rPr>
          <w:rFonts w:hint="cs"/>
          <w:rtl/>
          <w:lang w:eastAsia="he-IL"/>
        </w:rPr>
        <w:t>ו"</w:t>
      </w:r>
      <w:r w:rsidRPr="00414995">
        <w:rPr>
          <w:rtl/>
          <w:lang w:eastAsia="he-IL"/>
        </w:rPr>
        <w:t>כל מה שיוסיף או יגרע</w:t>
      </w:r>
      <w:r w:rsidR="00C37B8F" w:rsidRPr="00414995">
        <w:rPr>
          <w:rFonts w:hint="cs"/>
          <w:rtl/>
          <w:lang w:eastAsia="he-IL"/>
        </w:rPr>
        <w:t xml:space="preserve"> [המלך]</w:t>
      </w:r>
      <w:r w:rsidRPr="00414995">
        <w:rPr>
          <w:rFonts w:hint="cs"/>
          <w:rtl/>
          <w:lang w:eastAsia="he-IL"/>
        </w:rPr>
        <w:t>,</w:t>
      </w:r>
      <w:r w:rsidRPr="00414995">
        <w:rPr>
          <w:rtl/>
          <w:lang w:eastAsia="he-IL"/>
        </w:rPr>
        <w:t xml:space="preserve"> יכו</w:t>
      </w:r>
      <w:r w:rsidRPr="00414995">
        <w:rPr>
          <w:rFonts w:hint="cs"/>
          <w:rtl/>
          <w:lang w:eastAsia="he-IL"/>
        </w:rPr>
        <w:t>ו</w:t>
      </w:r>
      <w:r w:rsidRPr="00414995">
        <w:rPr>
          <w:rtl/>
          <w:lang w:eastAsia="he-IL"/>
        </w:rPr>
        <w:t>ן כדי שחוקי התורה ומצוותיה יהיו יותר נשמרים.</w:t>
      </w:r>
      <w:r w:rsidRPr="00414995">
        <w:rPr>
          <w:rFonts w:hint="cs"/>
          <w:rtl/>
          <w:lang w:eastAsia="he-IL"/>
        </w:rPr>
        <w:t>..</w:t>
      </w:r>
      <w:r w:rsidRPr="00414995">
        <w:rPr>
          <w:rtl/>
          <w:lang w:eastAsia="he-IL"/>
        </w:rPr>
        <w:t xml:space="preserve"> כאשר נאמר על צד המשל, שכשיהרוג הורג נפש בלא עדים והתראה, לא תהיה כ</w:t>
      </w:r>
      <w:r w:rsidRPr="00414995">
        <w:rPr>
          <w:rFonts w:hint="cs"/>
          <w:rtl/>
          <w:lang w:eastAsia="he-IL"/>
        </w:rPr>
        <w:t>ו</w:t>
      </w:r>
      <w:r w:rsidRPr="00414995">
        <w:rPr>
          <w:rtl/>
          <w:lang w:eastAsia="he-IL"/>
        </w:rPr>
        <w:t>ונתו להראות ממשלתו לעם שהוא שליט על זה, אבל יכו</w:t>
      </w:r>
      <w:r w:rsidRPr="00414995">
        <w:rPr>
          <w:rFonts w:hint="cs"/>
          <w:rtl/>
          <w:lang w:eastAsia="he-IL"/>
        </w:rPr>
        <w:t>ו</w:t>
      </w:r>
      <w:r w:rsidRPr="00414995">
        <w:rPr>
          <w:rtl/>
          <w:lang w:eastAsia="he-IL"/>
        </w:rPr>
        <w:t>ן בעשותו זה כדי שמצות 'לא תרצח' תתקיים יותר ולא יפרצו עליה</w:t>
      </w:r>
      <w:r w:rsidRPr="00414995">
        <w:rPr>
          <w:rFonts w:hint="cs"/>
          <w:rtl/>
        </w:rPr>
        <w:t>".</w:t>
      </w:r>
      <w:r w:rsidRPr="00414995">
        <w:rPr>
          <w:rStyle w:val="a7"/>
          <w:rtl/>
        </w:rPr>
        <w:footnoteReference w:id="14"/>
      </w:r>
      <w:r w:rsidRPr="00414995">
        <w:rPr>
          <w:rFonts w:hint="cs"/>
          <w:rtl/>
        </w:rPr>
        <w:t xml:space="preserve"> </w:t>
      </w:r>
    </w:p>
    <w:p w:rsidR="006D5B6A" w:rsidRPr="00414995" w:rsidRDefault="006D5B6A" w:rsidP="00647829">
      <w:pPr>
        <w:pStyle w:val="1"/>
        <w:numPr>
          <w:ilvl w:val="1"/>
          <w:numId w:val="17"/>
        </w:numPr>
        <w:bidi/>
        <w:spacing w:after="120"/>
        <w:rPr>
          <w:rFonts w:ascii="Times New Roman" w:hAnsi="Times New Roman"/>
          <w:b/>
          <w:kern w:val="0"/>
          <w:sz w:val="26"/>
          <w:szCs w:val="26"/>
          <w:lang w:eastAsia="he-IL"/>
        </w:rPr>
      </w:pPr>
      <w:r w:rsidRPr="00414995">
        <w:rPr>
          <w:rFonts w:ascii="Times New Roman" w:hAnsi="Times New Roman" w:hint="cs"/>
          <w:b/>
          <w:kern w:val="0"/>
          <w:sz w:val="26"/>
          <w:szCs w:val="26"/>
          <w:rtl/>
          <w:lang w:eastAsia="he-IL"/>
        </w:rPr>
        <w:t>ע</w:t>
      </w:r>
      <w:r w:rsidR="00FA6036" w:rsidRPr="00414995">
        <w:rPr>
          <w:rFonts w:ascii="Times New Roman" w:hAnsi="Times New Roman" w:hint="cs"/>
          <w:b/>
          <w:kern w:val="0"/>
          <w:sz w:val="26"/>
          <w:szCs w:val="26"/>
          <w:rtl/>
          <w:lang w:eastAsia="he-IL"/>
        </w:rPr>
        <w:t>קרונות היסוד</w:t>
      </w:r>
    </w:p>
    <w:p w:rsidR="00FA6036" w:rsidRPr="00414995" w:rsidRDefault="00FA6036" w:rsidP="00062035">
      <w:pPr>
        <w:rPr>
          <w:rtl/>
          <w:lang w:eastAsia="he-IL"/>
        </w:rPr>
      </w:pPr>
      <w:r w:rsidRPr="00414995">
        <w:rPr>
          <w:rFonts w:hint="cs"/>
          <w:rtl/>
          <w:lang w:eastAsia="he-IL"/>
        </w:rPr>
        <w:t xml:space="preserve">בפתחו של </w:t>
      </w:r>
      <w:r w:rsidR="007C7AC3" w:rsidRPr="00414995">
        <w:rPr>
          <w:rtl/>
          <w:lang w:eastAsia="he-IL"/>
        </w:rPr>
        <w:t>דוח הצוות לבחינת יסודות עבירות ההמתה</w:t>
      </w:r>
      <w:r w:rsidR="007C7AC3" w:rsidRPr="00414995">
        <w:rPr>
          <w:rFonts w:hint="cs"/>
          <w:rtl/>
          <w:lang w:eastAsia="he-IL"/>
        </w:rPr>
        <w:t xml:space="preserve"> </w:t>
      </w:r>
      <w:r w:rsidRPr="00414995">
        <w:rPr>
          <w:rFonts w:hint="cs"/>
          <w:rtl/>
          <w:lang w:eastAsia="he-IL"/>
        </w:rPr>
        <w:t>הובהר</w:t>
      </w:r>
      <w:r w:rsidR="007C7AC3" w:rsidRPr="00414995">
        <w:rPr>
          <w:rFonts w:hint="cs"/>
          <w:rtl/>
          <w:lang w:eastAsia="he-IL"/>
        </w:rPr>
        <w:t>,</w:t>
      </w:r>
      <w:r w:rsidRPr="00414995">
        <w:rPr>
          <w:rFonts w:hint="cs"/>
          <w:rtl/>
          <w:lang w:eastAsia="he-IL"/>
        </w:rPr>
        <w:t xml:space="preserve"> שמסקנות הדוח מבוססות על הרצון ל</w:t>
      </w:r>
      <w:r w:rsidR="00062035">
        <w:rPr>
          <w:rFonts w:hint="cs"/>
          <w:rtl/>
          <w:lang w:eastAsia="he-IL"/>
        </w:rPr>
        <w:t>העניק משקל הולם לשני עקרונות: ע</w:t>
      </w:r>
      <w:r w:rsidRPr="00414995">
        <w:rPr>
          <w:rFonts w:hint="cs"/>
          <w:rtl/>
          <w:lang w:eastAsia="he-IL"/>
        </w:rPr>
        <w:t>קרון קדושת חיי האדם ו"</w:t>
      </w:r>
      <w:r w:rsidRPr="00414995">
        <w:rPr>
          <w:rtl/>
          <w:lang w:eastAsia="he-IL"/>
        </w:rPr>
        <w:t>עקרון האשמה, הנגזר מערך כבוד האדם</w:t>
      </w:r>
      <w:r w:rsidRPr="00414995">
        <w:rPr>
          <w:rFonts w:hint="cs"/>
          <w:rtl/>
          <w:lang w:eastAsia="he-IL"/>
        </w:rPr>
        <w:t>" המחייב ש"</w:t>
      </w:r>
      <w:r w:rsidRPr="00414995">
        <w:rPr>
          <w:rtl/>
          <w:lang w:eastAsia="he-IL"/>
        </w:rPr>
        <w:t>לא תוטל אחריות פלילית על אדם מעבר למידת אשמתו</w:t>
      </w:r>
      <w:r w:rsidRPr="00414995">
        <w:rPr>
          <w:rFonts w:hint="cs"/>
          <w:rtl/>
          <w:lang w:eastAsia="he-IL"/>
        </w:rPr>
        <w:t>"</w:t>
      </w:r>
      <w:r w:rsidRPr="00414995">
        <w:rPr>
          <w:rtl/>
          <w:lang w:eastAsia="he-IL"/>
        </w:rPr>
        <w:t>.</w:t>
      </w:r>
      <w:r w:rsidRPr="00414995">
        <w:rPr>
          <w:rStyle w:val="a7"/>
          <w:rtl/>
          <w:lang w:eastAsia="he-IL"/>
        </w:rPr>
        <w:footnoteReference w:id="15"/>
      </w:r>
    </w:p>
    <w:p w:rsidR="00FA6036" w:rsidRPr="00414995" w:rsidRDefault="00062035" w:rsidP="00647829">
      <w:pPr>
        <w:pStyle w:val="1"/>
        <w:numPr>
          <w:ilvl w:val="2"/>
          <w:numId w:val="17"/>
        </w:numPr>
        <w:bidi/>
        <w:spacing w:after="120"/>
        <w:rPr>
          <w:rFonts w:ascii="Times New Roman" w:hAnsi="Times New Roman"/>
          <w:b/>
          <w:kern w:val="0"/>
          <w:sz w:val="26"/>
          <w:szCs w:val="26"/>
          <w:rtl/>
          <w:lang w:eastAsia="he-IL"/>
        </w:rPr>
      </w:pPr>
      <w:r>
        <w:rPr>
          <w:rFonts w:ascii="Times New Roman" w:hAnsi="Times New Roman" w:hint="cs"/>
          <w:b/>
          <w:kern w:val="0"/>
          <w:sz w:val="26"/>
          <w:szCs w:val="26"/>
          <w:rtl/>
          <w:lang w:eastAsia="he-IL"/>
        </w:rPr>
        <w:lastRenderedPageBreak/>
        <w:t>ע</w:t>
      </w:r>
      <w:r w:rsidR="00FA6036" w:rsidRPr="00414995">
        <w:rPr>
          <w:rFonts w:ascii="Times New Roman" w:hAnsi="Times New Roman" w:hint="cs"/>
          <w:b/>
          <w:kern w:val="0"/>
          <w:sz w:val="26"/>
          <w:szCs w:val="26"/>
          <w:rtl/>
          <w:lang w:eastAsia="he-IL"/>
        </w:rPr>
        <w:t>קרון קדושת החיים</w:t>
      </w:r>
    </w:p>
    <w:p w:rsidR="008349E8" w:rsidRPr="00414995" w:rsidRDefault="008349E8" w:rsidP="00062035">
      <w:pPr>
        <w:rPr>
          <w:rtl/>
          <w:lang w:eastAsia="he-IL"/>
        </w:rPr>
      </w:pPr>
      <w:r w:rsidRPr="00414995">
        <w:rPr>
          <w:rFonts w:hint="cs"/>
          <w:rtl/>
          <w:lang w:eastAsia="he-IL"/>
        </w:rPr>
        <w:t>מן המפורסמות הוא, ש</w:t>
      </w:r>
      <w:r w:rsidR="006D5B6A" w:rsidRPr="00414995">
        <w:rPr>
          <w:rFonts w:hint="cs"/>
          <w:rtl/>
          <w:lang w:eastAsia="he-IL"/>
        </w:rPr>
        <w:t>עקרון קדושת החיים הוא מעקרונות היסוד של ההלכה היהודית</w:t>
      </w:r>
      <w:r w:rsidR="008D2287" w:rsidRPr="00414995">
        <w:rPr>
          <w:rFonts w:hint="cs"/>
          <w:rtl/>
          <w:lang w:eastAsia="he-IL"/>
        </w:rPr>
        <w:t>, כפי שהבהיר השופט אלון ב</w:t>
      </w:r>
      <w:r w:rsidR="008D2287" w:rsidRPr="00414995">
        <w:rPr>
          <w:rFonts w:hint="cs"/>
          <w:b/>
          <w:bCs/>
          <w:rtl/>
          <w:lang w:eastAsia="he-IL"/>
        </w:rPr>
        <w:t>פרשת שפר</w:t>
      </w:r>
      <w:r w:rsidRPr="00414995">
        <w:rPr>
          <w:rFonts w:hint="cs"/>
          <w:rtl/>
          <w:lang w:eastAsia="he-IL"/>
        </w:rPr>
        <w:t xml:space="preserve"> </w:t>
      </w:r>
      <w:r w:rsidRPr="00414995">
        <w:rPr>
          <w:rtl/>
          <w:lang w:eastAsia="he-IL"/>
        </w:rPr>
        <w:t>–</w:t>
      </w:r>
      <w:r w:rsidRPr="00414995">
        <w:rPr>
          <w:rFonts w:hint="cs"/>
          <w:rtl/>
          <w:lang w:eastAsia="he-IL"/>
        </w:rPr>
        <w:t xml:space="preserve"> </w:t>
      </w:r>
    </w:p>
    <w:p w:rsidR="008349E8" w:rsidRPr="00414995" w:rsidRDefault="008349E8" w:rsidP="008349E8">
      <w:pPr>
        <w:spacing w:before="0" w:after="0"/>
        <w:ind w:left="567" w:right="567"/>
        <w:rPr>
          <w:rtl/>
          <w:lang w:eastAsia="he-IL"/>
        </w:rPr>
      </w:pPr>
      <w:r w:rsidRPr="00414995">
        <w:rPr>
          <w:rFonts w:hint="cs"/>
          <w:rtl/>
          <w:lang w:eastAsia="he-IL"/>
        </w:rPr>
        <w:t>עקרון העל הראשוני במערכת המשפט העברי הוא עקרון קדושת החיים שיסודו ברעיון הבסיסי של בריאת האדם בצלם אלוקים, שלאורו ולפיו חיי אדם - כל אדם באשר הוא ולפי שהוא - בריא ושלם בגופו ובנפשו או לקוי ופגום בהם - אין שיעור לערכם ואין מידה לאורכם</w:t>
      </w:r>
      <w:r w:rsidR="00244149" w:rsidRPr="00414995">
        <w:rPr>
          <w:rFonts w:hint="cs"/>
          <w:rtl/>
          <w:lang w:eastAsia="he-IL"/>
        </w:rPr>
        <w:t>.</w:t>
      </w:r>
      <w:r w:rsidR="00244149" w:rsidRPr="00414995">
        <w:rPr>
          <w:rStyle w:val="a7"/>
          <w:rtl/>
          <w:lang w:eastAsia="he-IL"/>
        </w:rPr>
        <w:footnoteReference w:id="16"/>
      </w:r>
    </w:p>
    <w:p w:rsidR="006D5B6A" w:rsidRPr="00414995" w:rsidRDefault="00244149" w:rsidP="002258D1">
      <w:pPr>
        <w:rPr>
          <w:rtl/>
          <w:lang w:eastAsia="he-IL"/>
        </w:rPr>
      </w:pPr>
      <w:r w:rsidRPr="00414995">
        <w:rPr>
          <w:rFonts w:hint="cs"/>
          <w:rtl/>
          <w:lang w:eastAsia="he-IL"/>
        </w:rPr>
        <w:t xml:space="preserve">לכן, </w:t>
      </w:r>
      <w:r w:rsidR="00AC6C5A" w:rsidRPr="00414995">
        <w:rPr>
          <w:rFonts w:hint="cs"/>
          <w:rtl/>
          <w:lang w:eastAsia="he-IL"/>
        </w:rPr>
        <w:t>"כל המאבד נפש אחת כאילו איבד עולם מלא"</w:t>
      </w:r>
      <w:r w:rsidRPr="00414995">
        <w:rPr>
          <w:rFonts w:hint="cs"/>
          <w:rtl/>
          <w:lang w:eastAsia="he-IL"/>
        </w:rPr>
        <w:t>,</w:t>
      </w:r>
      <w:r w:rsidR="00AC6C5A" w:rsidRPr="00414995">
        <w:rPr>
          <w:rStyle w:val="a7"/>
          <w:rtl/>
          <w:lang w:eastAsia="he-IL"/>
        </w:rPr>
        <w:footnoteReference w:id="17"/>
      </w:r>
      <w:r w:rsidR="00FA6036" w:rsidRPr="00414995">
        <w:rPr>
          <w:rFonts w:hint="cs"/>
          <w:rtl/>
          <w:lang w:eastAsia="he-IL"/>
        </w:rPr>
        <w:t xml:space="preserve"> </w:t>
      </w:r>
      <w:r w:rsidRPr="00414995">
        <w:rPr>
          <w:rFonts w:hint="cs"/>
          <w:rtl/>
          <w:lang w:eastAsia="he-IL"/>
        </w:rPr>
        <w:t xml:space="preserve">שכן ברציחה יש משום </w:t>
      </w:r>
      <w:r w:rsidR="006D5B6A" w:rsidRPr="00414995">
        <w:rPr>
          <w:rFonts w:hint="cs"/>
          <w:rtl/>
          <w:lang w:eastAsia="he-IL"/>
        </w:rPr>
        <w:t>"</w:t>
      </w:r>
      <w:r w:rsidR="006D5B6A" w:rsidRPr="00414995">
        <w:rPr>
          <w:rtl/>
          <w:lang w:eastAsia="he-IL"/>
        </w:rPr>
        <w:t>השחתת ישובו של עולם</w:t>
      </w:r>
      <w:r w:rsidR="006D5B6A" w:rsidRPr="00414995">
        <w:rPr>
          <w:rFonts w:hint="cs"/>
          <w:rtl/>
          <w:lang w:eastAsia="he-IL"/>
        </w:rPr>
        <w:t>"</w:t>
      </w:r>
      <w:r w:rsidR="002258D1" w:rsidRPr="00414995">
        <w:rPr>
          <w:rFonts w:hint="cs"/>
          <w:rtl/>
          <w:lang w:eastAsia="he-IL"/>
        </w:rPr>
        <w:t>,</w:t>
      </w:r>
      <w:r w:rsidR="006D5B6A" w:rsidRPr="00414995">
        <w:rPr>
          <w:rStyle w:val="a7"/>
          <w:rtl/>
          <w:lang w:eastAsia="he-IL"/>
        </w:rPr>
        <w:footnoteReference w:id="18"/>
      </w:r>
      <w:r w:rsidR="006D5B6A" w:rsidRPr="00414995">
        <w:rPr>
          <w:rFonts w:hint="cs"/>
          <w:rtl/>
          <w:lang w:eastAsia="he-IL"/>
        </w:rPr>
        <w:t xml:space="preserve"> </w:t>
      </w:r>
      <w:r w:rsidR="002258D1" w:rsidRPr="00414995">
        <w:rPr>
          <w:rFonts w:hint="cs"/>
          <w:rtl/>
          <w:lang w:eastAsia="he-IL"/>
        </w:rPr>
        <w:t>ו</w:t>
      </w:r>
      <w:r w:rsidR="006D5B6A" w:rsidRPr="00414995">
        <w:rPr>
          <w:rFonts w:hint="cs"/>
          <w:rtl/>
          <w:lang w:eastAsia="he-IL"/>
        </w:rPr>
        <w:t>"</w:t>
      </w:r>
      <w:r w:rsidR="006D5B6A" w:rsidRPr="00414995">
        <w:rPr>
          <w:rtl/>
          <w:lang w:eastAsia="he-IL"/>
        </w:rPr>
        <w:t>כל מי שיש בידו עו</w:t>
      </w:r>
      <w:r w:rsidR="006D5B6A" w:rsidRPr="00414995">
        <w:rPr>
          <w:rFonts w:hint="cs"/>
          <w:rtl/>
          <w:lang w:eastAsia="he-IL"/>
        </w:rPr>
        <w:t>ו</w:t>
      </w:r>
      <w:r w:rsidR="006D5B6A" w:rsidRPr="00414995">
        <w:rPr>
          <w:rtl/>
          <w:lang w:eastAsia="he-IL"/>
        </w:rPr>
        <w:t>ן זה הרי הוא רשע גמור ואין כל המצות שעשה כל ימיו שקולין כנגד עו</w:t>
      </w:r>
      <w:r w:rsidR="006D5B6A" w:rsidRPr="00414995">
        <w:rPr>
          <w:rFonts w:hint="cs"/>
          <w:rtl/>
          <w:lang w:eastAsia="he-IL"/>
        </w:rPr>
        <w:t>ו</w:t>
      </w:r>
      <w:r w:rsidR="006D5B6A" w:rsidRPr="00414995">
        <w:rPr>
          <w:rtl/>
          <w:lang w:eastAsia="he-IL"/>
        </w:rPr>
        <w:t>ן זה</w:t>
      </w:r>
      <w:r w:rsidR="006D5B6A" w:rsidRPr="00414995">
        <w:rPr>
          <w:rFonts w:hint="cs"/>
          <w:rtl/>
          <w:lang w:eastAsia="he-IL"/>
        </w:rPr>
        <w:t>,</w:t>
      </w:r>
      <w:r w:rsidR="006D5B6A" w:rsidRPr="00414995">
        <w:rPr>
          <w:rtl/>
          <w:lang w:eastAsia="he-IL"/>
        </w:rPr>
        <w:t xml:space="preserve"> ולא יצילו אותו מן הדין</w:t>
      </w:r>
      <w:r w:rsidR="006D5B6A" w:rsidRPr="00414995">
        <w:rPr>
          <w:rFonts w:hint="cs"/>
          <w:rtl/>
          <w:lang w:eastAsia="he-IL"/>
        </w:rPr>
        <w:t>".</w:t>
      </w:r>
      <w:r w:rsidR="006D5B6A" w:rsidRPr="00414995">
        <w:rPr>
          <w:rStyle w:val="a7"/>
          <w:rtl/>
          <w:lang w:eastAsia="he-IL"/>
        </w:rPr>
        <w:footnoteReference w:id="19"/>
      </w:r>
      <w:r w:rsidR="006D5B6A" w:rsidRPr="00414995">
        <w:rPr>
          <w:rFonts w:hint="cs"/>
          <w:rtl/>
          <w:lang w:eastAsia="he-IL"/>
        </w:rPr>
        <w:t xml:space="preserve"> </w:t>
      </w:r>
    </w:p>
    <w:p w:rsidR="006D5B6A" w:rsidRPr="00414995" w:rsidRDefault="002258D1" w:rsidP="002258D1">
      <w:pPr>
        <w:rPr>
          <w:rtl/>
          <w:lang w:eastAsia="he-IL"/>
        </w:rPr>
      </w:pPr>
      <w:r w:rsidRPr="00414995">
        <w:rPr>
          <w:rFonts w:hint="cs"/>
          <w:rtl/>
          <w:lang w:eastAsia="he-IL"/>
        </w:rPr>
        <w:t>לפי הרמב"ם, אף החובה המוסרית להטיל על הרוצח את העונש החמור ביותר האפשרי, ולא להמיר את עונשו של הרוצח בענישה ממונית (כופר), נועד להבהיר את חומרתה של עבירת הרצח</w:t>
      </w:r>
      <w:r w:rsidR="006D5B6A" w:rsidRPr="00414995">
        <w:rPr>
          <w:rFonts w:hint="cs"/>
          <w:rtl/>
          <w:lang w:eastAsia="he-IL"/>
        </w:rPr>
        <w:t xml:space="preserve"> </w:t>
      </w:r>
      <w:r w:rsidR="006D5B6A" w:rsidRPr="00414995">
        <w:rPr>
          <w:rtl/>
          <w:lang w:eastAsia="he-IL"/>
        </w:rPr>
        <w:t>–</w:t>
      </w:r>
      <w:r w:rsidR="006D5B6A" w:rsidRPr="00414995">
        <w:rPr>
          <w:rFonts w:hint="cs"/>
          <w:rtl/>
          <w:lang w:eastAsia="he-IL"/>
        </w:rPr>
        <w:t xml:space="preserve"> </w:t>
      </w:r>
    </w:p>
    <w:p w:rsidR="006D5B6A" w:rsidRPr="00414995" w:rsidRDefault="002258D1" w:rsidP="00077D3D">
      <w:pPr>
        <w:spacing w:before="0" w:after="0"/>
        <w:ind w:left="567" w:right="567"/>
      </w:pPr>
      <w:r w:rsidRPr="00414995">
        <w:rPr>
          <w:rFonts w:hint="cs"/>
          <w:rtl/>
          <w:lang w:eastAsia="he-IL"/>
        </w:rPr>
        <w:t>ה</w:t>
      </w:r>
      <w:r w:rsidR="006D5B6A" w:rsidRPr="00414995">
        <w:rPr>
          <w:rFonts w:hint="cs"/>
          <w:rtl/>
          <w:lang w:eastAsia="he-IL"/>
        </w:rPr>
        <w:t>הורג</w:t>
      </w:r>
      <w:r w:rsidR="006D5B6A" w:rsidRPr="00414995">
        <w:rPr>
          <w:rtl/>
          <w:lang w:eastAsia="he-IL"/>
        </w:rPr>
        <w:t xml:space="preserve"> </w:t>
      </w:r>
      <w:r w:rsidR="006D5B6A" w:rsidRPr="00414995">
        <w:rPr>
          <w:rFonts w:hint="cs"/>
          <w:rtl/>
        </w:rPr>
        <w:t>לבד</w:t>
      </w:r>
      <w:r w:rsidR="006D5B6A" w:rsidRPr="00414995">
        <w:rPr>
          <w:rFonts w:hint="cs"/>
          <w:rtl/>
          <w:lang w:eastAsia="he-IL"/>
        </w:rPr>
        <w:t xml:space="preserve"> [=רק ההורג],</w:t>
      </w:r>
      <w:r w:rsidR="006D5B6A" w:rsidRPr="00414995">
        <w:rPr>
          <w:rtl/>
          <w:lang w:eastAsia="he-IL"/>
        </w:rPr>
        <w:t xml:space="preserve"> </w:t>
      </w:r>
      <w:r w:rsidR="006D5B6A" w:rsidRPr="00414995">
        <w:rPr>
          <w:rFonts w:hint="cs"/>
          <w:rtl/>
        </w:rPr>
        <w:t>לחוזק</w:t>
      </w:r>
      <w:r w:rsidR="006D5B6A" w:rsidRPr="00414995">
        <w:rPr>
          <w:rtl/>
          <w:lang w:eastAsia="he-IL"/>
        </w:rPr>
        <w:t xml:space="preserve"> </w:t>
      </w:r>
      <w:r w:rsidR="006D5B6A" w:rsidRPr="00414995">
        <w:rPr>
          <w:rFonts w:hint="cs"/>
          <w:rtl/>
          <w:lang w:eastAsia="he-IL"/>
        </w:rPr>
        <w:t>חטאתו</w:t>
      </w:r>
      <w:r w:rsidR="00FA6036" w:rsidRPr="00414995">
        <w:rPr>
          <w:rFonts w:hint="cs"/>
          <w:rtl/>
          <w:lang w:eastAsia="he-IL"/>
        </w:rPr>
        <w:t>,</w:t>
      </w:r>
      <w:r w:rsidR="006D5B6A" w:rsidRPr="00414995">
        <w:rPr>
          <w:rtl/>
          <w:lang w:eastAsia="he-IL"/>
        </w:rPr>
        <w:t xml:space="preserve"> </w:t>
      </w:r>
      <w:r w:rsidR="006D5B6A" w:rsidRPr="00414995">
        <w:rPr>
          <w:rFonts w:hint="cs"/>
          <w:rtl/>
          <w:lang w:eastAsia="he-IL"/>
        </w:rPr>
        <w:t>אין</w:t>
      </w:r>
      <w:r w:rsidR="006D5B6A" w:rsidRPr="00414995">
        <w:rPr>
          <w:rtl/>
          <w:lang w:eastAsia="he-IL"/>
        </w:rPr>
        <w:t xml:space="preserve"> </w:t>
      </w:r>
      <w:r w:rsidR="006D5B6A" w:rsidRPr="00414995">
        <w:rPr>
          <w:rFonts w:hint="cs"/>
          <w:rtl/>
          <w:lang w:eastAsia="he-IL"/>
        </w:rPr>
        <w:t>מקילין</w:t>
      </w:r>
      <w:r w:rsidR="006D5B6A" w:rsidRPr="00414995">
        <w:rPr>
          <w:rtl/>
          <w:lang w:eastAsia="he-IL"/>
        </w:rPr>
        <w:t xml:space="preserve"> </w:t>
      </w:r>
      <w:r w:rsidR="006D5B6A" w:rsidRPr="00414995">
        <w:rPr>
          <w:rFonts w:hint="cs"/>
          <w:rtl/>
          <w:lang w:eastAsia="he-IL"/>
        </w:rPr>
        <w:t>לו</w:t>
      </w:r>
      <w:r w:rsidR="006D5B6A" w:rsidRPr="00414995">
        <w:rPr>
          <w:rtl/>
          <w:lang w:eastAsia="he-IL"/>
        </w:rPr>
        <w:t xml:space="preserve"> </w:t>
      </w:r>
      <w:r w:rsidR="006D5B6A" w:rsidRPr="00414995">
        <w:rPr>
          <w:rFonts w:hint="cs"/>
          <w:rtl/>
          <w:lang w:eastAsia="he-IL"/>
        </w:rPr>
        <w:t>כלל</w:t>
      </w:r>
      <w:r w:rsidR="006D5B6A" w:rsidRPr="00414995">
        <w:rPr>
          <w:rtl/>
          <w:lang w:eastAsia="he-IL"/>
        </w:rPr>
        <w:t xml:space="preserve"> </w:t>
      </w:r>
      <w:r w:rsidR="006D5B6A" w:rsidRPr="00414995">
        <w:rPr>
          <w:rFonts w:hint="cs"/>
          <w:rtl/>
          <w:lang w:eastAsia="he-IL"/>
        </w:rPr>
        <w:t>ולא</w:t>
      </w:r>
      <w:r w:rsidR="006D5B6A" w:rsidRPr="00414995">
        <w:rPr>
          <w:rtl/>
          <w:lang w:eastAsia="he-IL"/>
        </w:rPr>
        <w:t xml:space="preserve"> </w:t>
      </w:r>
      <w:r w:rsidR="006D5B6A" w:rsidRPr="00414995">
        <w:rPr>
          <w:rFonts w:hint="cs"/>
          <w:rtl/>
          <w:lang w:eastAsia="he-IL"/>
        </w:rPr>
        <w:t>י</w:t>
      </w:r>
      <w:r w:rsidRPr="00414995">
        <w:rPr>
          <w:rFonts w:hint="cs"/>
          <w:rtl/>
          <w:lang w:eastAsia="he-IL"/>
        </w:rPr>
        <w:t>י</w:t>
      </w:r>
      <w:r w:rsidR="006D5B6A" w:rsidRPr="00414995">
        <w:rPr>
          <w:rFonts w:hint="cs"/>
          <w:rtl/>
          <w:lang w:eastAsia="he-IL"/>
        </w:rPr>
        <w:t>לקח</w:t>
      </w:r>
      <w:r w:rsidR="006D5B6A" w:rsidRPr="00414995">
        <w:rPr>
          <w:rtl/>
          <w:lang w:eastAsia="he-IL"/>
        </w:rPr>
        <w:t xml:space="preserve"> </w:t>
      </w:r>
      <w:r w:rsidR="006D5B6A" w:rsidRPr="00414995">
        <w:rPr>
          <w:rFonts w:hint="cs"/>
          <w:rtl/>
          <w:lang w:eastAsia="he-IL"/>
        </w:rPr>
        <w:t>ממנו</w:t>
      </w:r>
      <w:r w:rsidR="006D5B6A" w:rsidRPr="00414995">
        <w:rPr>
          <w:rtl/>
          <w:lang w:eastAsia="he-IL"/>
        </w:rPr>
        <w:t xml:space="preserve"> </w:t>
      </w:r>
      <w:r w:rsidR="006D5B6A" w:rsidRPr="00414995">
        <w:rPr>
          <w:rFonts w:hint="cs"/>
          <w:rtl/>
          <w:lang w:eastAsia="he-IL"/>
        </w:rPr>
        <w:t>כופר</w:t>
      </w:r>
      <w:r w:rsidR="00077D3D" w:rsidRPr="00414995">
        <w:rPr>
          <w:rFonts w:hint="cs"/>
          <w:rtl/>
          <w:lang w:eastAsia="he-IL"/>
        </w:rPr>
        <w:t xml:space="preserve">... </w:t>
      </w:r>
      <w:r w:rsidR="006D5B6A" w:rsidRPr="00414995">
        <w:rPr>
          <w:rFonts w:hint="cs"/>
          <w:rtl/>
          <w:lang w:eastAsia="he-IL"/>
        </w:rPr>
        <w:t>ומפני</w:t>
      </w:r>
      <w:r w:rsidR="006D5B6A" w:rsidRPr="00414995">
        <w:rPr>
          <w:rtl/>
          <w:lang w:eastAsia="he-IL"/>
        </w:rPr>
        <w:t xml:space="preserve"> </w:t>
      </w:r>
      <w:r w:rsidR="006D5B6A" w:rsidRPr="00414995">
        <w:rPr>
          <w:rFonts w:hint="cs"/>
          <w:rtl/>
          <w:lang w:eastAsia="he-IL"/>
        </w:rPr>
        <w:t>זה</w:t>
      </w:r>
      <w:r w:rsidR="006D5B6A" w:rsidRPr="00414995">
        <w:rPr>
          <w:rtl/>
          <w:lang w:eastAsia="he-IL"/>
        </w:rPr>
        <w:t xml:space="preserve"> </w:t>
      </w:r>
      <w:r w:rsidR="006D5B6A" w:rsidRPr="00414995">
        <w:rPr>
          <w:rFonts w:hint="cs"/>
          <w:rtl/>
          <w:lang w:eastAsia="he-IL"/>
        </w:rPr>
        <w:t>אילו</w:t>
      </w:r>
      <w:r w:rsidR="006D5B6A" w:rsidRPr="00414995">
        <w:rPr>
          <w:rtl/>
          <w:lang w:eastAsia="he-IL"/>
        </w:rPr>
        <w:t xml:space="preserve"> </w:t>
      </w:r>
      <w:r w:rsidR="006D5B6A" w:rsidRPr="00414995">
        <w:rPr>
          <w:rFonts w:hint="cs"/>
          <w:rtl/>
          <w:lang w:eastAsia="he-IL"/>
        </w:rPr>
        <w:t>חיה</w:t>
      </w:r>
      <w:r w:rsidR="006D5B6A" w:rsidRPr="00414995">
        <w:rPr>
          <w:rtl/>
          <w:lang w:eastAsia="he-IL"/>
        </w:rPr>
        <w:t xml:space="preserve"> </w:t>
      </w:r>
      <w:r w:rsidR="006D5B6A" w:rsidRPr="00414995">
        <w:rPr>
          <w:rFonts w:hint="cs"/>
          <w:rtl/>
          <w:lang w:eastAsia="he-IL"/>
        </w:rPr>
        <w:t>הנהרג</w:t>
      </w:r>
      <w:r w:rsidR="006D5B6A" w:rsidRPr="00414995">
        <w:rPr>
          <w:rtl/>
          <w:lang w:eastAsia="he-IL"/>
        </w:rPr>
        <w:t xml:space="preserve"> </w:t>
      </w:r>
      <w:r w:rsidR="006D5B6A" w:rsidRPr="00414995">
        <w:rPr>
          <w:rFonts w:hint="cs"/>
          <w:rtl/>
          <w:lang w:eastAsia="he-IL"/>
        </w:rPr>
        <w:t>שעה</w:t>
      </w:r>
      <w:r w:rsidR="006D5B6A" w:rsidRPr="00414995">
        <w:rPr>
          <w:rtl/>
          <w:lang w:eastAsia="he-IL"/>
        </w:rPr>
        <w:t xml:space="preserve"> </w:t>
      </w:r>
      <w:r w:rsidR="006D5B6A" w:rsidRPr="00414995">
        <w:rPr>
          <w:rFonts w:hint="cs"/>
          <w:rtl/>
          <w:lang w:eastAsia="he-IL"/>
        </w:rPr>
        <w:t>אחת</w:t>
      </w:r>
      <w:r w:rsidR="006D5B6A" w:rsidRPr="00414995">
        <w:rPr>
          <w:rtl/>
          <w:lang w:eastAsia="he-IL"/>
        </w:rPr>
        <w:t xml:space="preserve"> </w:t>
      </w:r>
      <w:r w:rsidR="006D5B6A" w:rsidRPr="00414995">
        <w:rPr>
          <w:rFonts w:hint="cs"/>
          <w:rtl/>
          <w:lang w:eastAsia="he-IL"/>
        </w:rPr>
        <w:t>או</w:t>
      </w:r>
      <w:r w:rsidR="006D5B6A" w:rsidRPr="00414995">
        <w:rPr>
          <w:rtl/>
          <w:lang w:eastAsia="he-IL"/>
        </w:rPr>
        <w:t xml:space="preserve"> </w:t>
      </w:r>
      <w:r w:rsidR="006D5B6A" w:rsidRPr="00414995">
        <w:rPr>
          <w:rFonts w:hint="cs"/>
          <w:rtl/>
          <w:lang w:eastAsia="he-IL"/>
        </w:rPr>
        <w:t>ימים</w:t>
      </w:r>
      <w:r w:rsidR="006D5B6A" w:rsidRPr="00414995">
        <w:rPr>
          <w:rtl/>
          <w:lang w:eastAsia="he-IL"/>
        </w:rPr>
        <w:t xml:space="preserve"> </w:t>
      </w:r>
      <w:r w:rsidR="006D5B6A" w:rsidRPr="00414995">
        <w:rPr>
          <w:rFonts w:hint="cs"/>
          <w:rtl/>
          <w:lang w:eastAsia="he-IL"/>
        </w:rPr>
        <w:t>והוא</w:t>
      </w:r>
      <w:r w:rsidR="006D5B6A" w:rsidRPr="00414995">
        <w:rPr>
          <w:rtl/>
          <w:lang w:eastAsia="he-IL"/>
        </w:rPr>
        <w:t xml:space="preserve"> </w:t>
      </w:r>
      <w:r w:rsidR="006D5B6A" w:rsidRPr="00414995">
        <w:rPr>
          <w:rFonts w:hint="cs"/>
          <w:rtl/>
          <w:lang w:eastAsia="he-IL"/>
        </w:rPr>
        <w:t>מדבר</w:t>
      </w:r>
      <w:r w:rsidR="006D5B6A" w:rsidRPr="00414995">
        <w:rPr>
          <w:rtl/>
          <w:lang w:eastAsia="he-IL"/>
        </w:rPr>
        <w:t xml:space="preserve"> </w:t>
      </w:r>
      <w:r w:rsidR="006D5B6A" w:rsidRPr="00414995">
        <w:rPr>
          <w:rFonts w:hint="cs"/>
          <w:rtl/>
          <w:lang w:eastAsia="he-IL"/>
        </w:rPr>
        <w:t>ושכלו</w:t>
      </w:r>
      <w:r w:rsidR="006D5B6A" w:rsidRPr="00414995">
        <w:rPr>
          <w:rtl/>
          <w:lang w:eastAsia="he-IL"/>
        </w:rPr>
        <w:t xml:space="preserve"> </w:t>
      </w:r>
      <w:r w:rsidR="006D5B6A" w:rsidRPr="00414995">
        <w:rPr>
          <w:rFonts w:hint="cs"/>
          <w:rtl/>
          <w:lang w:eastAsia="he-IL"/>
        </w:rPr>
        <w:t>טוב</w:t>
      </w:r>
      <w:r w:rsidR="006D5B6A" w:rsidRPr="00414995">
        <w:rPr>
          <w:rtl/>
          <w:lang w:eastAsia="he-IL"/>
        </w:rPr>
        <w:t xml:space="preserve"> </w:t>
      </w:r>
      <w:r w:rsidR="006D5B6A" w:rsidRPr="00414995">
        <w:rPr>
          <w:rFonts w:hint="cs"/>
          <w:rtl/>
          <w:lang w:eastAsia="he-IL"/>
        </w:rPr>
        <w:t>ויאמר:</w:t>
      </w:r>
      <w:r w:rsidR="006D5B6A" w:rsidRPr="00414995">
        <w:rPr>
          <w:rtl/>
          <w:lang w:eastAsia="he-IL"/>
        </w:rPr>
        <w:t xml:space="preserve"> </w:t>
      </w:r>
      <w:r w:rsidR="006D5B6A" w:rsidRPr="00414995">
        <w:rPr>
          <w:rFonts w:hint="cs"/>
          <w:rtl/>
          <w:lang w:eastAsia="he-IL"/>
        </w:rPr>
        <w:t>'הניחו</w:t>
      </w:r>
      <w:r w:rsidR="006D5B6A" w:rsidRPr="00414995">
        <w:rPr>
          <w:rtl/>
          <w:lang w:eastAsia="he-IL"/>
        </w:rPr>
        <w:t xml:space="preserve"> </w:t>
      </w:r>
      <w:r w:rsidR="006D5B6A" w:rsidRPr="00414995">
        <w:rPr>
          <w:rFonts w:hint="cs"/>
          <w:rtl/>
          <w:lang w:eastAsia="he-IL"/>
        </w:rPr>
        <w:t>הורגי,</w:t>
      </w:r>
      <w:r w:rsidR="006D5B6A" w:rsidRPr="00414995">
        <w:rPr>
          <w:rtl/>
          <w:lang w:eastAsia="he-IL"/>
        </w:rPr>
        <w:t xml:space="preserve"> </w:t>
      </w:r>
      <w:r w:rsidR="006D5B6A" w:rsidRPr="00414995">
        <w:rPr>
          <w:rFonts w:hint="cs"/>
          <w:rtl/>
          <w:lang w:eastAsia="he-IL"/>
        </w:rPr>
        <w:t>הנה</w:t>
      </w:r>
      <w:r w:rsidR="006D5B6A" w:rsidRPr="00414995">
        <w:rPr>
          <w:rtl/>
          <w:lang w:eastAsia="he-IL"/>
        </w:rPr>
        <w:t xml:space="preserve"> </w:t>
      </w:r>
      <w:r w:rsidR="006D5B6A" w:rsidRPr="00414995">
        <w:rPr>
          <w:rFonts w:hint="cs"/>
          <w:rtl/>
          <w:lang w:eastAsia="he-IL"/>
        </w:rPr>
        <w:t>מחלתי</w:t>
      </w:r>
      <w:r w:rsidR="006D5B6A" w:rsidRPr="00414995">
        <w:rPr>
          <w:rtl/>
          <w:lang w:eastAsia="he-IL"/>
        </w:rPr>
        <w:t xml:space="preserve"> </w:t>
      </w:r>
      <w:r w:rsidR="006D5B6A" w:rsidRPr="00414995">
        <w:rPr>
          <w:rFonts w:hint="cs"/>
          <w:rtl/>
          <w:lang w:eastAsia="he-IL"/>
        </w:rPr>
        <w:t>וסלחתי</w:t>
      </w:r>
      <w:r w:rsidR="006D5B6A" w:rsidRPr="00414995">
        <w:rPr>
          <w:rtl/>
          <w:lang w:eastAsia="he-IL"/>
        </w:rPr>
        <w:t xml:space="preserve"> </w:t>
      </w:r>
      <w:r w:rsidR="006D5B6A" w:rsidRPr="00414995">
        <w:rPr>
          <w:rFonts w:hint="cs"/>
          <w:rtl/>
          <w:lang w:eastAsia="he-IL"/>
        </w:rPr>
        <w:t xml:space="preserve">לו' </w:t>
      </w:r>
      <w:r w:rsidR="006D5B6A" w:rsidRPr="00414995">
        <w:rPr>
          <w:rtl/>
          <w:lang w:eastAsia="he-IL"/>
        </w:rPr>
        <w:t>–</w:t>
      </w:r>
      <w:r w:rsidR="006D5B6A" w:rsidRPr="00414995">
        <w:rPr>
          <w:rFonts w:hint="cs"/>
          <w:rtl/>
          <w:lang w:eastAsia="he-IL"/>
        </w:rPr>
        <w:t xml:space="preserve"> אין</w:t>
      </w:r>
      <w:r w:rsidR="006D5B6A" w:rsidRPr="00414995">
        <w:rPr>
          <w:rtl/>
          <w:lang w:eastAsia="he-IL"/>
        </w:rPr>
        <w:t xml:space="preserve"> </w:t>
      </w:r>
      <w:r w:rsidR="006D5B6A" w:rsidRPr="00414995">
        <w:rPr>
          <w:rFonts w:hint="cs"/>
          <w:rtl/>
          <w:lang w:eastAsia="he-IL"/>
        </w:rPr>
        <w:t>שומעים</w:t>
      </w:r>
      <w:r w:rsidR="006D5B6A" w:rsidRPr="00414995">
        <w:rPr>
          <w:rtl/>
          <w:lang w:eastAsia="he-IL"/>
        </w:rPr>
        <w:t xml:space="preserve"> </w:t>
      </w:r>
      <w:r w:rsidR="006D5B6A" w:rsidRPr="00414995">
        <w:rPr>
          <w:rFonts w:hint="cs"/>
          <w:rtl/>
          <w:lang w:eastAsia="he-IL"/>
        </w:rPr>
        <w:t>לו</w:t>
      </w:r>
      <w:r w:rsidR="006D5B6A" w:rsidRPr="00414995">
        <w:rPr>
          <w:rtl/>
          <w:lang w:eastAsia="he-IL"/>
        </w:rPr>
        <w:t>,</w:t>
      </w:r>
      <w:r w:rsidR="00077D3D" w:rsidRPr="00414995">
        <w:rPr>
          <w:rStyle w:val="a7"/>
          <w:rtl/>
          <w:lang w:eastAsia="he-IL"/>
        </w:rPr>
        <w:footnoteReference w:id="20"/>
      </w:r>
      <w:r w:rsidR="006D5B6A" w:rsidRPr="00414995">
        <w:rPr>
          <w:rtl/>
          <w:lang w:eastAsia="he-IL"/>
        </w:rPr>
        <w:t xml:space="preserve"> </w:t>
      </w:r>
      <w:r w:rsidR="006D5B6A" w:rsidRPr="00414995">
        <w:rPr>
          <w:rFonts w:hint="cs"/>
          <w:rtl/>
          <w:lang w:eastAsia="he-IL"/>
        </w:rPr>
        <w:t>אבל</w:t>
      </w:r>
      <w:r w:rsidR="006D5B6A" w:rsidRPr="00414995">
        <w:rPr>
          <w:rtl/>
          <w:lang w:eastAsia="he-IL"/>
        </w:rPr>
        <w:t xml:space="preserve"> </w:t>
      </w:r>
      <w:r w:rsidR="006D5B6A" w:rsidRPr="00414995">
        <w:rPr>
          <w:rFonts w:hint="cs"/>
          <w:rtl/>
          <w:lang w:eastAsia="he-IL"/>
        </w:rPr>
        <w:t>נפש</w:t>
      </w:r>
      <w:r w:rsidR="006D5B6A" w:rsidRPr="00414995">
        <w:rPr>
          <w:rtl/>
          <w:lang w:eastAsia="he-IL"/>
        </w:rPr>
        <w:t xml:space="preserve"> </w:t>
      </w:r>
      <w:r w:rsidR="006D5B6A" w:rsidRPr="00414995">
        <w:rPr>
          <w:rFonts w:hint="cs"/>
          <w:rtl/>
          <w:lang w:eastAsia="he-IL"/>
        </w:rPr>
        <w:t>בנפש</w:t>
      </w:r>
      <w:r w:rsidR="006D5B6A" w:rsidRPr="00414995">
        <w:rPr>
          <w:rtl/>
          <w:lang w:eastAsia="he-IL"/>
        </w:rPr>
        <w:t xml:space="preserve"> </w:t>
      </w:r>
      <w:r w:rsidR="006D5B6A" w:rsidRPr="00414995">
        <w:rPr>
          <w:rFonts w:hint="cs"/>
          <w:rtl/>
          <w:lang w:eastAsia="he-IL"/>
        </w:rPr>
        <w:t>בהכרח</w:t>
      </w:r>
      <w:r w:rsidR="006D5B6A" w:rsidRPr="00414995">
        <w:rPr>
          <w:rtl/>
          <w:lang w:eastAsia="he-IL"/>
        </w:rPr>
        <w:t xml:space="preserve">, </w:t>
      </w:r>
      <w:r w:rsidR="006D5B6A" w:rsidRPr="00414995">
        <w:rPr>
          <w:rFonts w:hint="cs"/>
          <w:rtl/>
          <w:lang w:eastAsia="he-IL"/>
        </w:rPr>
        <w:t>בהשוות</w:t>
      </w:r>
      <w:r w:rsidR="006D5B6A" w:rsidRPr="00414995">
        <w:rPr>
          <w:rtl/>
          <w:lang w:eastAsia="he-IL"/>
        </w:rPr>
        <w:t xml:space="preserve"> </w:t>
      </w:r>
      <w:r w:rsidR="006D5B6A" w:rsidRPr="00414995">
        <w:rPr>
          <w:rFonts w:hint="cs"/>
          <w:rtl/>
          <w:lang w:eastAsia="he-IL"/>
        </w:rPr>
        <w:t>הקטן</w:t>
      </w:r>
      <w:r w:rsidR="006D5B6A" w:rsidRPr="00414995">
        <w:rPr>
          <w:rtl/>
          <w:lang w:eastAsia="he-IL"/>
        </w:rPr>
        <w:t xml:space="preserve"> </w:t>
      </w:r>
      <w:r w:rsidR="006D5B6A" w:rsidRPr="00414995">
        <w:rPr>
          <w:rFonts w:hint="cs"/>
          <w:rtl/>
          <w:lang w:eastAsia="he-IL"/>
        </w:rPr>
        <w:t>לגדול</w:t>
      </w:r>
      <w:r w:rsidR="006D5B6A" w:rsidRPr="00414995">
        <w:rPr>
          <w:rtl/>
          <w:lang w:eastAsia="he-IL"/>
        </w:rPr>
        <w:t xml:space="preserve"> </w:t>
      </w:r>
      <w:r w:rsidR="006D5B6A" w:rsidRPr="00414995">
        <w:rPr>
          <w:rFonts w:hint="cs"/>
          <w:rtl/>
          <w:lang w:eastAsia="he-IL"/>
        </w:rPr>
        <w:t>והעבד</w:t>
      </w:r>
      <w:r w:rsidR="006D5B6A" w:rsidRPr="00414995">
        <w:rPr>
          <w:rtl/>
          <w:lang w:eastAsia="he-IL"/>
        </w:rPr>
        <w:t xml:space="preserve"> </w:t>
      </w:r>
      <w:r w:rsidR="006D5B6A" w:rsidRPr="00414995">
        <w:rPr>
          <w:rFonts w:hint="cs"/>
          <w:rtl/>
          <w:lang w:eastAsia="he-IL"/>
        </w:rPr>
        <w:t>לבן</w:t>
      </w:r>
      <w:r w:rsidR="006D5B6A" w:rsidRPr="00414995">
        <w:rPr>
          <w:rtl/>
          <w:lang w:eastAsia="he-IL"/>
        </w:rPr>
        <w:t xml:space="preserve"> </w:t>
      </w:r>
      <w:r w:rsidR="006D5B6A" w:rsidRPr="00414995">
        <w:rPr>
          <w:rFonts w:hint="cs"/>
          <w:rtl/>
          <w:lang w:eastAsia="he-IL"/>
        </w:rPr>
        <w:t>חורין</w:t>
      </w:r>
      <w:r w:rsidR="006D5B6A" w:rsidRPr="00414995">
        <w:rPr>
          <w:rtl/>
          <w:lang w:eastAsia="he-IL"/>
        </w:rPr>
        <w:t xml:space="preserve"> </w:t>
      </w:r>
      <w:r w:rsidR="006D5B6A" w:rsidRPr="00414995">
        <w:rPr>
          <w:rFonts w:hint="cs"/>
          <w:rtl/>
          <w:lang w:eastAsia="he-IL"/>
        </w:rPr>
        <w:t>והחכם</w:t>
      </w:r>
      <w:r w:rsidR="006D5B6A" w:rsidRPr="00414995">
        <w:rPr>
          <w:rtl/>
          <w:lang w:eastAsia="he-IL"/>
        </w:rPr>
        <w:t xml:space="preserve"> </w:t>
      </w:r>
      <w:r w:rsidR="006D5B6A" w:rsidRPr="00414995">
        <w:rPr>
          <w:rFonts w:hint="cs"/>
          <w:rtl/>
          <w:lang w:eastAsia="he-IL"/>
        </w:rPr>
        <w:t>לסכל</w:t>
      </w:r>
      <w:r w:rsidR="006D5B6A" w:rsidRPr="00414995">
        <w:rPr>
          <w:rtl/>
          <w:lang w:eastAsia="he-IL"/>
        </w:rPr>
        <w:t xml:space="preserve">, </w:t>
      </w:r>
      <w:r w:rsidR="006D5B6A" w:rsidRPr="00414995">
        <w:rPr>
          <w:rFonts w:hint="cs"/>
          <w:b/>
          <w:bCs/>
          <w:rtl/>
          <w:lang w:eastAsia="he-IL"/>
        </w:rPr>
        <w:t>שאין</w:t>
      </w:r>
      <w:r w:rsidR="006D5B6A" w:rsidRPr="00414995">
        <w:rPr>
          <w:b/>
          <w:bCs/>
          <w:rtl/>
          <w:lang w:eastAsia="he-IL"/>
        </w:rPr>
        <w:t xml:space="preserve"> </w:t>
      </w:r>
      <w:r w:rsidR="006D5B6A" w:rsidRPr="00414995">
        <w:rPr>
          <w:rFonts w:hint="cs"/>
          <w:b/>
          <w:bCs/>
          <w:rtl/>
          <w:lang w:eastAsia="he-IL"/>
        </w:rPr>
        <w:t>בכל</w:t>
      </w:r>
      <w:r w:rsidR="006D5B6A" w:rsidRPr="00414995">
        <w:rPr>
          <w:b/>
          <w:bCs/>
          <w:rtl/>
          <w:lang w:eastAsia="he-IL"/>
        </w:rPr>
        <w:t xml:space="preserve"> </w:t>
      </w:r>
      <w:r w:rsidR="006D5B6A" w:rsidRPr="00414995">
        <w:rPr>
          <w:rFonts w:hint="cs"/>
          <w:b/>
          <w:bCs/>
          <w:rtl/>
          <w:lang w:eastAsia="he-IL"/>
        </w:rPr>
        <w:t>חטאת</w:t>
      </w:r>
      <w:r w:rsidR="006D5B6A" w:rsidRPr="00414995">
        <w:rPr>
          <w:b/>
          <w:bCs/>
          <w:rtl/>
          <w:lang w:eastAsia="he-IL"/>
        </w:rPr>
        <w:t xml:space="preserve"> </w:t>
      </w:r>
      <w:r w:rsidR="006D5B6A" w:rsidRPr="00414995">
        <w:rPr>
          <w:rFonts w:hint="cs"/>
          <w:b/>
          <w:bCs/>
          <w:rtl/>
          <w:lang w:eastAsia="he-IL"/>
        </w:rPr>
        <w:t>האדם</w:t>
      </w:r>
      <w:r w:rsidR="006D5B6A" w:rsidRPr="00414995">
        <w:rPr>
          <w:b/>
          <w:bCs/>
          <w:rtl/>
          <w:lang w:eastAsia="he-IL"/>
        </w:rPr>
        <w:t xml:space="preserve"> </w:t>
      </w:r>
      <w:r w:rsidR="006D5B6A" w:rsidRPr="00414995">
        <w:rPr>
          <w:rFonts w:hint="cs"/>
          <w:b/>
          <w:bCs/>
          <w:rtl/>
          <w:lang w:eastAsia="he-IL"/>
        </w:rPr>
        <w:t>יותר</w:t>
      </w:r>
      <w:r w:rsidR="006D5B6A" w:rsidRPr="00414995">
        <w:rPr>
          <w:b/>
          <w:bCs/>
          <w:rtl/>
          <w:lang w:eastAsia="he-IL"/>
        </w:rPr>
        <w:t xml:space="preserve"> </w:t>
      </w:r>
      <w:r w:rsidR="006D5B6A" w:rsidRPr="00414995">
        <w:rPr>
          <w:rFonts w:hint="cs"/>
          <w:b/>
          <w:bCs/>
          <w:rtl/>
          <w:lang w:eastAsia="he-IL"/>
        </w:rPr>
        <w:t>גדול</w:t>
      </w:r>
      <w:r w:rsidR="006D5B6A" w:rsidRPr="00414995">
        <w:rPr>
          <w:b/>
          <w:bCs/>
          <w:rtl/>
          <w:lang w:eastAsia="he-IL"/>
        </w:rPr>
        <w:t xml:space="preserve"> </w:t>
      </w:r>
      <w:r w:rsidR="006D5B6A" w:rsidRPr="00414995">
        <w:rPr>
          <w:rFonts w:hint="cs"/>
          <w:b/>
          <w:bCs/>
          <w:rtl/>
          <w:lang w:eastAsia="he-IL"/>
        </w:rPr>
        <w:t>מזה</w:t>
      </w:r>
      <w:r w:rsidR="006D5B6A" w:rsidRPr="00414995">
        <w:rPr>
          <w:rFonts w:hint="cs"/>
          <w:rtl/>
          <w:lang w:eastAsia="he-IL"/>
        </w:rPr>
        <w:t>.</w:t>
      </w:r>
      <w:r w:rsidR="006D5B6A" w:rsidRPr="00414995">
        <w:rPr>
          <w:rStyle w:val="a7"/>
          <w:rtl/>
          <w:lang w:eastAsia="he-IL"/>
        </w:rPr>
        <w:footnoteReference w:id="21"/>
      </w:r>
      <w:r w:rsidR="006D5B6A" w:rsidRPr="00414995">
        <w:rPr>
          <w:rFonts w:hint="cs"/>
          <w:rtl/>
          <w:lang w:eastAsia="he-IL"/>
        </w:rPr>
        <w:t xml:space="preserve"> </w:t>
      </w:r>
    </w:p>
    <w:p w:rsidR="009E42DA" w:rsidRPr="00414995" w:rsidRDefault="009E42DA" w:rsidP="00062035">
      <w:pPr>
        <w:pStyle w:val="1"/>
        <w:numPr>
          <w:ilvl w:val="2"/>
          <w:numId w:val="17"/>
        </w:numPr>
        <w:bidi/>
        <w:spacing w:after="120"/>
        <w:rPr>
          <w:rFonts w:ascii="Times New Roman" w:hAnsi="Times New Roman"/>
          <w:b/>
          <w:kern w:val="0"/>
          <w:sz w:val="26"/>
          <w:szCs w:val="26"/>
          <w:lang w:eastAsia="he-IL"/>
        </w:rPr>
      </w:pPr>
      <w:r w:rsidRPr="00414995">
        <w:rPr>
          <w:rFonts w:ascii="Times New Roman" w:hAnsi="Times New Roman" w:hint="cs"/>
          <w:b/>
          <w:kern w:val="0"/>
          <w:sz w:val="26"/>
          <w:szCs w:val="26"/>
          <w:rtl/>
          <w:lang w:eastAsia="he-IL"/>
        </w:rPr>
        <w:t>עקרון ההלימה</w:t>
      </w:r>
    </w:p>
    <w:p w:rsidR="009E42DA" w:rsidRPr="00414995" w:rsidRDefault="00062035" w:rsidP="006D5B6A">
      <w:pPr>
        <w:rPr>
          <w:rtl/>
        </w:rPr>
      </w:pPr>
      <w:r>
        <w:rPr>
          <w:rFonts w:hint="cs"/>
          <w:rtl/>
        </w:rPr>
        <w:t>ע</w:t>
      </w:r>
      <w:r w:rsidR="006014EE" w:rsidRPr="00414995">
        <w:rPr>
          <w:rFonts w:hint="cs"/>
          <w:rtl/>
        </w:rPr>
        <w:t xml:space="preserve">קרון ההלימה הוא </w:t>
      </w:r>
      <w:r w:rsidR="009E42DA" w:rsidRPr="00414995">
        <w:rPr>
          <w:rFonts w:hint="cs"/>
          <w:rtl/>
        </w:rPr>
        <w:t>עיקרון יסוד המקובל בתורת הענישה של המשפט העברי מקדמת דנא. חלק מן המקורות העוסקים בעניין זה נסקרו בהרחבה על ידי השופט רובינשטיין ב</w:t>
      </w:r>
      <w:r w:rsidR="009E42DA" w:rsidRPr="00414995">
        <w:rPr>
          <w:rFonts w:hint="cs"/>
          <w:b/>
          <w:bCs/>
          <w:rtl/>
        </w:rPr>
        <w:t>פרשת סעד</w:t>
      </w:r>
      <w:r w:rsidR="009E42DA" w:rsidRPr="00414995">
        <w:rPr>
          <w:rFonts w:hint="cs"/>
          <w:rtl/>
        </w:rPr>
        <w:t xml:space="preserve"> </w:t>
      </w:r>
      <w:r w:rsidR="009E42DA" w:rsidRPr="00414995">
        <w:rPr>
          <w:rtl/>
        </w:rPr>
        <w:t>–</w:t>
      </w:r>
      <w:r w:rsidR="009E42DA" w:rsidRPr="00414995">
        <w:rPr>
          <w:rFonts w:hint="cs"/>
          <w:rtl/>
        </w:rPr>
        <w:t xml:space="preserve"> </w:t>
      </w:r>
    </w:p>
    <w:p w:rsidR="009E42DA" w:rsidRPr="00414995" w:rsidRDefault="009E42DA" w:rsidP="009E42DA">
      <w:pPr>
        <w:spacing w:before="0" w:after="0"/>
        <w:ind w:left="567" w:right="567"/>
        <w:rPr>
          <w:rtl/>
        </w:rPr>
      </w:pPr>
      <w:r w:rsidRPr="00414995">
        <w:rPr>
          <w:rtl/>
        </w:rPr>
        <w:t>הגמול אינו מלה ריקה; הוא מסמל במשפט העברי – למשל – את התפיסה של "מידה כנגד מידה"</w:t>
      </w:r>
      <w:r w:rsidRPr="00414995">
        <w:rPr>
          <w:rFonts w:hint="cs"/>
          <w:rtl/>
        </w:rPr>
        <w:t xml:space="preserve">... </w:t>
      </w:r>
      <w:r w:rsidRPr="00414995">
        <w:rPr>
          <w:rtl/>
        </w:rPr>
        <w:t>רוצה לומר, חומרת העבירה מחמירה את העונש.</w:t>
      </w:r>
      <w:r w:rsidRPr="00414995">
        <w:rPr>
          <w:rFonts w:hint="cs"/>
          <w:rtl/>
        </w:rPr>
        <w:t>..</w:t>
      </w:r>
    </w:p>
    <w:p w:rsidR="009E42DA" w:rsidRPr="00414995" w:rsidRDefault="009E42DA" w:rsidP="009E42DA">
      <w:pPr>
        <w:spacing w:before="0" w:after="0"/>
        <w:ind w:left="567" w:right="567"/>
        <w:rPr>
          <w:rtl/>
        </w:rPr>
      </w:pPr>
      <w:r w:rsidRPr="00414995">
        <w:rPr>
          <w:rtl/>
        </w:rPr>
        <w:t>ראו בין היתר יהונתן יעקבס מידה כנגד מידה בסיפור המקראי (תשס"ו), המתאר את גילוייו השונים של הנושא במקרא.</w:t>
      </w:r>
      <w:r w:rsidRPr="00414995">
        <w:rPr>
          <w:rFonts w:hint="cs"/>
          <w:rtl/>
        </w:rPr>
        <w:t>..</w:t>
      </w:r>
      <w:r w:rsidRPr="00414995">
        <w:rPr>
          <w:rtl/>
        </w:rPr>
        <w:t xml:space="preserve"> אף כי המונח "מידה כנגד מידה" עצמו מקורו בחז"ל</w:t>
      </w:r>
      <w:r w:rsidRPr="00414995">
        <w:rPr>
          <w:rFonts w:hint="cs"/>
          <w:rtl/>
        </w:rPr>
        <w:t xml:space="preserve">... </w:t>
      </w:r>
      <w:r w:rsidRPr="00414995">
        <w:rPr>
          <w:rtl/>
        </w:rPr>
        <w:t xml:space="preserve">וכן ראו גם צחי הרשקוביץ, "מידה כנגד מידה" מעליות (ישיבת ברכת משה) </w:t>
      </w:r>
      <w:r w:rsidRPr="00414995">
        <w:rPr>
          <w:rtl/>
        </w:rPr>
        <w:lastRenderedPageBreak/>
        <w:t xml:space="preserve">כ"ג (תשס"ב), התוחם את הכלל "מידה כנגד מידה" כך: "כלל זה מגדיר </w:t>
      </w:r>
      <w:r w:rsidRPr="00414995">
        <w:rPr>
          <w:b/>
          <w:bCs/>
          <w:rtl/>
        </w:rPr>
        <w:t>תגמול או תגובה מדויקים ומותאמים בשלמות למעשה הראשוני, המעורר</w:t>
      </w:r>
      <w:r w:rsidRPr="00414995">
        <w:rPr>
          <w:rtl/>
        </w:rPr>
        <w:t>.</w:t>
      </w:r>
      <w:r w:rsidRPr="00414995">
        <w:rPr>
          <w:rFonts w:hint="cs"/>
          <w:rtl/>
        </w:rPr>
        <w:t>..</w:t>
      </w:r>
      <w:r w:rsidRPr="00414995">
        <w:rPr>
          <w:rtl/>
        </w:rPr>
        <w:t xml:space="preserve"> התועלת בהגשת התיאורים והחוקים באופן זה ברורה, מאחר שהיא מביאה לידי ביטוי כאמור, צדק אבסולוטי, מוחלט, שהרי אין הוגן וישר מדין המתאים בשלמות למעשה שבעקבותיו הוא בא".</w:t>
      </w:r>
      <w:r w:rsidRPr="00414995">
        <w:rPr>
          <w:rFonts w:hint="cs"/>
          <w:rtl/>
        </w:rPr>
        <w:t>..</w:t>
      </w:r>
      <w:r w:rsidRPr="00414995">
        <w:rPr>
          <w:rStyle w:val="a7"/>
          <w:rtl/>
        </w:rPr>
        <w:footnoteReference w:id="22"/>
      </w:r>
      <w:r w:rsidRPr="00414995">
        <w:rPr>
          <w:rtl/>
        </w:rPr>
        <w:t xml:space="preserve"> </w:t>
      </w:r>
    </w:p>
    <w:p w:rsidR="009E42DA" w:rsidRPr="00414995" w:rsidRDefault="00062035" w:rsidP="009E42DA">
      <w:pPr>
        <w:rPr>
          <w:rtl/>
        </w:rPr>
      </w:pPr>
      <w:r>
        <w:rPr>
          <w:rFonts w:hint="cs"/>
          <w:rtl/>
        </w:rPr>
        <w:t>לפי הרמב"ם, ע</w:t>
      </w:r>
      <w:r w:rsidR="009E42DA" w:rsidRPr="00414995">
        <w:rPr>
          <w:rFonts w:hint="cs"/>
          <w:rtl/>
        </w:rPr>
        <w:t xml:space="preserve">קרון זה מנחה את תורת הענישה של התורה </w:t>
      </w:r>
      <w:r w:rsidR="009E42DA" w:rsidRPr="00414995">
        <w:rPr>
          <w:rtl/>
        </w:rPr>
        <w:t>–</w:t>
      </w:r>
      <w:r w:rsidR="009E42DA" w:rsidRPr="00414995">
        <w:rPr>
          <w:rFonts w:hint="cs"/>
          <w:rtl/>
        </w:rPr>
        <w:t xml:space="preserve"> </w:t>
      </w:r>
    </w:p>
    <w:p w:rsidR="009E42DA" w:rsidRPr="00414995" w:rsidRDefault="009E42DA" w:rsidP="00AD407E">
      <w:pPr>
        <w:ind w:left="567" w:right="567"/>
        <w:rPr>
          <w:rtl/>
        </w:rPr>
      </w:pPr>
      <w:r w:rsidRPr="00414995">
        <w:rPr>
          <w:rtl/>
        </w:rPr>
        <w:t>המטרה בכל</w:t>
      </w:r>
      <w:r w:rsidRPr="00414995">
        <w:rPr>
          <w:rFonts w:hint="cs"/>
          <w:rtl/>
        </w:rPr>
        <w:t xml:space="preserve"> </w:t>
      </w:r>
      <w:r w:rsidRPr="00414995">
        <w:rPr>
          <w:rtl/>
        </w:rPr>
        <w:t>–</w:t>
      </w:r>
      <w:r w:rsidRPr="00414995">
        <w:rPr>
          <w:rFonts w:hint="cs"/>
          <w:rtl/>
        </w:rPr>
        <w:t xml:space="preserve"> </w:t>
      </w:r>
      <w:r w:rsidRPr="00414995">
        <w:rPr>
          <w:rtl/>
        </w:rPr>
        <w:t>ה</w:t>
      </w:r>
      <w:r w:rsidRPr="00414995">
        <w:rPr>
          <w:rFonts w:hint="cs"/>
          <w:rtl/>
        </w:rPr>
        <w:t>ַ</w:t>
      </w:r>
      <w:r w:rsidRPr="00414995">
        <w:rPr>
          <w:rtl/>
        </w:rPr>
        <w:t>ש</w:t>
      </w:r>
      <w:r w:rsidRPr="00414995">
        <w:rPr>
          <w:rFonts w:hint="cs"/>
          <w:rtl/>
        </w:rPr>
        <w:t>ְוָ</w:t>
      </w:r>
      <w:r w:rsidRPr="00414995">
        <w:rPr>
          <w:rtl/>
        </w:rPr>
        <w:t>ו</w:t>
      </w:r>
      <w:r w:rsidRPr="00414995">
        <w:rPr>
          <w:rFonts w:hint="cs"/>
          <w:rtl/>
        </w:rPr>
        <w:t>יָ</w:t>
      </w:r>
      <w:r w:rsidRPr="00414995">
        <w:rPr>
          <w:rtl/>
        </w:rPr>
        <w:t>ית העונש לעב</w:t>
      </w:r>
      <w:r w:rsidR="007C7AC3" w:rsidRPr="00414995">
        <w:rPr>
          <w:rFonts w:hint="cs"/>
          <w:rtl/>
        </w:rPr>
        <w:t>י</w:t>
      </w:r>
      <w:r w:rsidRPr="00414995">
        <w:rPr>
          <w:rtl/>
        </w:rPr>
        <w:t>רה, וגם זה הוא ענין היות המשפטים צדיקים</w:t>
      </w:r>
      <w:r w:rsidRPr="00414995">
        <w:rPr>
          <w:rFonts w:hint="cs"/>
          <w:rtl/>
        </w:rPr>
        <w:t xml:space="preserve">... </w:t>
      </w:r>
      <w:r w:rsidR="00924EEC" w:rsidRPr="00414995">
        <w:rPr>
          <w:rFonts w:eastAsia="Times New Roman" w:hint="cs"/>
          <w:color w:val="000000"/>
          <w:rtl/>
        </w:rPr>
        <w:t>המעשׂים שנוצר מהם קלקול גדול עונשם חמוּר</w:t>
      </w:r>
      <w:r w:rsidR="00AD407E" w:rsidRPr="00414995">
        <w:rPr>
          <w:rFonts w:hint="cs"/>
          <w:rtl/>
        </w:rPr>
        <w:t>,</w:t>
      </w:r>
      <w:r w:rsidR="00924EEC" w:rsidRPr="00414995">
        <w:rPr>
          <w:rtl/>
        </w:rPr>
        <w:t xml:space="preserve"> </w:t>
      </w:r>
      <w:r w:rsidR="00AD407E" w:rsidRPr="00414995">
        <w:rPr>
          <w:rFonts w:eastAsia="Times New Roman" w:hint="cs"/>
          <w:color w:val="000000"/>
          <w:rtl/>
        </w:rPr>
        <w:t>והמעשׂים שנוצר מהם קלקול פעוט ומועט עונשם קל</w:t>
      </w:r>
      <w:r w:rsidRPr="00414995">
        <w:rPr>
          <w:rFonts w:hint="cs"/>
          <w:rtl/>
        </w:rPr>
        <w:t>.</w:t>
      </w:r>
      <w:r w:rsidRPr="00414995">
        <w:rPr>
          <w:rStyle w:val="a7"/>
          <w:rtl/>
        </w:rPr>
        <w:footnoteReference w:id="23"/>
      </w:r>
    </w:p>
    <w:p w:rsidR="009E42DA" w:rsidRPr="00414995" w:rsidRDefault="00062035" w:rsidP="002258D1">
      <w:pPr>
        <w:rPr>
          <w:rtl/>
        </w:rPr>
      </w:pPr>
      <w:r>
        <w:rPr>
          <w:rFonts w:hint="cs"/>
          <w:rtl/>
        </w:rPr>
        <w:t>ע</w:t>
      </w:r>
      <w:r w:rsidR="009E42DA" w:rsidRPr="00414995">
        <w:rPr>
          <w:rFonts w:hint="cs"/>
          <w:rtl/>
        </w:rPr>
        <w:t>קרון זה מחייב גם שופטים ומחוקקים, כפי שמדגיש המקובל, הרב אליעזר פאפו</w:t>
      </w:r>
      <w:r w:rsidR="002258D1" w:rsidRPr="00414995">
        <w:rPr>
          <w:rFonts w:hint="cs"/>
          <w:rtl/>
        </w:rPr>
        <w:t xml:space="preserve"> (בוסניה ובולגריה, תחילת המאה ה-19)</w:t>
      </w:r>
      <w:r w:rsidR="009E42DA" w:rsidRPr="00414995">
        <w:rPr>
          <w:rFonts w:hint="cs"/>
          <w:rtl/>
        </w:rPr>
        <w:t xml:space="preserve">  </w:t>
      </w:r>
      <w:r w:rsidR="009E42DA" w:rsidRPr="00414995">
        <w:rPr>
          <w:rtl/>
        </w:rPr>
        <w:t>–</w:t>
      </w:r>
      <w:r w:rsidR="009E42DA" w:rsidRPr="00414995">
        <w:rPr>
          <w:rFonts w:hint="cs"/>
          <w:rtl/>
        </w:rPr>
        <w:t xml:space="preserve"> </w:t>
      </w:r>
    </w:p>
    <w:p w:rsidR="009E42DA" w:rsidRPr="00414995" w:rsidRDefault="009E42DA" w:rsidP="009E42DA">
      <w:pPr>
        <w:ind w:left="567" w:right="567"/>
        <w:rPr>
          <w:rtl/>
        </w:rPr>
      </w:pPr>
      <w:r w:rsidRPr="00414995">
        <w:rPr>
          <w:rtl/>
        </w:rPr>
        <w:t xml:space="preserve">חיובא רמיא </w:t>
      </w:r>
      <w:r w:rsidRPr="00414995">
        <w:rPr>
          <w:rFonts w:hint="cs"/>
          <w:rtl/>
        </w:rPr>
        <w:t xml:space="preserve">[=חיוב מוטל] </w:t>
      </w:r>
      <w:r w:rsidRPr="00414995">
        <w:rPr>
          <w:rtl/>
        </w:rPr>
        <w:t>ע</w:t>
      </w:r>
      <w:r w:rsidRPr="00414995">
        <w:rPr>
          <w:rFonts w:hint="cs"/>
          <w:rtl/>
        </w:rPr>
        <w:t>ל</w:t>
      </w:r>
      <w:r w:rsidRPr="00414995">
        <w:rPr>
          <w:rtl/>
        </w:rPr>
        <w:t xml:space="preserve"> </w:t>
      </w:r>
      <w:r w:rsidRPr="00414995">
        <w:rPr>
          <w:rFonts w:hint="cs"/>
          <w:rtl/>
        </w:rPr>
        <w:t>יושבי כסאות למשפט ומנהיגי</w:t>
      </w:r>
      <w:r w:rsidRPr="00414995">
        <w:rPr>
          <w:rtl/>
        </w:rPr>
        <w:t xml:space="preserve"> </w:t>
      </w:r>
      <w:r w:rsidRPr="00414995">
        <w:rPr>
          <w:rFonts w:hint="cs"/>
          <w:rtl/>
        </w:rPr>
        <w:t>הקהילות</w:t>
      </w:r>
      <w:r w:rsidR="0041329A" w:rsidRPr="00414995">
        <w:rPr>
          <w:rStyle w:val="a7"/>
          <w:rtl/>
        </w:rPr>
        <w:footnoteReference w:id="24"/>
      </w:r>
      <w:r w:rsidRPr="00414995">
        <w:rPr>
          <w:rFonts w:hint="cs"/>
          <w:rtl/>
        </w:rPr>
        <w:t xml:space="preserve"> </w:t>
      </w:r>
      <w:r w:rsidRPr="00414995">
        <w:rPr>
          <w:b/>
          <w:bCs/>
          <w:rtl/>
        </w:rPr>
        <w:t>לקנוס את החוטאים לפי החטא ולפי מה שהוא א</w:t>
      </w:r>
      <w:r w:rsidRPr="00414995">
        <w:rPr>
          <w:rFonts w:hint="cs"/>
          <w:b/>
          <w:bCs/>
          <w:rtl/>
        </w:rPr>
        <w:t>דם</w:t>
      </w:r>
      <w:r w:rsidRPr="00414995">
        <w:rPr>
          <w:rFonts w:hint="cs"/>
          <w:rtl/>
        </w:rPr>
        <w:t xml:space="preserve">, אם בממון אם בביזיונות. </w:t>
      </w:r>
      <w:r w:rsidRPr="00414995">
        <w:rPr>
          <w:rFonts w:hint="cs"/>
          <w:b/>
          <w:bCs/>
          <w:rtl/>
        </w:rPr>
        <w:t>א</w:t>
      </w:r>
      <w:r w:rsidRPr="00414995">
        <w:rPr>
          <w:b/>
          <w:bCs/>
          <w:rtl/>
        </w:rPr>
        <w:t>בל צריך פלס ומאזני משפט לשקול בשקל הקדש שלא להוסיף ושלא לגרוע</w:t>
      </w:r>
      <w:r w:rsidRPr="00414995">
        <w:rPr>
          <w:rFonts w:hint="cs"/>
          <w:rtl/>
        </w:rPr>
        <w:t>.</w:t>
      </w:r>
      <w:r w:rsidRPr="00414995">
        <w:rPr>
          <w:rStyle w:val="a7"/>
          <w:rtl/>
        </w:rPr>
        <w:footnoteReference w:id="25"/>
      </w:r>
    </w:p>
    <w:p w:rsidR="00711E49" w:rsidRPr="00414995" w:rsidRDefault="009E42DA" w:rsidP="00062035">
      <w:r w:rsidRPr="00414995">
        <w:rPr>
          <w:rFonts w:hint="cs"/>
          <w:rtl/>
        </w:rPr>
        <w:t>נמצאנו למדים, ש</w:t>
      </w:r>
      <w:r w:rsidR="00D76DEB" w:rsidRPr="00414995">
        <w:rPr>
          <w:rFonts w:hint="cs"/>
          <w:rtl/>
        </w:rPr>
        <w:t xml:space="preserve">מן הראוי </w:t>
      </w:r>
      <w:r w:rsidRPr="00414995">
        <w:rPr>
          <w:rFonts w:hint="cs"/>
          <w:rtl/>
        </w:rPr>
        <w:t xml:space="preserve">להבטיח </w:t>
      </w:r>
      <w:r w:rsidR="00D76DEB" w:rsidRPr="00414995">
        <w:rPr>
          <w:rFonts w:hint="cs"/>
          <w:rtl/>
        </w:rPr>
        <w:t xml:space="preserve">התאמה </w:t>
      </w:r>
      <w:r w:rsidRPr="00414995">
        <w:rPr>
          <w:rFonts w:hint="cs"/>
          <w:rtl/>
        </w:rPr>
        <w:t xml:space="preserve">בין חומרת העונש לאשמתו של העבריין, ובמידה </w:t>
      </w:r>
      <w:r w:rsidR="00062035">
        <w:rPr>
          <w:rFonts w:hint="cs"/>
          <w:rtl/>
        </w:rPr>
        <w:t>ש</w:t>
      </w:r>
      <w:r w:rsidRPr="00414995">
        <w:rPr>
          <w:rFonts w:hint="cs"/>
          <w:rtl/>
        </w:rPr>
        <w:t>ה</w:t>
      </w:r>
      <w:r w:rsidR="00D76DEB" w:rsidRPr="00414995">
        <w:rPr>
          <w:rFonts w:hint="cs"/>
          <w:rtl/>
        </w:rPr>
        <w:t xml:space="preserve">תאמה </w:t>
      </w:r>
      <w:r w:rsidRPr="00414995">
        <w:rPr>
          <w:rFonts w:hint="cs"/>
          <w:rtl/>
        </w:rPr>
        <w:t>שכזו אינה קיימת, יש לתקן את החוק כדי להשיגה.</w:t>
      </w:r>
    </w:p>
    <w:p w:rsidR="00C464E2" w:rsidRPr="00414995" w:rsidRDefault="00122955" w:rsidP="00711E49">
      <w:pPr>
        <w:pStyle w:val="1"/>
        <w:numPr>
          <w:ilvl w:val="0"/>
          <w:numId w:val="17"/>
        </w:numPr>
        <w:bidi/>
        <w:spacing w:after="120"/>
        <w:ind w:left="357" w:hanging="357"/>
        <w:rPr>
          <w:rFonts w:ascii="Times New Roman" w:hAnsi="Times New Roman"/>
          <w:b/>
          <w:kern w:val="0"/>
          <w:sz w:val="24"/>
          <w:rtl/>
          <w:lang w:eastAsia="he-IL"/>
        </w:rPr>
      </w:pPr>
      <w:r w:rsidRPr="00414995">
        <w:rPr>
          <w:rFonts w:ascii="Times New Roman" w:hAnsi="Times New Roman" w:hint="cs"/>
          <w:b/>
          <w:kern w:val="0"/>
          <w:sz w:val="24"/>
          <w:rtl/>
          <w:lang w:eastAsia="he-IL"/>
        </w:rPr>
        <w:t>"כוונה"</w:t>
      </w:r>
      <w:r w:rsidR="00711E49" w:rsidRPr="00414995">
        <w:rPr>
          <w:rFonts w:ascii="Times New Roman" w:hAnsi="Times New Roman" w:hint="cs"/>
          <w:b/>
          <w:kern w:val="0"/>
          <w:sz w:val="24"/>
          <w:rtl/>
          <w:lang w:eastAsia="he-IL"/>
        </w:rPr>
        <w:t>,</w:t>
      </w:r>
      <w:r w:rsidRPr="00414995">
        <w:rPr>
          <w:rFonts w:ascii="Times New Roman" w:hAnsi="Times New Roman" w:hint="cs"/>
          <w:b/>
          <w:kern w:val="0"/>
          <w:sz w:val="24"/>
          <w:rtl/>
          <w:lang w:eastAsia="he-IL"/>
        </w:rPr>
        <w:t xml:space="preserve"> "אדישות"</w:t>
      </w:r>
      <w:r w:rsidR="00C464E2" w:rsidRPr="00414995">
        <w:rPr>
          <w:rFonts w:ascii="Times New Roman" w:hAnsi="Times New Roman" w:hint="cs"/>
          <w:b/>
          <w:kern w:val="0"/>
          <w:sz w:val="24"/>
          <w:rtl/>
          <w:lang w:eastAsia="he-IL"/>
        </w:rPr>
        <w:t xml:space="preserve"> </w:t>
      </w:r>
      <w:r w:rsidR="00711E49" w:rsidRPr="00414995">
        <w:rPr>
          <w:rFonts w:ascii="Times New Roman" w:hAnsi="Times New Roman" w:hint="cs"/>
          <w:b/>
          <w:kern w:val="0"/>
          <w:sz w:val="24"/>
          <w:rtl/>
          <w:lang w:eastAsia="he-IL"/>
        </w:rPr>
        <w:t>ו"קלות דעת"</w:t>
      </w:r>
    </w:p>
    <w:p w:rsidR="00733568" w:rsidRPr="00414995" w:rsidRDefault="00711E49" w:rsidP="00F21C73">
      <w:pPr>
        <w:rPr>
          <w:rtl/>
          <w:lang w:eastAsia="he-IL"/>
        </w:rPr>
      </w:pPr>
      <w:r w:rsidRPr="00414995">
        <w:rPr>
          <w:rFonts w:hint="cs"/>
          <w:rtl/>
          <w:lang w:eastAsia="he-IL"/>
        </w:rPr>
        <w:t xml:space="preserve">הצעת החוק מבקשת לייצר הבחנה ברורה בין סוגים שונים של </w:t>
      </w:r>
      <w:r w:rsidR="00B56BF2" w:rsidRPr="00414995">
        <w:rPr>
          <w:rFonts w:hint="cs"/>
          <w:rtl/>
          <w:lang w:eastAsia="he-IL"/>
        </w:rPr>
        <w:t xml:space="preserve">המתה, </w:t>
      </w:r>
      <w:r w:rsidRPr="00414995">
        <w:rPr>
          <w:rFonts w:hint="cs"/>
          <w:rtl/>
          <w:lang w:eastAsia="he-IL"/>
        </w:rPr>
        <w:t>בהתאם ל</w:t>
      </w:r>
      <w:r w:rsidR="00D003B9" w:rsidRPr="00414995">
        <w:rPr>
          <w:rFonts w:hint="cs"/>
          <w:rtl/>
          <w:lang w:eastAsia="he-IL"/>
        </w:rPr>
        <w:t>רמת חפצו של האדם שגרם למותו של אדם, בתוצאה זו. בהקשר זה מבחינה הצעת החוק בין שלוש רמות: ה</w:t>
      </w:r>
      <w:r w:rsidR="00D003B9" w:rsidRPr="00414995">
        <w:rPr>
          <w:rFonts w:hint="cs"/>
          <w:b/>
          <w:bCs/>
          <w:rtl/>
          <w:lang w:eastAsia="he-IL"/>
        </w:rPr>
        <w:t>"כוונה"</w:t>
      </w:r>
      <w:r w:rsidR="00D003B9" w:rsidRPr="00414995">
        <w:rPr>
          <w:rFonts w:hint="cs"/>
          <w:rtl/>
          <w:lang w:eastAsia="he-IL"/>
        </w:rPr>
        <w:t xml:space="preserve">, המבטאת רצון ממשי במותו של </w:t>
      </w:r>
      <w:r w:rsidR="00733568" w:rsidRPr="00414995">
        <w:rPr>
          <w:rFonts w:hint="cs"/>
          <w:rtl/>
          <w:lang w:eastAsia="he-IL"/>
        </w:rPr>
        <w:t>אדם,</w:t>
      </w:r>
      <w:r w:rsidR="00F21C73" w:rsidRPr="00414995">
        <w:rPr>
          <w:rStyle w:val="a7"/>
          <w:rtl/>
          <w:lang w:eastAsia="he-IL"/>
        </w:rPr>
        <w:footnoteReference w:id="26"/>
      </w:r>
      <w:r w:rsidR="00733568" w:rsidRPr="00414995">
        <w:rPr>
          <w:rFonts w:hint="cs"/>
          <w:rtl/>
          <w:lang w:eastAsia="he-IL"/>
        </w:rPr>
        <w:t xml:space="preserve"> </w:t>
      </w:r>
      <w:r w:rsidR="00D003B9" w:rsidRPr="00414995">
        <w:rPr>
          <w:rFonts w:hint="cs"/>
          <w:rtl/>
          <w:lang w:eastAsia="he-IL"/>
        </w:rPr>
        <w:t>ה</w:t>
      </w:r>
      <w:r w:rsidR="00D003B9" w:rsidRPr="00414995">
        <w:rPr>
          <w:rFonts w:hint="cs"/>
          <w:b/>
          <w:bCs/>
          <w:rtl/>
          <w:lang w:eastAsia="he-IL"/>
        </w:rPr>
        <w:t>"אדישות"</w:t>
      </w:r>
      <w:r w:rsidR="00D003B9" w:rsidRPr="00414995">
        <w:rPr>
          <w:rFonts w:hint="cs"/>
          <w:rtl/>
          <w:lang w:eastAsia="he-IL"/>
        </w:rPr>
        <w:t>, המבטאת חוסר אכפתיות לנוכח האפשרות שהמעשה יגרום למותו של אדם,</w:t>
      </w:r>
      <w:r w:rsidR="00CC5B63" w:rsidRPr="00414995">
        <w:rPr>
          <w:rStyle w:val="a7"/>
          <w:rtl/>
          <w:lang w:eastAsia="he-IL"/>
        </w:rPr>
        <w:footnoteReference w:id="27"/>
      </w:r>
      <w:r w:rsidR="00D003B9" w:rsidRPr="00414995">
        <w:rPr>
          <w:rFonts w:hint="cs"/>
          <w:rtl/>
          <w:lang w:eastAsia="he-IL"/>
        </w:rPr>
        <w:t xml:space="preserve"> ו</w:t>
      </w:r>
      <w:r w:rsidR="00D003B9" w:rsidRPr="00414995">
        <w:rPr>
          <w:rFonts w:hint="cs"/>
          <w:b/>
          <w:bCs/>
          <w:rtl/>
          <w:lang w:eastAsia="he-IL"/>
        </w:rPr>
        <w:t>"קלות הדעת"</w:t>
      </w:r>
      <w:r w:rsidR="00D003B9" w:rsidRPr="00414995">
        <w:rPr>
          <w:rFonts w:hint="cs"/>
          <w:rtl/>
          <w:lang w:eastAsia="he-IL"/>
        </w:rPr>
        <w:t xml:space="preserve">, המבטאת התנגדות לתוצאה האמורה </w:t>
      </w:r>
      <w:r w:rsidR="00D003B9" w:rsidRPr="00414995">
        <w:rPr>
          <w:rFonts w:hint="cs"/>
          <w:rtl/>
          <w:lang w:eastAsia="he-IL"/>
        </w:rPr>
        <w:lastRenderedPageBreak/>
        <w:t>ורצון למנע</w:t>
      </w:r>
      <w:r w:rsidR="00BD58C4" w:rsidRPr="00414995">
        <w:rPr>
          <w:rFonts w:hint="cs"/>
          <w:rtl/>
          <w:lang w:eastAsia="he-IL"/>
        </w:rPr>
        <w:t>ה</w:t>
      </w:r>
      <w:r w:rsidR="00D003B9" w:rsidRPr="00414995">
        <w:rPr>
          <w:rFonts w:hint="cs"/>
          <w:rtl/>
          <w:lang w:eastAsia="he-IL"/>
        </w:rPr>
        <w:t>.</w:t>
      </w:r>
      <w:r w:rsidR="00CF4CDA" w:rsidRPr="00414995">
        <w:rPr>
          <w:rStyle w:val="a7"/>
          <w:rtl/>
          <w:lang w:eastAsia="he-IL"/>
        </w:rPr>
        <w:footnoteReference w:id="28"/>
      </w:r>
      <w:r w:rsidR="00D003B9" w:rsidRPr="00414995">
        <w:rPr>
          <w:rFonts w:hint="cs"/>
          <w:rtl/>
          <w:lang w:eastAsia="he-IL"/>
        </w:rPr>
        <w:t xml:space="preserve">   </w:t>
      </w:r>
    </w:p>
    <w:p w:rsidR="008C6FE9" w:rsidRPr="00414995" w:rsidRDefault="00A31427" w:rsidP="00BD58C4">
      <w:pPr>
        <w:rPr>
          <w:rtl/>
          <w:lang w:eastAsia="he-IL"/>
        </w:rPr>
      </w:pPr>
      <w:r w:rsidRPr="00414995">
        <w:rPr>
          <w:rFonts w:hint="cs"/>
          <w:rtl/>
          <w:lang w:eastAsia="he-IL"/>
        </w:rPr>
        <w:t xml:space="preserve">הבחנה זו מבוססת על גישה עקרונית, שלפיה, </w:t>
      </w:r>
      <w:r w:rsidR="00BD58C4" w:rsidRPr="00414995">
        <w:rPr>
          <w:rFonts w:hint="cs"/>
          <w:rtl/>
          <w:lang w:eastAsia="he-IL"/>
        </w:rPr>
        <w:t xml:space="preserve">היסוד הנפשי הקובע את </w:t>
      </w:r>
      <w:r w:rsidRPr="00414995">
        <w:rPr>
          <w:rFonts w:hint="cs"/>
          <w:rtl/>
          <w:lang w:eastAsia="he-IL"/>
        </w:rPr>
        <w:t xml:space="preserve">אשמתו של מי שגרם למותו של אדם מורכב משני גורמים: יכולתו של האדם </w:t>
      </w:r>
      <w:r w:rsidRPr="00414995">
        <w:rPr>
          <w:rFonts w:hint="cs"/>
          <w:b/>
          <w:bCs/>
          <w:rtl/>
          <w:lang w:eastAsia="he-IL"/>
        </w:rPr>
        <w:t xml:space="preserve">לצפות </w:t>
      </w:r>
      <w:r w:rsidRPr="00414995">
        <w:rPr>
          <w:rFonts w:hint="cs"/>
          <w:rtl/>
          <w:lang w:eastAsia="he-IL"/>
        </w:rPr>
        <w:t xml:space="preserve">את התוצאה הקטלנית שעלולה להיגרם בשל מעשיו, </w:t>
      </w:r>
      <w:r w:rsidRPr="00414995">
        <w:rPr>
          <w:rFonts w:hint="cs"/>
          <w:b/>
          <w:bCs/>
          <w:rtl/>
          <w:lang w:eastAsia="he-IL"/>
        </w:rPr>
        <w:t xml:space="preserve">ורצונו </w:t>
      </w:r>
      <w:r w:rsidRPr="00414995">
        <w:rPr>
          <w:rFonts w:hint="cs"/>
          <w:rtl/>
          <w:lang w:eastAsia="he-IL"/>
        </w:rPr>
        <w:t>בתוצאה זו.</w:t>
      </w:r>
    </w:p>
    <w:p w:rsidR="00A31427" w:rsidRPr="00414995" w:rsidRDefault="00010CE7" w:rsidP="00010CE7">
      <w:pPr>
        <w:rPr>
          <w:rtl/>
          <w:lang w:eastAsia="he-IL"/>
        </w:rPr>
      </w:pPr>
      <w:r w:rsidRPr="00414995">
        <w:rPr>
          <w:rFonts w:hint="cs"/>
          <w:rtl/>
          <w:lang w:eastAsia="he-IL"/>
        </w:rPr>
        <w:t>במשפט העברי, יסודותיה של עבירת הרצח מוגדרים בצורה שונה</w:t>
      </w:r>
      <w:r w:rsidR="00A31427" w:rsidRPr="00414995">
        <w:rPr>
          <w:rFonts w:hint="cs"/>
          <w:rtl/>
          <w:lang w:eastAsia="he-IL"/>
        </w:rPr>
        <w:t xml:space="preserve"> </w:t>
      </w:r>
      <w:r w:rsidR="00A31427" w:rsidRPr="00414995">
        <w:rPr>
          <w:rtl/>
          <w:lang w:eastAsia="he-IL"/>
        </w:rPr>
        <w:t>–</w:t>
      </w:r>
      <w:r w:rsidR="00A31427" w:rsidRPr="00414995">
        <w:rPr>
          <w:rFonts w:hint="cs"/>
          <w:rtl/>
          <w:lang w:eastAsia="he-IL"/>
        </w:rPr>
        <w:t xml:space="preserve"> </w:t>
      </w:r>
    </w:p>
    <w:p w:rsidR="00A31427" w:rsidRPr="00414995" w:rsidRDefault="00A31427" w:rsidP="00A31427">
      <w:pPr>
        <w:spacing w:before="0" w:after="0"/>
        <w:ind w:left="567" w:right="567"/>
        <w:rPr>
          <w:rtl/>
        </w:rPr>
      </w:pPr>
      <w:r w:rsidRPr="00414995">
        <w:rPr>
          <w:rtl/>
        </w:rPr>
        <w:t xml:space="preserve">המכה את חברו </w:t>
      </w:r>
      <w:r w:rsidRPr="00414995">
        <w:rPr>
          <w:b/>
          <w:bCs/>
          <w:rtl/>
        </w:rPr>
        <w:t xml:space="preserve">בזדון </w:t>
      </w:r>
      <w:r w:rsidRPr="00414995">
        <w:rPr>
          <w:rtl/>
        </w:rPr>
        <w:t xml:space="preserve">באבן או בעץ, והמיתו – </w:t>
      </w:r>
      <w:r w:rsidRPr="00414995">
        <w:rPr>
          <w:b/>
          <w:bCs/>
          <w:rtl/>
        </w:rPr>
        <w:t>אומדין דבר שהכהו בו</w:t>
      </w:r>
      <w:r w:rsidRPr="00414995">
        <w:rPr>
          <w:rtl/>
        </w:rPr>
        <w:t>, ומקום שהכהו עליו, אם ראוי אותו חפץ להמית באבר זה, או אינו ראוי...</w:t>
      </w:r>
      <w:r w:rsidRPr="00414995">
        <w:rPr>
          <w:rFonts w:hint="cs"/>
          <w:rtl/>
        </w:rPr>
        <w:t xml:space="preserve"> </w:t>
      </w:r>
      <w:r w:rsidRPr="00414995">
        <w:rPr>
          <w:rtl/>
        </w:rPr>
        <w:t xml:space="preserve">כשם שאומדין החפץ שהכה בו ומקום המכה, כך </w:t>
      </w:r>
      <w:r w:rsidRPr="00414995">
        <w:rPr>
          <w:b/>
          <w:bCs/>
          <w:rtl/>
        </w:rPr>
        <w:t>אומדין כוח ההכייה</w:t>
      </w:r>
      <w:r w:rsidRPr="00414995">
        <w:rPr>
          <w:rtl/>
        </w:rPr>
        <w:t>...</w:t>
      </w:r>
      <w:r w:rsidRPr="00414995">
        <w:rPr>
          <w:rFonts w:hint="cs"/>
          <w:rtl/>
        </w:rPr>
        <w:t xml:space="preserve"> </w:t>
      </w:r>
      <w:r w:rsidRPr="00414995">
        <w:rPr>
          <w:rtl/>
        </w:rPr>
        <w:t xml:space="preserve">וכן </w:t>
      </w:r>
      <w:r w:rsidRPr="00414995">
        <w:rPr>
          <w:b/>
          <w:bCs/>
          <w:rtl/>
        </w:rPr>
        <w:t>משערין המכה עצמה</w:t>
      </w:r>
      <w:r w:rsidRPr="00414995">
        <w:rPr>
          <w:rtl/>
        </w:rPr>
        <w:t>; ו</w:t>
      </w:r>
      <w:r w:rsidRPr="00414995">
        <w:rPr>
          <w:b/>
          <w:bCs/>
          <w:rtl/>
        </w:rPr>
        <w:t>משערין כוח ההורג וכוח הנהרג</w:t>
      </w:r>
      <w:r w:rsidRPr="00414995">
        <w:rPr>
          <w:rtl/>
        </w:rPr>
        <w:t xml:space="preserve">... וכן הדוחף את חברו מראש הגג, ונפל ומת - </w:t>
      </w:r>
      <w:r w:rsidRPr="00414995">
        <w:rPr>
          <w:b/>
          <w:bCs/>
          <w:rtl/>
        </w:rPr>
        <w:t>משערין גובה המקום שהפילו מעליו, וכוח הנדחף</w:t>
      </w:r>
      <w:r w:rsidRPr="00414995">
        <w:rPr>
          <w:rtl/>
        </w:rPr>
        <w:t>...</w:t>
      </w:r>
      <w:r w:rsidRPr="00414995">
        <w:rPr>
          <w:rStyle w:val="a7"/>
          <w:rtl/>
        </w:rPr>
        <w:footnoteReference w:id="29"/>
      </w:r>
    </w:p>
    <w:p w:rsidR="008C6FE9" w:rsidRPr="00414995" w:rsidRDefault="00BD58C4" w:rsidP="005E2B38">
      <w:pPr>
        <w:rPr>
          <w:rtl/>
          <w:lang w:eastAsia="he-IL"/>
        </w:rPr>
      </w:pPr>
      <w:r w:rsidRPr="00414995">
        <w:rPr>
          <w:rFonts w:hint="cs"/>
          <w:rtl/>
          <w:lang w:eastAsia="he-IL"/>
        </w:rPr>
        <w:t>במשפט העברי, הביטוי</w:t>
      </w:r>
      <w:r w:rsidR="006A6A98" w:rsidRPr="00414995">
        <w:rPr>
          <w:rFonts w:hint="cs"/>
          <w:rtl/>
          <w:lang w:eastAsia="he-IL"/>
        </w:rPr>
        <w:t>ים</w:t>
      </w:r>
      <w:r w:rsidRPr="00414995">
        <w:rPr>
          <w:rFonts w:hint="cs"/>
          <w:rtl/>
          <w:lang w:eastAsia="he-IL"/>
        </w:rPr>
        <w:t xml:space="preserve"> "זדון" או "מזיד" מתאר פעולה מכוונת, הנעשית מתוך מודעות מלא</w:t>
      </w:r>
      <w:r w:rsidR="006A6A98" w:rsidRPr="00414995">
        <w:rPr>
          <w:rFonts w:hint="cs"/>
          <w:rtl/>
          <w:lang w:eastAsia="he-IL"/>
        </w:rPr>
        <w:t xml:space="preserve"> לכך שהפעולה היא אסורה</w:t>
      </w:r>
      <w:r w:rsidRPr="00414995">
        <w:rPr>
          <w:rFonts w:hint="cs"/>
          <w:rtl/>
          <w:lang w:eastAsia="he-IL"/>
        </w:rPr>
        <w:t>.</w:t>
      </w:r>
      <w:r w:rsidRPr="00414995">
        <w:rPr>
          <w:rStyle w:val="a7"/>
          <w:rtl/>
          <w:lang w:eastAsia="he-IL"/>
        </w:rPr>
        <w:footnoteReference w:id="30"/>
      </w:r>
      <w:r w:rsidRPr="00414995">
        <w:rPr>
          <w:rFonts w:hint="cs"/>
          <w:rtl/>
          <w:lang w:eastAsia="he-IL"/>
        </w:rPr>
        <w:t xml:space="preserve"> </w:t>
      </w:r>
    </w:p>
    <w:p w:rsidR="00010CE7" w:rsidRPr="00414995" w:rsidRDefault="006A6A98" w:rsidP="006A6A98">
      <w:pPr>
        <w:rPr>
          <w:rtl/>
          <w:lang w:eastAsia="he-IL"/>
        </w:rPr>
      </w:pPr>
      <w:r w:rsidRPr="00414995">
        <w:rPr>
          <w:rFonts w:hint="cs"/>
          <w:rtl/>
          <w:lang w:eastAsia="he-IL"/>
        </w:rPr>
        <w:t xml:space="preserve">התנאי השני להרשעה בעבירת הרצח קשור לאופייה הקטלני של המכה, בהתחשב במכלול הנסיבות הקשורות להכאה. אופי המכה נבחן על פי אומדן, כלומר, על פי שיקול דעת בית הדין. תכליתו של אומדן זה, לדעת </w:t>
      </w:r>
      <w:r w:rsidR="00DD0D6E" w:rsidRPr="00414995">
        <w:rPr>
          <w:rFonts w:hint="cs"/>
          <w:rtl/>
          <w:lang w:eastAsia="he-IL"/>
        </w:rPr>
        <w:t xml:space="preserve">רבי יצחק בר ששת </w:t>
      </w:r>
      <w:r w:rsidR="001F77A0" w:rsidRPr="00414995">
        <w:rPr>
          <w:rFonts w:hint="cs"/>
          <w:rtl/>
          <w:lang w:eastAsia="he-IL"/>
        </w:rPr>
        <w:t>ברפת (ספרד, המאה ה-14)</w:t>
      </w:r>
      <w:r w:rsidR="00DD0D6E" w:rsidRPr="00414995">
        <w:rPr>
          <w:rFonts w:hint="cs"/>
          <w:rtl/>
          <w:lang w:eastAsia="he-IL"/>
        </w:rPr>
        <w:t xml:space="preserve"> </w:t>
      </w:r>
      <w:r w:rsidRPr="00414995">
        <w:rPr>
          <w:rFonts w:hint="cs"/>
          <w:rtl/>
          <w:lang w:eastAsia="he-IL"/>
        </w:rPr>
        <w:t xml:space="preserve">היא, </w:t>
      </w:r>
      <w:r w:rsidR="00010CE7" w:rsidRPr="00414995">
        <w:rPr>
          <w:rFonts w:hint="cs"/>
          <w:rtl/>
          <w:lang w:eastAsia="he-IL"/>
        </w:rPr>
        <w:t xml:space="preserve">להוכיח קיומו של קשר סיבתי בין מעשיו של האדם להתרחשותה של התוצאה </w:t>
      </w:r>
      <w:r w:rsidR="00010CE7" w:rsidRPr="00414995">
        <w:rPr>
          <w:rtl/>
          <w:lang w:eastAsia="he-IL"/>
        </w:rPr>
        <w:t>–</w:t>
      </w:r>
      <w:r w:rsidR="00010CE7" w:rsidRPr="00414995">
        <w:rPr>
          <w:rFonts w:hint="cs"/>
          <w:rtl/>
          <w:lang w:eastAsia="he-IL"/>
        </w:rPr>
        <w:t xml:space="preserve"> </w:t>
      </w:r>
    </w:p>
    <w:p w:rsidR="00DD0D6E" w:rsidRPr="00414995" w:rsidRDefault="00DD0D6E" w:rsidP="00DD0D6E">
      <w:pPr>
        <w:spacing w:before="0" w:after="0"/>
        <w:ind w:left="567" w:right="567"/>
        <w:rPr>
          <w:rtl/>
          <w:lang w:eastAsia="he-IL"/>
        </w:rPr>
      </w:pPr>
      <w:r w:rsidRPr="00414995">
        <w:rPr>
          <w:rtl/>
        </w:rPr>
        <w:t xml:space="preserve">וכי אתה סבור שבאבן או באגרוף, כשאומדין כשיש בו כדי להמית שהכונה הוא </w:t>
      </w:r>
      <w:r w:rsidRPr="00414995">
        <w:rPr>
          <w:b/>
          <w:bCs/>
          <w:rtl/>
        </w:rPr>
        <w:t>שודאי ימות בה או שעל הרוב ימות</w:t>
      </w:r>
      <w:r w:rsidRPr="00414995">
        <w:rPr>
          <w:rFonts w:hint="cs"/>
          <w:rtl/>
        </w:rPr>
        <w:t>?</w:t>
      </w:r>
      <w:r w:rsidRPr="00414995">
        <w:rPr>
          <w:rtl/>
        </w:rPr>
        <w:t xml:space="preserve"> לא כי</w:t>
      </w:r>
      <w:r w:rsidRPr="00414995">
        <w:rPr>
          <w:rFonts w:hint="cs"/>
          <w:rtl/>
        </w:rPr>
        <w:t>,</w:t>
      </w:r>
      <w:r w:rsidRPr="00414995">
        <w:rPr>
          <w:rtl/>
        </w:rPr>
        <w:t xml:space="preserve"> אלא ש</w:t>
      </w:r>
      <w:r w:rsidRPr="00414995">
        <w:rPr>
          <w:b/>
          <w:bCs/>
          <w:rtl/>
        </w:rPr>
        <w:t>אפשר</w:t>
      </w:r>
      <w:r w:rsidRPr="00414995">
        <w:rPr>
          <w:rtl/>
        </w:rPr>
        <w:t xml:space="preserve"> </w:t>
      </w:r>
      <w:r w:rsidRPr="00414995">
        <w:rPr>
          <w:b/>
          <w:bCs/>
          <w:rtl/>
        </w:rPr>
        <w:t>שימות בה</w:t>
      </w:r>
      <w:r w:rsidRPr="00414995">
        <w:rPr>
          <w:rtl/>
        </w:rPr>
        <w:t>, וכיון שאפשר שימות בה</w:t>
      </w:r>
      <w:r w:rsidRPr="00414995">
        <w:rPr>
          <w:rFonts w:hint="cs"/>
          <w:rtl/>
        </w:rPr>
        <w:t>,</w:t>
      </w:r>
      <w:r w:rsidRPr="00414995">
        <w:rPr>
          <w:rtl/>
        </w:rPr>
        <w:t xml:space="preserve"> ונפל למשכב מחמת אותה הכאה</w:t>
      </w:r>
      <w:r w:rsidRPr="00414995">
        <w:rPr>
          <w:rFonts w:hint="cs"/>
          <w:rtl/>
        </w:rPr>
        <w:t>,</w:t>
      </w:r>
      <w:r w:rsidRPr="00414995">
        <w:rPr>
          <w:rtl/>
        </w:rPr>
        <w:t xml:space="preserve"> חובשים </w:t>
      </w:r>
      <w:r w:rsidRPr="00414995">
        <w:rPr>
          <w:rFonts w:hint="cs"/>
          <w:rtl/>
        </w:rPr>
        <w:t xml:space="preserve">[=אוסרים] </w:t>
      </w:r>
      <w:r w:rsidRPr="00414995">
        <w:rPr>
          <w:rtl/>
        </w:rPr>
        <w:t>אותו</w:t>
      </w:r>
      <w:r w:rsidRPr="00414995">
        <w:rPr>
          <w:rFonts w:hint="cs"/>
          <w:rtl/>
        </w:rPr>
        <w:t xml:space="preserve"> (את החובל),</w:t>
      </w:r>
      <w:r w:rsidRPr="00414995">
        <w:rPr>
          <w:rtl/>
        </w:rPr>
        <w:t xml:space="preserve"> ואם </w:t>
      </w:r>
      <w:r w:rsidRPr="00414995">
        <w:rPr>
          <w:rFonts w:hint="cs"/>
          <w:rtl/>
        </w:rPr>
        <w:t xml:space="preserve">[הנחבל] </w:t>
      </w:r>
      <w:r w:rsidRPr="00414995">
        <w:rPr>
          <w:rtl/>
        </w:rPr>
        <w:t>לא עמד</w:t>
      </w:r>
      <w:r w:rsidRPr="00414995">
        <w:rPr>
          <w:rFonts w:hint="cs"/>
          <w:rtl/>
        </w:rPr>
        <w:t>,</w:t>
      </w:r>
      <w:r w:rsidRPr="00414995">
        <w:rPr>
          <w:rtl/>
        </w:rPr>
        <w:t xml:space="preserve"> ומת</w:t>
      </w:r>
      <w:r w:rsidRPr="00414995">
        <w:rPr>
          <w:rFonts w:hint="cs"/>
          <w:rtl/>
        </w:rPr>
        <w:t>,</w:t>
      </w:r>
      <w:r w:rsidRPr="00414995">
        <w:rPr>
          <w:rtl/>
        </w:rPr>
        <w:t xml:space="preserve"> </w:t>
      </w:r>
      <w:r w:rsidRPr="00414995">
        <w:rPr>
          <w:b/>
          <w:bCs/>
          <w:rtl/>
        </w:rPr>
        <w:t>חזקה מחמת ההכאה מת</w:t>
      </w:r>
      <w:r w:rsidRPr="00414995">
        <w:rPr>
          <w:rFonts w:hint="cs"/>
          <w:rtl/>
        </w:rPr>
        <w:t>.</w:t>
      </w:r>
      <w:r w:rsidRPr="00414995">
        <w:rPr>
          <w:rStyle w:val="a7"/>
          <w:rtl/>
        </w:rPr>
        <w:footnoteReference w:id="31"/>
      </w:r>
    </w:p>
    <w:p w:rsidR="00DD0D6E" w:rsidRPr="00414995" w:rsidRDefault="00DD0D6E" w:rsidP="001F77A0">
      <w:pPr>
        <w:rPr>
          <w:rtl/>
          <w:lang w:eastAsia="he-IL"/>
        </w:rPr>
      </w:pPr>
      <w:r w:rsidRPr="00414995">
        <w:rPr>
          <w:rFonts w:hint="cs"/>
          <w:rtl/>
          <w:lang w:eastAsia="he-IL"/>
        </w:rPr>
        <w:t>לפי הסבר זה, האומדן אינו קשור כלל ליסודותיה הנפשיים של עבירת הרצח, אלא ליסודותיה העובדתיים של העבירה. ה</w:t>
      </w:r>
      <w:r w:rsidR="001F77A0" w:rsidRPr="00414995">
        <w:rPr>
          <w:rFonts w:hint="cs"/>
          <w:rtl/>
          <w:lang w:eastAsia="he-IL"/>
        </w:rPr>
        <w:t>ו</w:t>
      </w:r>
      <w:r w:rsidRPr="00414995">
        <w:rPr>
          <w:rFonts w:hint="cs"/>
          <w:rtl/>
          <w:lang w:eastAsia="he-IL"/>
        </w:rPr>
        <w:t>א נדרש כדי לבחון  האם ניתן לקשור בין מעשיו של החובל לתוצאה הקטלנית, ולא כדי לבחון האם התגבש היסוד הנפשי הדרוש לשם ההרשעה.</w:t>
      </w:r>
      <w:r w:rsidRPr="00414995">
        <w:rPr>
          <w:rStyle w:val="a7"/>
          <w:rtl/>
          <w:lang w:eastAsia="he-IL"/>
        </w:rPr>
        <w:footnoteReference w:id="32"/>
      </w:r>
    </w:p>
    <w:p w:rsidR="001F77A0" w:rsidRPr="00414995" w:rsidRDefault="001F77A0" w:rsidP="001F77A0">
      <w:pPr>
        <w:rPr>
          <w:rFonts w:hint="cs"/>
          <w:rtl/>
          <w:lang w:eastAsia="he-IL"/>
        </w:rPr>
      </w:pPr>
      <w:r w:rsidRPr="00414995">
        <w:rPr>
          <w:rFonts w:hint="cs"/>
          <w:rtl/>
          <w:lang w:eastAsia="he-IL"/>
        </w:rPr>
        <w:lastRenderedPageBreak/>
        <w:t>הסבר שונה במקצת מציע רבי שלמה לוריא (ליטא, המאה ה-16)</w:t>
      </w:r>
      <w:r w:rsidR="00A30FF1" w:rsidRPr="00414995">
        <w:rPr>
          <w:rFonts w:hint="cs"/>
          <w:rtl/>
          <w:lang w:eastAsia="he-IL"/>
        </w:rPr>
        <w:t>, המהרש"ל</w:t>
      </w:r>
      <w:r w:rsidRPr="00414995">
        <w:rPr>
          <w:rFonts w:hint="cs"/>
          <w:rtl/>
          <w:lang w:eastAsia="he-IL"/>
        </w:rPr>
        <w:t xml:space="preserve">. לדבריו </w:t>
      </w:r>
      <w:r w:rsidRPr="00414995">
        <w:rPr>
          <w:rtl/>
          <w:lang w:eastAsia="he-IL"/>
        </w:rPr>
        <w:t>–</w:t>
      </w:r>
      <w:r w:rsidRPr="00414995">
        <w:rPr>
          <w:rFonts w:hint="cs"/>
          <w:rtl/>
          <w:lang w:eastAsia="he-IL"/>
        </w:rPr>
        <w:t xml:space="preserve"> </w:t>
      </w:r>
    </w:p>
    <w:p w:rsidR="00010CE7" w:rsidRPr="00414995" w:rsidRDefault="00010CE7" w:rsidP="00010CE7">
      <w:pPr>
        <w:spacing w:before="0" w:after="0"/>
        <w:ind w:left="567" w:right="567"/>
        <w:rPr>
          <w:rFonts w:hint="cs"/>
          <w:rtl/>
          <w:lang w:eastAsia="he-IL"/>
        </w:rPr>
      </w:pPr>
      <w:r w:rsidRPr="00414995">
        <w:rPr>
          <w:rtl/>
          <w:lang w:eastAsia="he-IL"/>
        </w:rPr>
        <w:t xml:space="preserve">אם אמדו </w:t>
      </w:r>
      <w:r w:rsidRPr="00414995">
        <w:rPr>
          <w:rtl/>
        </w:rPr>
        <w:t>הב</w:t>
      </w:r>
      <w:r w:rsidRPr="00414995">
        <w:rPr>
          <w:rFonts w:hint="cs"/>
          <w:rtl/>
        </w:rPr>
        <w:t>ית</w:t>
      </w:r>
      <w:r w:rsidRPr="00414995">
        <w:rPr>
          <w:rFonts w:hint="cs"/>
          <w:rtl/>
          <w:lang w:eastAsia="he-IL"/>
        </w:rPr>
        <w:t xml:space="preserve"> דין </w:t>
      </w:r>
      <w:r w:rsidRPr="00414995">
        <w:rPr>
          <w:rtl/>
          <w:lang w:eastAsia="he-IL"/>
        </w:rPr>
        <w:t xml:space="preserve">כל אותם הדברים, </w:t>
      </w:r>
      <w:r w:rsidRPr="00414995">
        <w:rPr>
          <w:b/>
          <w:bCs/>
          <w:rtl/>
          <w:lang w:eastAsia="he-IL"/>
        </w:rPr>
        <w:t>ושיערו שאין ראוי כלל לאותו הנזק</w:t>
      </w:r>
      <w:r w:rsidRPr="00414995">
        <w:rPr>
          <w:rFonts w:hint="cs"/>
          <w:rtl/>
          <w:lang w:eastAsia="he-IL"/>
        </w:rPr>
        <w:t>,</w:t>
      </w:r>
      <w:r w:rsidRPr="00414995">
        <w:rPr>
          <w:rtl/>
          <w:lang w:eastAsia="he-IL"/>
        </w:rPr>
        <w:t xml:space="preserve"> א</w:t>
      </w:r>
      <w:r w:rsidRPr="00414995">
        <w:rPr>
          <w:rFonts w:hint="cs"/>
          <w:rtl/>
          <w:lang w:eastAsia="he-IL"/>
        </w:rPr>
        <w:t xml:space="preserve">ם כן </w:t>
      </w:r>
      <w:r w:rsidRPr="00414995">
        <w:rPr>
          <w:rtl/>
          <w:lang w:eastAsia="he-IL"/>
        </w:rPr>
        <w:t>שטן קטרג בשעת הסכנה, ואונס הוא, ופטור</w:t>
      </w:r>
      <w:r w:rsidRPr="00414995">
        <w:rPr>
          <w:rFonts w:hint="cs"/>
          <w:rtl/>
          <w:lang w:eastAsia="he-IL"/>
        </w:rPr>
        <w:t>.</w:t>
      </w:r>
      <w:r w:rsidRPr="00414995">
        <w:rPr>
          <w:rStyle w:val="a7"/>
          <w:rtl/>
          <w:lang w:eastAsia="he-IL"/>
        </w:rPr>
        <w:footnoteReference w:id="33"/>
      </w:r>
    </w:p>
    <w:p w:rsidR="000071E2" w:rsidRPr="00414995" w:rsidRDefault="001F77A0" w:rsidP="004B5AEA">
      <w:pPr>
        <w:rPr>
          <w:rtl/>
          <w:lang w:eastAsia="he-IL"/>
        </w:rPr>
      </w:pPr>
      <w:r w:rsidRPr="00414995">
        <w:rPr>
          <w:rFonts w:hint="cs"/>
          <w:rtl/>
          <w:lang w:eastAsia="he-IL"/>
        </w:rPr>
        <w:t>לאמור, גם אם ניתן יהיה לייחס את התוצאה הקטלנית למעשיו של האדם שחבל בחברו, אם בדרך הטבע אין במעשיו כדי לגרום לתוצאה זו, יוכל החובל לטעון להגנתו, שהוא היה אנוס, משום שלא היה עליו להעלות בדעתו את האפשרות, שמעשיו יגרמו למותו של אדם.</w:t>
      </w:r>
      <w:r w:rsidR="008D5876" w:rsidRPr="00414995">
        <w:rPr>
          <w:rFonts w:hint="cs"/>
          <w:rtl/>
          <w:lang w:eastAsia="he-IL"/>
        </w:rPr>
        <w:t xml:space="preserve"> </w:t>
      </w:r>
      <w:r w:rsidRPr="00414995">
        <w:rPr>
          <w:rFonts w:hint="cs"/>
          <w:rtl/>
          <w:lang w:eastAsia="he-IL"/>
        </w:rPr>
        <w:t>או בלשוננו: אם בדרך הטבע אין לצפות שהמעשה יגרום למותו של אדם, אין להרשיע את החובל בעבירת הרצח.</w:t>
      </w:r>
      <w:bookmarkStart w:id="3" w:name="_Ref456607542"/>
      <w:r w:rsidR="00A30FF1" w:rsidRPr="00414995">
        <w:rPr>
          <w:rStyle w:val="a7"/>
          <w:rtl/>
          <w:lang w:eastAsia="he-IL"/>
        </w:rPr>
        <w:footnoteReference w:id="34"/>
      </w:r>
      <w:bookmarkEnd w:id="3"/>
      <w:r w:rsidR="00010CE7" w:rsidRPr="00414995">
        <w:rPr>
          <w:rFonts w:hint="cs"/>
          <w:rtl/>
          <w:lang w:eastAsia="he-IL"/>
        </w:rPr>
        <w:t xml:space="preserve"> </w:t>
      </w:r>
      <w:r w:rsidR="000071E2" w:rsidRPr="00414995">
        <w:rPr>
          <w:rFonts w:hint="cs"/>
          <w:rtl/>
          <w:lang w:eastAsia="he-IL"/>
        </w:rPr>
        <w:t xml:space="preserve"> </w:t>
      </w:r>
    </w:p>
    <w:p w:rsidR="00FD4BEB" w:rsidRPr="00414995" w:rsidRDefault="00FD4BEB" w:rsidP="006A6A98">
      <w:pPr>
        <w:rPr>
          <w:rFonts w:hint="cs"/>
          <w:rtl/>
          <w:lang w:eastAsia="he-IL"/>
        </w:rPr>
      </w:pPr>
      <w:r w:rsidRPr="00414995">
        <w:rPr>
          <w:rFonts w:hint="cs"/>
          <w:rtl/>
          <w:lang w:eastAsia="he-IL"/>
        </w:rPr>
        <w:t xml:space="preserve">הסבר </w:t>
      </w:r>
      <w:r w:rsidR="006A6A98" w:rsidRPr="00414995">
        <w:rPr>
          <w:rFonts w:hint="cs"/>
          <w:rtl/>
          <w:lang w:eastAsia="he-IL"/>
        </w:rPr>
        <w:t>דומ</w:t>
      </w:r>
      <w:r w:rsidRPr="00414995">
        <w:rPr>
          <w:rFonts w:hint="cs"/>
          <w:rtl/>
          <w:lang w:eastAsia="he-IL"/>
        </w:rPr>
        <w:t>ה הציע רבי יצחק אלחנן ספקטור (קובנה, המאה ה-19)</w:t>
      </w:r>
      <w:r w:rsidR="006A6A98" w:rsidRPr="00414995">
        <w:rPr>
          <w:rFonts w:hint="cs"/>
          <w:rtl/>
          <w:lang w:eastAsia="he-IL"/>
        </w:rPr>
        <w:t xml:space="preserve">, אלא שלדעתו, רמת ההסתברות הנדרשת על מנת שניתן יהיה לקבוע שהמכה צפה את התוצאה הקטלנית היא גבוהה יותר </w:t>
      </w:r>
      <w:r w:rsidRPr="00414995">
        <w:rPr>
          <w:rtl/>
          <w:lang w:eastAsia="he-IL"/>
        </w:rPr>
        <w:t>–</w:t>
      </w:r>
      <w:r w:rsidRPr="00414995">
        <w:rPr>
          <w:rFonts w:hint="cs"/>
          <w:rtl/>
          <w:lang w:eastAsia="he-IL"/>
        </w:rPr>
        <w:t xml:space="preserve"> </w:t>
      </w:r>
    </w:p>
    <w:p w:rsidR="009B5921" w:rsidRPr="00414995" w:rsidRDefault="00FD4BEB" w:rsidP="008D5876">
      <w:pPr>
        <w:spacing w:before="0" w:after="0"/>
        <w:ind w:left="567" w:right="567"/>
        <w:rPr>
          <w:rtl/>
          <w:lang w:eastAsia="he-IL"/>
        </w:rPr>
      </w:pPr>
      <w:r w:rsidRPr="00414995">
        <w:rPr>
          <w:rtl/>
          <w:lang w:eastAsia="he-IL"/>
        </w:rPr>
        <w:t>עיקר הטעם דהצריכו</w:t>
      </w:r>
      <w:r w:rsidR="008D5876" w:rsidRPr="00414995">
        <w:rPr>
          <w:rFonts w:hint="cs"/>
          <w:rtl/>
          <w:lang w:eastAsia="he-IL"/>
        </w:rPr>
        <w:t xml:space="preserve"> </w:t>
      </w:r>
      <w:r w:rsidRPr="00414995">
        <w:rPr>
          <w:rtl/>
          <w:lang w:eastAsia="he-IL"/>
        </w:rPr>
        <w:t>אומדנא</w:t>
      </w:r>
      <w:r w:rsidR="008D5876" w:rsidRPr="00414995">
        <w:rPr>
          <w:rFonts w:hint="cs"/>
          <w:rtl/>
          <w:lang w:eastAsia="he-IL"/>
        </w:rPr>
        <w:t xml:space="preserve"> </w:t>
      </w:r>
      <w:r w:rsidRPr="00414995">
        <w:rPr>
          <w:rtl/>
          <w:lang w:eastAsia="he-IL"/>
        </w:rPr>
        <w:t>לנזקין ומיתה</w:t>
      </w:r>
      <w:r w:rsidR="009B5921" w:rsidRPr="00414995">
        <w:rPr>
          <w:rFonts w:hint="cs"/>
          <w:rtl/>
          <w:lang w:eastAsia="he-IL"/>
        </w:rPr>
        <w:t>,</w:t>
      </w:r>
      <w:r w:rsidRPr="00414995">
        <w:rPr>
          <w:rtl/>
          <w:lang w:eastAsia="he-IL"/>
        </w:rPr>
        <w:t xml:space="preserve"> אף דהא מוכח דמת מחמת הכאת חברו</w:t>
      </w:r>
      <w:r w:rsidR="009B5921" w:rsidRPr="00414995">
        <w:rPr>
          <w:rFonts w:hint="cs"/>
          <w:rtl/>
          <w:lang w:eastAsia="he-IL"/>
        </w:rPr>
        <w:t>,</w:t>
      </w:r>
      <w:r w:rsidRPr="00414995">
        <w:rPr>
          <w:rtl/>
          <w:lang w:eastAsia="he-IL"/>
        </w:rPr>
        <w:t xml:space="preserve"> ע</w:t>
      </w:r>
      <w:r w:rsidR="009B5921" w:rsidRPr="00414995">
        <w:rPr>
          <w:rFonts w:hint="cs"/>
          <w:rtl/>
          <w:lang w:eastAsia="he-IL"/>
        </w:rPr>
        <w:t xml:space="preserve">ם כל זה, </w:t>
      </w:r>
      <w:r w:rsidRPr="00414995">
        <w:rPr>
          <w:rtl/>
          <w:lang w:eastAsia="he-IL"/>
        </w:rPr>
        <w:t>יכול הרוצח לומר אנוס הייתי בזה</w:t>
      </w:r>
      <w:r w:rsidR="009B5921" w:rsidRPr="00414995">
        <w:rPr>
          <w:rFonts w:hint="cs"/>
          <w:rtl/>
          <w:lang w:eastAsia="he-IL"/>
        </w:rPr>
        <w:t>,</w:t>
      </w:r>
      <w:r w:rsidRPr="00414995">
        <w:rPr>
          <w:rtl/>
          <w:lang w:eastAsia="he-IL"/>
        </w:rPr>
        <w:t xml:space="preserve"> ולא ידעתי דימות חברי או שיוזק מזה</w:t>
      </w:r>
      <w:r w:rsidR="009B5921" w:rsidRPr="00414995">
        <w:rPr>
          <w:rFonts w:hint="cs"/>
          <w:rtl/>
          <w:lang w:eastAsia="he-IL"/>
        </w:rPr>
        <w:t>.</w:t>
      </w:r>
    </w:p>
    <w:p w:rsidR="00FD4BEB" w:rsidRPr="00414995" w:rsidRDefault="009B5921" w:rsidP="009B5921">
      <w:pPr>
        <w:spacing w:before="0" w:after="0"/>
        <w:ind w:left="567" w:right="567"/>
        <w:rPr>
          <w:rFonts w:hint="cs"/>
          <w:rtl/>
          <w:lang w:eastAsia="he-IL"/>
        </w:rPr>
      </w:pPr>
      <w:r w:rsidRPr="00414995">
        <w:rPr>
          <w:rtl/>
          <w:lang w:eastAsia="he-IL"/>
        </w:rPr>
        <w:t>אבל היכא דהי</w:t>
      </w:r>
      <w:r w:rsidRPr="00414995">
        <w:rPr>
          <w:rFonts w:hint="cs"/>
          <w:rtl/>
          <w:lang w:eastAsia="he-IL"/>
        </w:rPr>
        <w:t>ה</w:t>
      </w:r>
      <w:r w:rsidRPr="00414995">
        <w:rPr>
          <w:rtl/>
          <w:lang w:eastAsia="he-IL"/>
        </w:rPr>
        <w:t xml:space="preserve"> עליו איסור </w:t>
      </w:r>
      <w:r w:rsidRPr="00414995">
        <w:rPr>
          <w:b/>
          <w:bCs/>
          <w:rtl/>
          <w:lang w:eastAsia="he-IL"/>
        </w:rPr>
        <w:t>מצד רוב</w:t>
      </w:r>
      <w:r w:rsidRPr="00414995">
        <w:rPr>
          <w:rtl/>
          <w:lang w:eastAsia="he-IL"/>
        </w:rPr>
        <w:t>, הלא לא יכול לומר אנוס הייתי</w:t>
      </w:r>
      <w:r w:rsidRPr="00414995">
        <w:rPr>
          <w:rFonts w:hint="cs"/>
          <w:rtl/>
          <w:lang w:eastAsia="he-IL"/>
        </w:rPr>
        <w:t>,</w:t>
      </w:r>
      <w:r w:rsidRPr="00414995">
        <w:rPr>
          <w:rtl/>
          <w:lang w:eastAsia="he-IL"/>
        </w:rPr>
        <w:t xml:space="preserve"> דהא הו</w:t>
      </w:r>
      <w:r w:rsidRPr="00414995">
        <w:rPr>
          <w:rFonts w:hint="cs"/>
          <w:rtl/>
          <w:lang w:eastAsia="he-IL"/>
        </w:rPr>
        <w:t xml:space="preserve">ה ליה </w:t>
      </w:r>
      <w:r w:rsidRPr="00414995">
        <w:rPr>
          <w:rtl/>
          <w:lang w:eastAsia="he-IL"/>
        </w:rPr>
        <w:t xml:space="preserve"> לאסוקי אדעתא </w:t>
      </w:r>
      <w:r w:rsidRPr="00414995">
        <w:rPr>
          <w:rFonts w:hint="cs"/>
          <w:rtl/>
          <w:lang w:eastAsia="he-IL"/>
        </w:rPr>
        <w:t xml:space="preserve">[=היה לו להעלות על דעתו] </w:t>
      </w:r>
      <w:r w:rsidRPr="00414995">
        <w:rPr>
          <w:rtl/>
          <w:lang w:eastAsia="he-IL"/>
        </w:rPr>
        <w:t>דיוזק חברו</w:t>
      </w:r>
      <w:r w:rsidRPr="00414995">
        <w:rPr>
          <w:rFonts w:hint="cs"/>
          <w:rtl/>
          <w:lang w:eastAsia="he-IL"/>
        </w:rPr>
        <w:t>,</w:t>
      </w:r>
      <w:r w:rsidRPr="00414995">
        <w:rPr>
          <w:rtl/>
          <w:lang w:eastAsia="he-IL"/>
        </w:rPr>
        <w:t xml:space="preserve"> מחמת הרוב</w:t>
      </w:r>
      <w:r w:rsidRPr="00414995">
        <w:rPr>
          <w:rFonts w:hint="cs"/>
          <w:rtl/>
          <w:lang w:eastAsia="he-IL"/>
        </w:rPr>
        <w:t>.</w:t>
      </w:r>
      <w:r w:rsidRPr="00414995">
        <w:rPr>
          <w:rStyle w:val="a7"/>
          <w:rtl/>
          <w:lang w:eastAsia="he-IL"/>
        </w:rPr>
        <w:footnoteReference w:id="35"/>
      </w:r>
    </w:p>
    <w:p w:rsidR="009B7D0B" w:rsidRPr="00414995" w:rsidRDefault="009B5921" w:rsidP="00E73B15">
      <w:pPr>
        <w:rPr>
          <w:rtl/>
          <w:lang w:eastAsia="he-IL"/>
        </w:rPr>
      </w:pPr>
      <w:r w:rsidRPr="00414995">
        <w:rPr>
          <w:rFonts w:hint="cs"/>
          <w:rtl/>
          <w:lang w:eastAsia="he-IL"/>
        </w:rPr>
        <w:t xml:space="preserve">לפי הסבר זה, </w:t>
      </w:r>
      <w:r w:rsidR="00E73B15" w:rsidRPr="00414995">
        <w:rPr>
          <w:rFonts w:hint="cs"/>
          <w:rtl/>
          <w:lang w:eastAsia="he-IL"/>
        </w:rPr>
        <w:t xml:space="preserve">רק </w:t>
      </w:r>
      <w:r w:rsidR="006A6A98" w:rsidRPr="00414995">
        <w:rPr>
          <w:rFonts w:hint="cs"/>
          <w:rtl/>
          <w:lang w:eastAsia="he-IL"/>
        </w:rPr>
        <w:t xml:space="preserve">כאשר על פי רוב החבלה שחבל אדם בחברו היא קטלנית, ניתן </w:t>
      </w:r>
      <w:r w:rsidR="00E73B15" w:rsidRPr="00414995">
        <w:rPr>
          <w:rFonts w:hint="cs"/>
          <w:rtl/>
          <w:lang w:eastAsia="he-IL"/>
        </w:rPr>
        <w:t>לומר שהיה עליו לצפות את התרחשות התוצאה, ובשל כך ניתן להרשיעו בעבירת הרצח</w:t>
      </w:r>
      <w:r w:rsidRPr="00414995">
        <w:rPr>
          <w:rFonts w:hint="cs"/>
          <w:rtl/>
          <w:lang w:eastAsia="he-IL"/>
        </w:rPr>
        <w:t>.</w:t>
      </w:r>
      <w:r w:rsidR="00FD4BEB" w:rsidRPr="00414995">
        <w:rPr>
          <w:rStyle w:val="a7"/>
          <w:rtl/>
          <w:lang w:eastAsia="he-IL"/>
        </w:rPr>
        <w:footnoteReference w:id="36"/>
      </w:r>
      <w:r w:rsidR="00FD4BEB" w:rsidRPr="00414995">
        <w:rPr>
          <w:rFonts w:hint="cs"/>
          <w:rtl/>
          <w:lang w:eastAsia="he-IL"/>
        </w:rPr>
        <w:t xml:space="preserve"> </w:t>
      </w:r>
    </w:p>
    <w:p w:rsidR="008C6FE9" w:rsidRPr="00414995" w:rsidRDefault="00E73B15" w:rsidP="00A9662C">
      <w:pPr>
        <w:rPr>
          <w:rtl/>
          <w:lang w:eastAsia="he-IL"/>
        </w:rPr>
      </w:pPr>
      <w:r w:rsidRPr="00414995">
        <w:rPr>
          <w:rFonts w:hint="cs"/>
          <w:rtl/>
          <w:lang w:eastAsia="he-IL"/>
        </w:rPr>
        <w:t xml:space="preserve">ניתן אפוא לסכם, שעל פי המשפט העברי </w:t>
      </w:r>
      <w:r w:rsidRPr="00414995">
        <w:rPr>
          <w:rFonts w:hint="cs"/>
          <w:b/>
          <w:bCs/>
          <w:rtl/>
          <w:lang w:eastAsia="he-IL"/>
        </w:rPr>
        <w:t>משעה שהוכח שהאדם שביצע את הפעולה הממיתה צפה את תוצאותיה הקטלניות,</w:t>
      </w:r>
      <w:r w:rsidR="00F21C73" w:rsidRPr="00414995">
        <w:rPr>
          <w:rStyle w:val="a7"/>
          <w:b/>
          <w:bCs/>
          <w:rtl/>
          <w:lang w:eastAsia="he-IL"/>
        </w:rPr>
        <w:footnoteReference w:id="37"/>
      </w:r>
      <w:r w:rsidRPr="00414995">
        <w:rPr>
          <w:rFonts w:hint="cs"/>
          <w:b/>
          <w:bCs/>
          <w:rtl/>
          <w:lang w:eastAsia="he-IL"/>
        </w:rPr>
        <w:t xml:space="preserve"> ניתן להרשיעו בעבירת הרצח, וזאת, בין אם היה מעוניין בתוצאות אלה, בין אם לא היה מעוניין בהן ובין אם היה אדיש לאפשרות התרחשותן</w:t>
      </w:r>
      <w:r w:rsidRPr="00414995">
        <w:rPr>
          <w:rFonts w:hint="cs"/>
          <w:rtl/>
          <w:lang w:eastAsia="he-IL"/>
        </w:rPr>
        <w:t>.</w:t>
      </w:r>
      <w:r w:rsidRPr="00414995">
        <w:rPr>
          <w:rStyle w:val="a7"/>
          <w:rtl/>
          <w:lang w:eastAsia="he-IL"/>
        </w:rPr>
        <w:footnoteReference w:id="38"/>
      </w:r>
    </w:p>
    <w:p w:rsidR="00D56F96" w:rsidRPr="00414995" w:rsidRDefault="00D56F96" w:rsidP="00D56F96">
      <w:pPr>
        <w:rPr>
          <w:rtl/>
          <w:lang w:eastAsia="he-IL"/>
        </w:rPr>
      </w:pPr>
      <w:r w:rsidRPr="00414995">
        <w:rPr>
          <w:rFonts w:hint="cs"/>
          <w:rtl/>
          <w:lang w:eastAsia="he-IL"/>
        </w:rPr>
        <w:lastRenderedPageBreak/>
        <w:t>רמת ההסתברות הנדרשת על מנת שניתן יהיה לקבוע שהאדם שגרם למותו של אדם אחר צפה שמעשיו יגרמו לכך</w:t>
      </w:r>
      <w:r w:rsidR="004B5AEA" w:rsidRPr="00414995">
        <w:rPr>
          <w:rFonts w:hint="cs"/>
          <w:rtl/>
          <w:lang w:eastAsia="he-IL"/>
        </w:rPr>
        <w:t>,</w:t>
      </w:r>
      <w:r w:rsidRPr="00414995">
        <w:rPr>
          <w:rFonts w:hint="cs"/>
          <w:rtl/>
          <w:lang w:eastAsia="he-IL"/>
        </w:rPr>
        <w:t xml:space="preserve"> שנויה במחלוקת. יש שקבעו שדי בסיכוי קל לכך שהפעולה תגרום למותו של אדם על מנת שנוכל לומר שהאדם שביצע את הפעולה צפה את תוצאותיה הקטלניות או שהיה עליו לצפות זאת, ויש שקבעו שרק כאשר קיים סיכוי גבוה לכך שהפעולה תגרום למותו של אדם, ניתן יהיה להרשיעו בעבירת הרצח, ולהניח שהוא צפה את התרחשותה של התוצאה הקטלנית, או שהיה עליו לצפות זאת. </w:t>
      </w:r>
    </w:p>
    <w:p w:rsidR="004B5AEA" w:rsidRPr="00414995" w:rsidRDefault="004B5AEA" w:rsidP="00D56F96">
      <w:pPr>
        <w:rPr>
          <w:rFonts w:hint="cs"/>
          <w:rtl/>
          <w:lang w:eastAsia="he-IL"/>
        </w:rPr>
      </w:pPr>
      <w:r w:rsidRPr="00414995">
        <w:rPr>
          <w:rFonts w:hint="cs"/>
          <w:rtl/>
          <w:lang w:eastAsia="he-IL"/>
        </w:rPr>
        <w:t xml:space="preserve">אמנם, לכל הדעות, </w:t>
      </w:r>
      <w:r w:rsidRPr="00414995">
        <w:rPr>
          <w:rFonts w:hint="cs"/>
          <w:b/>
          <w:bCs/>
          <w:rtl/>
          <w:lang w:eastAsia="he-IL"/>
        </w:rPr>
        <w:t>גם כאשר רמת ההסתברות שמעשה מסוים יוביל למותו של אדם נמוכה מזו של "אפשרות קרובה לוודאי", ניתן להרשיע את מי שביצע מעשה זה בעבירת הרצח</w:t>
      </w:r>
      <w:r w:rsidRPr="00414995">
        <w:rPr>
          <w:rFonts w:hint="cs"/>
          <w:rtl/>
          <w:lang w:eastAsia="he-IL"/>
        </w:rPr>
        <w:t xml:space="preserve">. </w:t>
      </w:r>
    </w:p>
    <w:p w:rsidR="00647829" w:rsidRPr="00414995" w:rsidRDefault="009B3C96" w:rsidP="009B3C96">
      <w:pPr>
        <w:pStyle w:val="1"/>
        <w:numPr>
          <w:ilvl w:val="0"/>
          <w:numId w:val="17"/>
        </w:numPr>
        <w:bidi/>
        <w:spacing w:after="120"/>
        <w:ind w:left="357" w:hanging="357"/>
        <w:rPr>
          <w:rFonts w:ascii="Times New Roman" w:hAnsi="Times New Roman"/>
          <w:b/>
          <w:kern w:val="0"/>
          <w:sz w:val="24"/>
          <w:rtl/>
          <w:lang w:eastAsia="he-IL"/>
        </w:rPr>
      </w:pPr>
      <w:r w:rsidRPr="00414995">
        <w:rPr>
          <w:rFonts w:ascii="Times New Roman" w:hAnsi="Times New Roman" w:hint="cs"/>
          <w:b/>
          <w:kern w:val="0"/>
          <w:sz w:val="24"/>
          <w:rtl/>
          <w:lang w:eastAsia="he-IL"/>
        </w:rPr>
        <w:t>'גרימת מוות ב</w:t>
      </w:r>
      <w:r w:rsidR="009828F6" w:rsidRPr="00414995">
        <w:rPr>
          <w:rFonts w:ascii="Times New Roman" w:hAnsi="Times New Roman" w:hint="cs"/>
          <w:b/>
          <w:kern w:val="0"/>
          <w:sz w:val="24"/>
          <w:rtl/>
          <w:lang w:eastAsia="he-IL"/>
        </w:rPr>
        <w:t>רשלנות</w:t>
      </w:r>
      <w:r w:rsidRPr="00414995">
        <w:rPr>
          <w:rFonts w:ascii="Times New Roman" w:hAnsi="Times New Roman" w:hint="cs"/>
          <w:b/>
          <w:kern w:val="0"/>
          <w:sz w:val="24"/>
          <w:rtl/>
          <w:lang w:eastAsia="he-IL"/>
        </w:rPr>
        <w:t>'</w:t>
      </w:r>
      <w:r w:rsidR="00647829" w:rsidRPr="00414995">
        <w:rPr>
          <w:rFonts w:ascii="Times New Roman" w:hAnsi="Times New Roman" w:hint="cs"/>
          <w:b/>
          <w:kern w:val="0"/>
          <w:sz w:val="24"/>
          <w:rtl/>
          <w:lang w:eastAsia="he-IL"/>
        </w:rPr>
        <w:t xml:space="preserve"> </w:t>
      </w:r>
      <w:r w:rsidRPr="00414995">
        <w:rPr>
          <w:rFonts w:ascii="Times New Roman" w:hAnsi="Times New Roman" w:hint="cs"/>
          <w:b/>
          <w:kern w:val="0"/>
          <w:sz w:val="24"/>
          <w:rtl/>
          <w:lang w:eastAsia="he-IL"/>
        </w:rPr>
        <w:t>ו'רשלנות בנסיבות מחמירות'</w:t>
      </w:r>
      <w:r w:rsidR="00647829" w:rsidRPr="00414995">
        <w:rPr>
          <w:rFonts w:ascii="Times New Roman" w:hAnsi="Times New Roman" w:hint="cs"/>
          <w:b/>
          <w:kern w:val="0"/>
          <w:sz w:val="24"/>
          <w:rtl/>
          <w:lang w:eastAsia="he-IL"/>
        </w:rPr>
        <w:t xml:space="preserve"> </w:t>
      </w:r>
    </w:p>
    <w:p w:rsidR="00A245CA" w:rsidRPr="00414995" w:rsidRDefault="00A245CA" w:rsidP="009B3C96">
      <w:pPr>
        <w:rPr>
          <w:rtl/>
        </w:rPr>
      </w:pPr>
      <w:r w:rsidRPr="00414995">
        <w:rPr>
          <w:rFonts w:hint="cs"/>
          <w:rtl/>
        </w:rPr>
        <w:t>סעיף 304 לחוק העונשין קובע ש"</w:t>
      </w:r>
      <w:r w:rsidRPr="00414995">
        <w:rPr>
          <w:rtl/>
        </w:rPr>
        <w:t>הגורם ברשלנות למותו של אדם, דינו - מאסר שלוש שנים</w:t>
      </w:r>
      <w:r w:rsidRPr="00414995">
        <w:rPr>
          <w:rFonts w:hint="cs"/>
          <w:rtl/>
        </w:rPr>
        <w:t>"</w:t>
      </w:r>
      <w:r w:rsidRPr="00414995">
        <w:rPr>
          <w:rtl/>
        </w:rPr>
        <w:t>.</w:t>
      </w:r>
      <w:r w:rsidRPr="00414995">
        <w:rPr>
          <w:rFonts w:hint="cs"/>
          <w:rtl/>
        </w:rPr>
        <w:t xml:space="preserve"> הרשלנות, הוגדרה בסעיף 21</w:t>
      </w:r>
      <w:r w:rsidR="009B3C96" w:rsidRPr="00414995">
        <w:rPr>
          <w:rFonts w:hint="cs"/>
          <w:rtl/>
        </w:rPr>
        <w:t xml:space="preserve"> כ"</w:t>
      </w:r>
      <w:r w:rsidR="009B3C96" w:rsidRPr="00414995">
        <w:rPr>
          <w:rtl/>
        </w:rPr>
        <w:t>אי מודעות לטיב המעשה, לקיום הנסיבות או לאפשרות הגרימה לתוצאות המעשה, הנמנים עם פרטי העבירה, כשאדם מן היישוב יכול היה, בנסיבות הענ</w:t>
      </w:r>
      <w:r w:rsidR="009B3C96" w:rsidRPr="00414995">
        <w:rPr>
          <w:rFonts w:hint="cs"/>
          <w:rtl/>
        </w:rPr>
        <w:t>י</w:t>
      </w:r>
      <w:r w:rsidR="009B3C96" w:rsidRPr="00414995">
        <w:rPr>
          <w:rtl/>
        </w:rPr>
        <w:t>ין, להיות מודע לאותו פרט</w:t>
      </w:r>
      <w:r w:rsidR="009B3C96" w:rsidRPr="00414995">
        <w:rPr>
          <w:rFonts w:hint="cs"/>
          <w:rtl/>
        </w:rPr>
        <w:t>"</w:t>
      </w:r>
      <w:r w:rsidR="009B3C96" w:rsidRPr="00414995">
        <w:rPr>
          <w:rtl/>
        </w:rPr>
        <w:t xml:space="preserve">, ובלבד </w:t>
      </w:r>
      <w:r w:rsidR="009B3C96" w:rsidRPr="00414995">
        <w:rPr>
          <w:rFonts w:hint="cs"/>
          <w:rtl/>
        </w:rPr>
        <w:t>ש"</w:t>
      </w:r>
      <w:r w:rsidR="009B3C96" w:rsidRPr="00414995">
        <w:rPr>
          <w:rtl/>
        </w:rPr>
        <w:t>לענין הפרטים הנותרים הי</w:t>
      </w:r>
      <w:r w:rsidR="009B3C96" w:rsidRPr="00414995">
        <w:rPr>
          <w:rFonts w:hint="cs"/>
          <w:rtl/>
        </w:rPr>
        <w:t>י</w:t>
      </w:r>
      <w:r w:rsidR="009B3C96" w:rsidRPr="00414995">
        <w:rPr>
          <w:rtl/>
        </w:rPr>
        <w:t>תה לפחות רשלנות כאמור</w:t>
      </w:r>
      <w:r w:rsidR="009B3C96" w:rsidRPr="00414995">
        <w:rPr>
          <w:rFonts w:hint="cs"/>
          <w:rtl/>
        </w:rPr>
        <w:t>", וש"</w:t>
      </w:r>
      <w:r w:rsidR="009B3C96" w:rsidRPr="00414995">
        <w:rPr>
          <w:rtl/>
        </w:rPr>
        <w:t>אפשרות גרימת התוצאות לא הי</w:t>
      </w:r>
      <w:r w:rsidR="009B3C96" w:rsidRPr="00414995">
        <w:rPr>
          <w:rFonts w:hint="cs"/>
          <w:rtl/>
        </w:rPr>
        <w:t>י</w:t>
      </w:r>
      <w:r w:rsidR="009B3C96" w:rsidRPr="00414995">
        <w:rPr>
          <w:rtl/>
        </w:rPr>
        <w:t>תה בגדר הסיכון הסביר</w:t>
      </w:r>
      <w:r w:rsidR="009B3C96" w:rsidRPr="00414995">
        <w:rPr>
          <w:rFonts w:hint="cs"/>
          <w:rtl/>
        </w:rPr>
        <w:t>"</w:t>
      </w:r>
      <w:r w:rsidR="009B3C96" w:rsidRPr="00414995">
        <w:rPr>
          <w:rtl/>
        </w:rPr>
        <w:t>.</w:t>
      </w:r>
    </w:p>
    <w:p w:rsidR="005C4E19" w:rsidRPr="00414995" w:rsidRDefault="009B3C96" w:rsidP="00260D86">
      <w:pPr>
        <w:rPr>
          <w:rtl/>
        </w:rPr>
      </w:pPr>
      <w:r w:rsidRPr="00414995">
        <w:rPr>
          <w:rFonts w:hint="cs"/>
          <w:rtl/>
        </w:rPr>
        <w:t>הצעת החוק מבקשת לשנות את הגדרתה של הרשלנות ולקבוע כתנאי לה</w:t>
      </w:r>
      <w:r w:rsidR="005A188A" w:rsidRPr="00414995">
        <w:rPr>
          <w:rFonts w:hint="cs"/>
          <w:rtl/>
        </w:rPr>
        <w:t>רשעתו</w:t>
      </w:r>
      <w:r w:rsidRPr="00414995">
        <w:rPr>
          <w:rFonts w:hint="cs"/>
          <w:rtl/>
        </w:rPr>
        <w:t xml:space="preserve"> של אדם ברשלנות, ש"</w:t>
      </w:r>
      <w:r w:rsidRPr="00414995">
        <w:rPr>
          <w:rtl/>
        </w:rPr>
        <w:t>בעבירה שעם פרטיה נמנית תוצאה שנגרמה על ידי המעשה או סכנה העלולה</w:t>
      </w:r>
      <w:r w:rsidRPr="00414995">
        <w:rPr>
          <w:rFonts w:hint="cs"/>
          <w:rtl/>
        </w:rPr>
        <w:t xml:space="preserve"> </w:t>
      </w:r>
      <w:r w:rsidRPr="00414995">
        <w:rPr>
          <w:rtl/>
        </w:rPr>
        <w:t>להיגרם בשלו - העושה יצר במעשהו סיכון בלתי סביר להתרחשות התוצאה או</w:t>
      </w:r>
      <w:r w:rsidRPr="00414995">
        <w:rPr>
          <w:rFonts w:hint="cs"/>
          <w:rtl/>
        </w:rPr>
        <w:t xml:space="preserve"> </w:t>
      </w:r>
      <w:r w:rsidRPr="00414995">
        <w:rPr>
          <w:rtl/>
        </w:rPr>
        <w:t>הסכנה</w:t>
      </w:r>
      <w:r w:rsidRPr="00414995">
        <w:rPr>
          <w:rFonts w:hint="cs"/>
          <w:rtl/>
        </w:rPr>
        <w:t xml:space="preserve">". </w:t>
      </w:r>
    </w:p>
    <w:p w:rsidR="009B3C96" w:rsidRPr="00414995" w:rsidRDefault="009B3C96" w:rsidP="00F70B12">
      <w:pPr>
        <w:rPr>
          <w:rtl/>
        </w:rPr>
      </w:pPr>
      <w:r w:rsidRPr="00414995">
        <w:rPr>
          <w:rFonts w:hint="cs"/>
          <w:rtl/>
        </w:rPr>
        <w:t xml:space="preserve">שינוי זה נועד להבהיר שמבחן </w:t>
      </w:r>
      <w:r w:rsidR="00F70B12" w:rsidRPr="00414995">
        <w:rPr>
          <w:rFonts w:hint="cs"/>
          <w:rtl/>
        </w:rPr>
        <w:t xml:space="preserve">נטילת הסיכון הבלתי סביר </w:t>
      </w:r>
      <w:r w:rsidRPr="00414995">
        <w:rPr>
          <w:rFonts w:hint="cs"/>
          <w:rtl/>
        </w:rPr>
        <w:t>יחול לא רק על עבירות תוצאה אלא גם על עבירות התנהגות,</w:t>
      </w:r>
      <w:r w:rsidRPr="00414995">
        <w:rPr>
          <w:rStyle w:val="a7"/>
          <w:rtl/>
        </w:rPr>
        <w:footnoteReference w:id="39"/>
      </w:r>
      <w:r w:rsidRPr="00414995">
        <w:rPr>
          <w:rFonts w:hint="cs"/>
          <w:rtl/>
        </w:rPr>
        <w:t xml:space="preserve"> ולהבהיר </w:t>
      </w:r>
      <w:r w:rsidRPr="00414995">
        <w:rPr>
          <w:rtl/>
        </w:rPr>
        <w:t>ש</w:t>
      </w:r>
      <w:r w:rsidRPr="00414995">
        <w:rPr>
          <w:rFonts w:hint="cs"/>
          <w:rtl/>
        </w:rPr>
        <w:t>אישום פלילי בג</w:t>
      </w:r>
      <w:r w:rsidR="00597A7D" w:rsidRPr="00414995">
        <w:rPr>
          <w:rFonts w:hint="cs"/>
          <w:rtl/>
        </w:rPr>
        <w:t xml:space="preserve">ין עבירת התנהגות (כגון נהיגה בפזיזות) </w:t>
      </w:r>
      <w:r w:rsidRPr="00414995">
        <w:rPr>
          <w:rFonts w:hint="cs"/>
          <w:rtl/>
        </w:rPr>
        <w:t>יחול רק על מי שנוטל סיכון בלתי סביר להמתתו של אדם, "</w:t>
      </w:r>
      <w:r w:rsidRPr="00414995">
        <w:rPr>
          <w:rtl/>
        </w:rPr>
        <w:t>מצבים שבהם דבק בהתנהגות העושה אשם חמור</w:t>
      </w:r>
      <w:r w:rsidRPr="00414995">
        <w:rPr>
          <w:rFonts w:hint="cs"/>
          <w:rtl/>
        </w:rPr>
        <w:t xml:space="preserve">... </w:t>
      </w:r>
      <w:r w:rsidRPr="00414995">
        <w:rPr>
          <w:rtl/>
        </w:rPr>
        <w:t>המצדיק נקיטת הליכים פליליים</w:t>
      </w:r>
      <w:r w:rsidRPr="00414995">
        <w:rPr>
          <w:rFonts w:hint="cs"/>
          <w:rtl/>
        </w:rPr>
        <w:t>".</w:t>
      </w:r>
      <w:r w:rsidRPr="00414995">
        <w:rPr>
          <w:rStyle w:val="a7"/>
          <w:rtl/>
        </w:rPr>
        <w:footnoteReference w:id="40"/>
      </w:r>
    </w:p>
    <w:p w:rsidR="00F70B12" w:rsidRPr="00414995" w:rsidRDefault="00F70B12" w:rsidP="00D24F8B">
      <w:pPr>
        <w:rPr>
          <w:rFonts w:hint="cs"/>
          <w:rtl/>
        </w:rPr>
      </w:pPr>
      <w:r w:rsidRPr="00414995">
        <w:rPr>
          <w:rFonts w:hint="cs"/>
          <w:rtl/>
        </w:rPr>
        <w:t>חידוש חשוב נוסף המוצע בהצעת החוק הוא ההבחנה שבין רשלנות רגילה, לרשלנות בנסיבות מחמירות.</w:t>
      </w:r>
      <w:r w:rsidR="00D24F8B" w:rsidRPr="00414995">
        <w:rPr>
          <w:rStyle w:val="a7"/>
          <w:rtl/>
        </w:rPr>
        <w:footnoteReference w:id="41"/>
      </w:r>
      <w:r w:rsidR="00D24F8B" w:rsidRPr="00414995">
        <w:rPr>
          <w:rFonts w:hint="cs"/>
          <w:rtl/>
        </w:rPr>
        <w:t xml:space="preserve">  על פי ההצעה, גרימת מוות ברשלנות, עקב נטילת סיכון בלתי סביר להמתתו של אדם תהיה עבירה שעונשה שלוש שנות מאסר, בעוד שגרימת מוות ברשלנות בנסיבות מחמירות תהיה עבירה שעונשה חמש שנות מאסר. </w:t>
      </w:r>
    </w:p>
    <w:p w:rsidR="00FE5F8C" w:rsidRPr="00414995" w:rsidRDefault="00D24F8B" w:rsidP="00D24F8B">
      <w:pPr>
        <w:rPr>
          <w:rtl/>
        </w:rPr>
      </w:pPr>
      <w:r w:rsidRPr="00414995">
        <w:rPr>
          <w:rFonts w:hint="cs"/>
          <w:rtl/>
        </w:rPr>
        <w:lastRenderedPageBreak/>
        <w:t xml:space="preserve">על פי ההצעה, הנסיבות המחמירות תתקיימנה בהתמלא שני תנאים מצטברים: </w:t>
      </w:r>
      <w:r w:rsidR="00FE5F8C" w:rsidRPr="00414995">
        <w:rPr>
          <w:rFonts w:hint="cs"/>
          <w:rtl/>
        </w:rPr>
        <w:t>כאשר הגורם מוות סטה במעשיו "</w:t>
      </w:r>
      <w:r w:rsidR="00FE5F8C" w:rsidRPr="00414995">
        <w:rPr>
          <w:rtl/>
        </w:rPr>
        <w:t>במידה ניכרת מהתנהגות סבירה בנסיבות</w:t>
      </w:r>
      <w:r w:rsidR="00FE5F8C" w:rsidRPr="00414995">
        <w:rPr>
          <w:rFonts w:hint="cs"/>
          <w:rtl/>
        </w:rPr>
        <w:t xml:space="preserve"> </w:t>
      </w:r>
      <w:r w:rsidR="00FE5F8C" w:rsidRPr="00414995">
        <w:rPr>
          <w:rtl/>
        </w:rPr>
        <w:t>העניין, והיה מודע לטיב המעשה</w:t>
      </w:r>
      <w:r w:rsidR="00FE5F8C" w:rsidRPr="00414995">
        <w:rPr>
          <w:rFonts w:hint="cs"/>
          <w:rtl/>
        </w:rPr>
        <w:t>",</w:t>
      </w:r>
      <w:r w:rsidR="00FE5F8C" w:rsidRPr="00414995">
        <w:rPr>
          <w:rStyle w:val="a7"/>
          <w:rtl/>
        </w:rPr>
        <w:footnoteReference w:id="42"/>
      </w:r>
      <w:r w:rsidR="00FE5F8C" w:rsidRPr="00414995">
        <w:rPr>
          <w:rFonts w:hint="cs"/>
          <w:rtl/>
        </w:rPr>
        <w:t xml:space="preserve"> ו</w:t>
      </w:r>
      <w:r w:rsidRPr="00414995">
        <w:rPr>
          <w:rFonts w:hint="cs"/>
          <w:rtl/>
        </w:rPr>
        <w:t xml:space="preserve">כאשר </w:t>
      </w:r>
      <w:r w:rsidR="00FE5F8C" w:rsidRPr="00414995">
        <w:rPr>
          <w:rFonts w:hint="cs"/>
          <w:rtl/>
        </w:rPr>
        <w:t>"המעשה מהוה הפרה של דין".</w:t>
      </w:r>
      <w:r w:rsidR="005A188A" w:rsidRPr="00414995">
        <w:rPr>
          <w:rStyle w:val="a7"/>
          <w:rtl/>
        </w:rPr>
        <w:footnoteReference w:id="43"/>
      </w:r>
      <w:r w:rsidR="00FE5F8C" w:rsidRPr="00414995">
        <w:rPr>
          <w:rFonts w:hint="cs"/>
          <w:rtl/>
        </w:rPr>
        <w:t xml:space="preserve"> </w:t>
      </w:r>
    </w:p>
    <w:p w:rsidR="005C4E19" w:rsidRPr="00414995" w:rsidRDefault="00FE5F8C" w:rsidP="00E707BF">
      <w:pPr>
        <w:rPr>
          <w:rtl/>
        </w:rPr>
      </w:pPr>
      <w:r w:rsidRPr="00414995">
        <w:rPr>
          <w:rFonts w:hint="cs"/>
          <w:rtl/>
        </w:rPr>
        <w:t xml:space="preserve">יסודותיה של עבירה חדשה זו חמורים </w:t>
      </w:r>
      <w:r w:rsidR="00BD100F" w:rsidRPr="00414995">
        <w:rPr>
          <w:rFonts w:hint="cs"/>
          <w:rtl/>
        </w:rPr>
        <w:t>"</w:t>
      </w:r>
      <w:r w:rsidRPr="00414995">
        <w:rPr>
          <w:rFonts w:hint="cs"/>
          <w:rtl/>
        </w:rPr>
        <w:t xml:space="preserve">מיסודותיה </w:t>
      </w:r>
      <w:r w:rsidRPr="00414995">
        <w:rPr>
          <w:rtl/>
        </w:rPr>
        <w:t>של עבירת גרימת המוות ברשלנות בשני</w:t>
      </w:r>
      <w:r w:rsidRPr="00414995">
        <w:rPr>
          <w:rFonts w:hint="cs"/>
          <w:rtl/>
        </w:rPr>
        <w:t xml:space="preserve"> </w:t>
      </w:r>
      <w:r w:rsidRPr="00414995">
        <w:rPr>
          <w:rtl/>
        </w:rPr>
        <w:t xml:space="preserve">היבטים: </w:t>
      </w:r>
      <w:r w:rsidR="00BD100F" w:rsidRPr="00414995">
        <w:rPr>
          <w:rFonts w:hint="cs"/>
          <w:rtl/>
        </w:rPr>
        <w:t>ב</w:t>
      </w:r>
      <w:r w:rsidRPr="00414995">
        <w:rPr>
          <w:rtl/>
        </w:rPr>
        <w:t>יסוד העובדתי - נדרשת התנהגות אשר</w:t>
      </w:r>
      <w:r w:rsidR="00BD100F" w:rsidRPr="00414995">
        <w:rPr>
          <w:rFonts w:hint="cs"/>
          <w:rtl/>
        </w:rPr>
        <w:t xml:space="preserve"> </w:t>
      </w:r>
      <w:r w:rsidRPr="00414995">
        <w:rPr>
          <w:rtl/>
        </w:rPr>
        <w:t xml:space="preserve">סוטה במידה ניכרת מהתנהגות סבירה, </w:t>
      </w:r>
      <w:r w:rsidR="00BD100F" w:rsidRPr="00414995">
        <w:rPr>
          <w:rFonts w:hint="cs"/>
          <w:rtl/>
        </w:rPr>
        <w:t>וביצ</w:t>
      </w:r>
      <w:r w:rsidR="00FE7111" w:rsidRPr="00414995">
        <w:rPr>
          <w:rFonts w:hint="cs"/>
          <w:rtl/>
        </w:rPr>
        <w:t>ו</w:t>
      </w:r>
      <w:r w:rsidR="00BD100F" w:rsidRPr="00414995">
        <w:rPr>
          <w:rFonts w:hint="cs"/>
          <w:rtl/>
        </w:rPr>
        <w:t xml:space="preserve">ע פעולה </w:t>
      </w:r>
      <w:r w:rsidR="00BD100F" w:rsidRPr="00414995">
        <w:rPr>
          <w:rtl/>
        </w:rPr>
        <w:t>שהמחוקק הזהיר באופן ספציפי מפני עשיית</w:t>
      </w:r>
      <w:r w:rsidR="00BD100F" w:rsidRPr="00414995">
        <w:rPr>
          <w:rFonts w:hint="cs"/>
          <w:rtl/>
        </w:rPr>
        <w:t>ה</w:t>
      </w:r>
      <w:r w:rsidR="00597A7D" w:rsidRPr="00414995">
        <w:rPr>
          <w:rFonts w:hint="cs"/>
          <w:rtl/>
        </w:rPr>
        <w:t>"</w:t>
      </w:r>
      <w:r w:rsidRPr="00414995">
        <w:rPr>
          <w:rtl/>
        </w:rPr>
        <w:t>.</w:t>
      </w:r>
      <w:r w:rsidR="00BD100F" w:rsidRPr="00414995">
        <w:rPr>
          <w:rStyle w:val="a7"/>
          <w:rtl/>
        </w:rPr>
        <w:footnoteReference w:id="44"/>
      </w:r>
      <w:r w:rsidRPr="00414995">
        <w:rPr>
          <w:rtl/>
        </w:rPr>
        <w:t xml:space="preserve"> </w:t>
      </w:r>
    </w:p>
    <w:p w:rsidR="009B3C96" w:rsidRPr="00414995" w:rsidRDefault="00BD100F" w:rsidP="00634120">
      <w:pPr>
        <w:rPr>
          <w:rtl/>
        </w:rPr>
      </w:pPr>
      <w:r w:rsidRPr="00414995">
        <w:rPr>
          <w:rFonts w:hint="cs"/>
          <w:rtl/>
        </w:rPr>
        <w:t>הבחנה בין דרגות שונות של רשלנות קיימת גם בהלכה היהודית,</w:t>
      </w:r>
      <w:r w:rsidR="00634120" w:rsidRPr="00414995">
        <w:rPr>
          <w:rStyle w:val="a7"/>
          <w:rtl/>
        </w:rPr>
        <w:footnoteReference w:id="45"/>
      </w:r>
      <w:r w:rsidRPr="00414995">
        <w:rPr>
          <w:rFonts w:hint="cs"/>
          <w:rtl/>
        </w:rPr>
        <w:t xml:space="preserve"> אם כי, נראה שאין חפיפה מלאה בין דרגות הרשלנות של המשפט העברי לאלו המוצעות בהצעת החוק</w:t>
      </w:r>
      <w:r w:rsidR="00634120" w:rsidRPr="00414995">
        <w:rPr>
          <w:rFonts w:hint="cs"/>
          <w:rtl/>
        </w:rPr>
        <w:t>. וכך סיכם הרמב"ם את הדרגות השונות של הרשלנות</w:t>
      </w:r>
      <w:r w:rsidR="009B3C96" w:rsidRPr="00414995">
        <w:rPr>
          <w:rFonts w:hint="cs"/>
          <w:rtl/>
        </w:rPr>
        <w:t xml:space="preserve"> </w:t>
      </w:r>
      <w:r w:rsidR="009B3C96" w:rsidRPr="00414995">
        <w:rPr>
          <w:rtl/>
        </w:rPr>
        <w:t>–</w:t>
      </w:r>
      <w:r w:rsidR="009B3C96" w:rsidRPr="00414995">
        <w:rPr>
          <w:rFonts w:hint="cs"/>
          <w:rtl/>
        </w:rPr>
        <w:t xml:space="preserve"> </w:t>
      </w:r>
    </w:p>
    <w:p w:rsidR="009B3C96" w:rsidRPr="00414995" w:rsidRDefault="009B3C96" w:rsidP="00FE5F8C">
      <w:pPr>
        <w:spacing w:before="0" w:after="0"/>
        <w:ind w:left="567" w:right="567"/>
        <w:rPr>
          <w:rtl/>
          <w:lang w:eastAsia="he-IL"/>
        </w:rPr>
      </w:pPr>
      <w:r w:rsidRPr="00414995">
        <w:rPr>
          <w:rtl/>
          <w:lang w:eastAsia="he-IL"/>
        </w:rPr>
        <w:t>שלשה הם ההורגים בלא כוונה</w:t>
      </w:r>
      <w:r w:rsidRPr="00414995">
        <w:rPr>
          <w:rFonts w:hint="cs"/>
          <w:rtl/>
          <w:lang w:eastAsia="he-IL"/>
        </w:rPr>
        <w:t>:</w:t>
      </w:r>
    </w:p>
    <w:p w:rsidR="009B3C96" w:rsidRPr="00414995" w:rsidRDefault="009B3C96" w:rsidP="00FE5F8C">
      <w:pPr>
        <w:spacing w:before="0" w:after="0"/>
        <w:ind w:left="567" w:right="567"/>
        <w:rPr>
          <w:rtl/>
          <w:lang w:eastAsia="he-IL"/>
        </w:rPr>
      </w:pPr>
      <w:r w:rsidRPr="00414995">
        <w:rPr>
          <w:b/>
          <w:bCs/>
          <w:rtl/>
          <w:lang w:eastAsia="he-IL"/>
        </w:rPr>
        <w:t>יש הורג בשגגה והעלמה גמורה</w:t>
      </w:r>
      <w:r w:rsidRPr="00414995">
        <w:rPr>
          <w:rFonts w:hint="cs"/>
          <w:rtl/>
          <w:lang w:eastAsia="he-IL"/>
        </w:rPr>
        <w:t>,</w:t>
      </w:r>
      <w:r w:rsidRPr="00414995">
        <w:rPr>
          <w:rtl/>
          <w:lang w:eastAsia="he-IL"/>
        </w:rPr>
        <w:t xml:space="preserve"> וזהו שנאמר בו</w:t>
      </w:r>
      <w:r w:rsidRPr="00414995">
        <w:rPr>
          <w:rFonts w:hint="cs"/>
          <w:rtl/>
          <w:lang w:eastAsia="he-IL"/>
        </w:rPr>
        <w:t>:</w:t>
      </w:r>
      <w:r w:rsidRPr="00414995">
        <w:rPr>
          <w:rtl/>
          <w:lang w:eastAsia="he-IL"/>
        </w:rPr>
        <w:t xml:space="preserve"> </w:t>
      </w:r>
      <w:r w:rsidRPr="00414995">
        <w:rPr>
          <w:rFonts w:hint="cs"/>
          <w:rtl/>
          <w:lang w:eastAsia="he-IL"/>
        </w:rPr>
        <w:t>"</w:t>
      </w:r>
      <w:r w:rsidRPr="00414995">
        <w:rPr>
          <w:rtl/>
          <w:lang w:eastAsia="he-IL"/>
        </w:rPr>
        <w:t>ואשר לא צדה</w:t>
      </w:r>
      <w:r w:rsidRPr="00414995">
        <w:rPr>
          <w:rFonts w:hint="cs"/>
          <w:rtl/>
          <w:lang w:eastAsia="he-IL"/>
        </w:rPr>
        <w:t>"</w:t>
      </w:r>
      <w:r w:rsidRPr="00414995">
        <w:rPr>
          <w:rtl/>
          <w:lang w:eastAsia="he-IL"/>
        </w:rPr>
        <w:t xml:space="preserve"> </w:t>
      </w:r>
      <w:r w:rsidRPr="00414995">
        <w:rPr>
          <w:rFonts w:hint="cs"/>
          <w:sz w:val="20"/>
          <w:szCs w:val="20"/>
          <w:rtl/>
          <w:lang w:eastAsia="he-IL"/>
        </w:rPr>
        <w:t>(</w:t>
      </w:r>
      <w:r w:rsidRPr="00414995">
        <w:rPr>
          <w:sz w:val="20"/>
          <w:szCs w:val="20"/>
          <w:rtl/>
          <w:lang w:eastAsia="he-IL"/>
        </w:rPr>
        <w:t>שמות כא</w:t>
      </w:r>
      <w:r w:rsidRPr="00414995">
        <w:rPr>
          <w:rFonts w:hint="cs"/>
          <w:sz w:val="20"/>
          <w:szCs w:val="20"/>
          <w:rtl/>
          <w:lang w:eastAsia="he-IL"/>
        </w:rPr>
        <w:t>,</w:t>
      </w:r>
      <w:r w:rsidRPr="00414995">
        <w:rPr>
          <w:sz w:val="20"/>
          <w:szCs w:val="20"/>
          <w:rtl/>
          <w:lang w:eastAsia="he-IL"/>
        </w:rPr>
        <w:t xml:space="preserve"> יג</w:t>
      </w:r>
      <w:r w:rsidRPr="00414995">
        <w:rPr>
          <w:rFonts w:hint="cs"/>
          <w:sz w:val="20"/>
          <w:szCs w:val="20"/>
          <w:rtl/>
          <w:lang w:eastAsia="he-IL"/>
        </w:rPr>
        <w:t>)</w:t>
      </w:r>
      <w:r w:rsidRPr="00414995">
        <w:rPr>
          <w:rFonts w:hint="cs"/>
          <w:rtl/>
          <w:lang w:eastAsia="he-IL"/>
        </w:rPr>
        <w:t>,</w:t>
      </w:r>
      <w:r w:rsidRPr="00414995">
        <w:rPr>
          <w:rtl/>
          <w:lang w:eastAsia="he-IL"/>
        </w:rPr>
        <w:t xml:space="preserve"> ודינו שיגלה לערי מקלט וינצל</w:t>
      </w:r>
      <w:r w:rsidR="00FE5F8C" w:rsidRPr="00414995">
        <w:rPr>
          <w:rFonts w:hint="cs"/>
          <w:rtl/>
          <w:lang w:eastAsia="he-IL"/>
        </w:rPr>
        <w:t>...</w:t>
      </w:r>
      <w:r w:rsidRPr="00414995">
        <w:rPr>
          <w:rtl/>
          <w:lang w:eastAsia="he-IL"/>
        </w:rPr>
        <w:t xml:space="preserve">  </w:t>
      </w:r>
    </w:p>
    <w:p w:rsidR="009B3C96" w:rsidRPr="00414995" w:rsidRDefault="009B3C96" w:rsidP="00FE5F8C">
      <w:pPr>
        <w:spacing w:before="0" w:after="0"/>
        <w:ind w:left="567" w:right="567"/>
        <w:rPr>
          <w:rtl/>
          <w:lang w:eastAsia="he-IL"/>
        </w:rPr>
      </w:pPr>
      <w:r w:rsidRPr="00414995">
        <w:rPr>
          <w:b/>
          <w:bCs/>
          <w:rtl/>
          <w:lang w:eastAsia="he-IL"/>
        </w:rPr>
        <w:t>ויש הורג בשגגה</w:t>
      </w:r>
      <w:r w:rsidR="00FE5F8C" w:rsidRPr="00414995">
        <w:rPr>
          <w:rFonts w:hint="cs"/>
          <w:b/>
          <w:bCs/>
          <w:rtl/>
          <w:lang w:eastAsia="he-IL"/>
        </w:rPr>
        <w:t>,</w:t>
      </w:r>
      <w:r w:rsidRPr="00414995">
        <w:rPr>
          <w:b/>
          <w:bCs/>
          <w:rtl/>
          <w:lang w:eastAsia="he-IL"/>
        </w:rPr>
        <w:t xml:space="preserve"> ותהיה השגגה קרובה לאונס</w:t>
      </w:r>
      <w:r w:rsidRPr="00414995">
        <w:rPr>
          <w:rFonts w:hint="cs"/>
          <w:rtl/>
          <w:lang w:eastAsia="he-IL"/>
        </w:rPr>
        <w:t>.</w:t>
      </w:r>
      <w:r w:rsidRPr="00414995">
        <w:rPr>
          <w:rtl/>
          <w:lang w:eastAsia="he-IL"/>
        </w:rPr>
        <w:t xml:space="preserve"> והוא שיארע במיתת זה מאורע פלא שאינו מצוי ברוב מאורעות בני אדם</w:t>
      </w:r>
      <w:r w:rsidRPr="00414995">
        <w:rPr>
          <w:rFonts w:hint="cs"/>
          <w:rtl/>
          <w:lang w:eastAsia="he-IL"/>
        </w:rPr>
        <w:t>,</w:t>
      </w:r>
      <w:r w:rsidRPr="00414995">
        <w:rPr>
          <w:rtl/>
          <w:lang w:eastAsia="he-IL"/>
        </w:rPr>
        <w:t xml:space="preserve"> ודינו שהוא פטור מן הגלות</w:t>
      </w:r>
      <w:r w:rsidRPr="00414995">
        <w:rPr>
          <w:rFonts w:hint="cs"/>
          <w:rtl/>
          <w:lang w:eastAsia="he-IL"/>
        </w:rPr>
        <w:t>,</w:t>
      </w:r>
      <w:r w:rsidRPr="00414995">
        <w:rPr>
          <w:rtl/>
          <w:lang w:eastAsia="he-IL"/>
        </w:rPr>
        <w:t xml:space="preserve"> ואם הרגו גואל הדם נהרג עליו. </w:t>
      </w:r>
    </w:p>
    <w:p w:rsidR="009B3C96" w:rsidRPr="00414995" w:rsidRDefault="009B3C96" w:rsidP="00FE5F8C">
      <w:pPr>
        <w:spacing w:before="0" w:after="0"/>
        <w:ind w:left="567" w:right="567"/>
        <w:rPr>
          <w:rtl/>
          <w:lang w:eastAsia="he-IL"/>
        </w:rPr>
      </w:pPr>
      <w:r w:rsidRPr="00414995">
        <w:rPr>
          <w:b/>
          <w:bCs/>
          <w:rtl/>
          <w:lang w:eastAsia="he-IL"/>
        </w:rPr>
        <w:t>ויש הורג בשגגה ותהיה השגגה קרובה לזדון</w:t>
      </w:r>
      <w:r w:rsidRPr="00414995">
        <w:rPr>
          <w:rFonts w:hint="cs"/>
          <w:rtl/>
          <w:lang w:eastAsia="he-IL"/>
        </w:rPr>
        <w:t>,</w:t>
      </w:r>
      <w:r w:rsidRPr="00414995">
        <w:rPr>
          <w:rtl/>
          <w:lang w:eastAsia="he-IL"/>
        </w:rPr>
        <w:t xml:space="preserve"> והוא שיהיה בדבר כמו פשיעה או שהיה לו לה</w:t>
      </w:r>
      <w:r w:rsidR="00FE5F8C" w:rsidRPr="00414995">
        <w:rPr>
          <w:rFonts w:hint="cs"/>
          <w:rtl/>
          <w:lang w:eastAsia="he-IL"/>
        </w:rPr>
        <w:t>י</w:t>
      </w:r>
      <w:r w:rsidRPr="00414995">
        <w:rPr>
          <w:rtl/>
          <w:lang w:eastAsia="he-IL"/>
        </w:rPr>
        <w:t>זהר ולא נזהר</w:t>
      </w:r>
      <w:r w:rsidR="00FE5F8C" w:rsidRPr="00414995">
        <w:rPr>
          <w:rFonts w:hint="cs"/>
          <w:rtl/>
          <w:lang w:eastAsia="he-IL"/>
        </w:rPr>
        <w:t>,</w:t>
      </w:r>
      <w:r w:rsidRPr="00414995">
        <w:rPr>
          <w:rtl/>
          <w:lang w:eastAsia="he-IL"/>
        </w:rPr>
        <w:t xml:space="preserve"> ודינו שאינו גולה</w:t>
      </w:r>
      <w:r w:rsidR="00FE5F8C" w:rsidRPr="00414995">
        <w:rPr>
          <w:rFonts w:hint="cs"/>
          <w:rtl/>
          <w:lang w:eastAsia="he-IL"/>
        </w:rPr>
        <w:t>.</w:t>
      </w:r>
      <w:r w:rsidRPr="00414995">
        <w:rPr>
          <w:rtl/>
          <w:lang w:eastAsia="he-IL"/>
        </w:rPr>
        <w:t xml:space="preserve"> מפני שעונו חמור</w:t>
      </w:r>
      <w:r w:rsidR="00FE5F8C" w:rsidRPr="00414995">
        <w:rPr>
          <w:rFonts w:hint="cs"/>
          <w:rtl/>
          <w:lang w:eastAsia="he-IL"/>
        </w:rPr>
        <w:t>,</w:t>
      </w:r>
      <w:r w:rsidRPr="00414995">
        <w:rPr>
          <w:rtl/>
          <w:lang w:eastAsia="he-IL"/>
        </w:rPr>
        <w:t xml:space="preserve"> אין גלות מכפרת לו</w:t>
      </w:r>
      <w:r w:rsidR="00FE5F8C" w:rsidRPr="00414995">
        <w:rPr>
          <w:rFonts w:hint="cs"/>
          <w:rtl/>
          <w:lang w:eastAsia="he-IL"/>
        </w:rPr>
        <w:t>,</w:t>
      </w:r>
      <w:r w:rsidRPr="00414995">
        <w:rPr>
          <w:rtl/>
          <w:lang w:eastAsia="he-IL"/>
        </w:rPr>
        <w:t xml:space="preserve"> ואין ערי מקלט קולטות אותו</w:t>
      </w:r>
      <w:r w:rsidR="00FE5F8C" w:rsidRPr="00414995">
        <w:rPr>
          <w:rFonts w:hint="cs"/>
          <w:rtl/>
          <w:lang w:eastAsia="he-IL"/>
        </w:rPr>
        <w:t>...</w:t>
      </w:r>
      <w:r w:rsidR="00FE5F8C" w:rsidRPr="00414995">
        <w:rPr>
          <w:rtl/>
          <w:lang w:eastAsia="he-IL"/>
        </w:rPr>
        <w:t xml:space="preserve"> </w:t>
      </w:r>
      <w:r w:rsidRPr="00414995">
        <w:rPr>
          <w:rtl/>
          <w:lang w:eastAsia="he-IL"/>
        </w:rPr>
        <w:t>לפיכך</w:t>
      </w:r>
      <w:r w:rsidR="00FE5F8C" w:rsidRPr="00414995">
        <w:rPr>
          <w:rFonts w:hint="cs"/>
          <w:rtl/>
          <w:lang w:eastAsia="he-IL"/>
        </w:rPr>
        <w:t>,</w:t>
      </w:r>
      <w:r w:rsidRPr="00414995">
        <w:rPr>
          <w:rtl/>
          <w:lang w:eastAsia="he-IL"/>
        </w:rPr>
        <w:t xml:space="preserve"> אם מצאו גואל הדם בכל מקום והרגו</w:t>
      </w:r>
      <w:r w:rsidR="00FE5F8C" w:rsidRPr="00414995">
        <w:rPr>
          <w:rFonts w:hint="cs"/>
          <w:rtl/>
          <w:lang w:eastAsia="he-IL"/>
        </w:rPr>
        <w:t xml:space="preserve"> </w:t>
      </w:r>
      <w:r w:rsidR="00FE5F8C" w:rsidRPr="00414995">
        <w:rPr>
          <w:rtl/>
          <w:lang w:eastAsia="he-IL"/>
        </w:rPr>
        <w:t>–</w:t>
      </w:r>
      <w:r w:rsidR="00FE5F8C" w:rsidRPr="00414995">
        <w:rPr>
          <w:rFonts w:hint="cs"/>
          <w:rtl/>
          <w:lang w:eastAsia="he-IL"/>
        </w:rPr>
        <w:t xml:space="preserve"> </w:t>
      </w:r>
      <w:r w:rsidRPr="00414995">
        <w:rPr>
          <w:rtl/>
          <w:lang w:eastAsia="he-IL"/>
        </w:rPr>
        <w:t>פטור.</w:t>
      </w:r>
      <w:r w:rsidR="00FE5F8C" w:rsidRPr="00414995">
        <w:rPr>
          <w:rFonts w:hint="cs"/>
          <w:rtl/>
          <w:lang w:eastAsia="he-IL"/>
        </w:rPr>
        <w:t>..</w:t>
      </w:r>
      <w:r w:rsidR="00FE5F8C" w:rsidRPr="00414995">
        <w:rPr>
          <w:rStyle w:val="a7"/>
          <w:rtl/>
          <w:lang w:eastAsia="he-IL"/>
        </w:rPr>
        <w:footnoteReference w:id="46"/>
      </w:r>
    </w:p>
    <w:p w:rsidR="00BD100F" w:rsidRPr="00414995" w:rsidRDefault="00062035" w:rsidP="00634120">
      <w:pPr>
        <w:rPr>
          <w:rtl/>
        </w:rPr>
      </w:pPr>
      <w:r>
        <w:rPr>
          <w:rFonts w:hint="cs"/>
          <w:rtl/>
        </w:rPr>
        <w:t>דרג</w:t>
      </w:r>
      <w:r w:rsidR="00BD100F" w:rsidRPr="00414995">
        <w:rPr>
          <w:rFonts w:hint="cs"/>
          <w:rtl/>
        </w:rPr>
        <w:t>ת הרשלנות הנמוכה ביותר היא א</w:t>
      </w:r>
      <w:r w:rsidR="00634120" w:rsidRPr="00414995">
        <w:rPr>
          <w:rFonts w:hint="cs"/>
          <w:rtl/>
        </w:rPr>
        <w:t xml:space="preserve">ם כן הדרגה של </w:t>
      </w:r>
      <w:r w:rsidR="00BD100F" w:rsidRPr="00414995">
        <w:rPr>
          <w:rFonts w:hint="cs"/>
          <w:rtl/>
        </w:rPr>
        <w:t>"שגגה הקרובה לאונס", המתאפיינת בהתנהגות סבירה שגרמה למותו של אדם.</w:t>
      </w:r>
      <w:r w:rsidR="00634120" w:rsidRPr="00414995">
        <w:rPr>
          <w:rStyle w:val="a7"/>
          <w:rtl/>
        </w:rPr>
        <w:footnoteReference w:id="47"/>
      </w:r>
      <w:r w:rsidR="00BD100F" w:rsidRPr="00414995">
        <w:rPr>
          <w:rFonts w:hint="cs"/>
          <w:rtl/>
        </w:rPr>
        <w:t xml:space="preserve"> </w:t>
      </w:r>
    </w:p>
    <w:p w:rsidR="00145B4D" w:rsidRPr="00414995" w:rsidRDefault="00145B4D" w:rsidP="0041350C">
      <w:pPr>
        <w:rPr>
          <w:rtl/>
        </w:rPr>
      </w:pPr>
      <w:r w:rsidRPr="00414995">
        <w:rPr>
          <w:rFonts w:hint="cs"/>
          <w:rtl/>
        </w:rPr>
        <w:t>דוגמה ל'שגגה הקרובה לאונס' מצויה בתשובת רבי מאיר מלובלין (פולין, המאה ה-16),</w:t>
      </w:r>
      <w:r w:rsidRPr="00414995">
        <w:rPr>
          <w:rStyle w:val="a7"/>
          <w:rtl/>
        </w:rPr>
        <w:footnoteReference w:id="48"/>
      </w:r>
      <w:r w:rsidRPr="00414995">
        <w:rPr>
          <w:rFonts w:hint="cs"/>
          <w:rtl/>
        </w:rPr>
        <w:t xml:space="preserve"> בעניינו של אדם שהקים בחצר ביתו מטווח שבו ירה חיצים לעבר מטרה. אדם זה טרח והעמיד שומר בפתח החצר כדי שיזהיר את הבאים לחצר לבל ייכנסו ל"קו האש", אך בכל זאת, הצליח אדם להיכנס לחצר לאחר שהשומר הזהירו ומחה בו לבל ייכנס לחצר. אדם זה נפגע מחץ שנורה, ונהרג. מהר"ם מלובלין הכריע שהיורה אינו נושא באחריות </w:t>
      </w:r>
      <w:r w:rsidR="0041350C" w:rsidRPr="00414995">
        <w:rPr>
          <w:rFonts w:hint="cs"/>
          <w:rtl/>
        </w:rPr>
        <w:t>פלילית</w:t>
      </w:r>
      <w:r w:rsidRPr="00414995">
        <w:rPr>
          <w:rFonts w:hint="cs"/>
          <w:rtl/>
        </w:rPr>
        <w:t>, משום שהוא בגדר 'שוגג הקרוב לאונס'.</w:t>
      </w:r>
      <w:r w:rsidR="0041350C" w:rsidRPr="00414995">
        <w:rPr>
          <w:rStyle w:val="a7"/>
          <w:rtl/>
        </w:rPr>
        <w:footnoteReference w:id="49"/>
      </w:r>
      <w:r w:rsidRPr="00414995">
        <w:rPr>
          <w:rFonts w:hint="cs"/>
          <w:rtl/>
        </w:rPr>
        <w:t xml:space="preserve"> </w:t>
      </w:r>
    </w:p>
    <w:p w:rsidR="00145B4D" w:rsidRPr="00414995" w:rsidRDefault="00145B4D" w:rsidP="00634120">
      <w:pPr>
        <w:rPr>
          <w:rtl/>
        </w:rPr>
      </w:pPr>
      <w:r w:rsidRPr="00414995">
        <w:rPr>
          <w:rFonts w:hint="cs"/>
          <w:rtl/>
        </w:rPr>
        <w:lastRenderedPageBreak/>
        <w:t xml:space="preserve">דרגת רשלנות חמורה </w:t>
      </w:r>
      <w:r w:rsidR="00634120" w:rsidRPr="00414995">
        <w:rPr>
          <w:rFonts w:hint="cs"/>
          <w:rtl/>
        </w:rPr>
        <w:t xml:space="preserve">יותר היא זו של </w:t>
      </w:r>
      <w:r w:rsidRPr="00414995">
        <w:rPr>
          <w:rFonts w:hint="cs"/>
          <w:rtl/>
        </w:rPr>
        <w:t>"</w:t>
      </w:r>
      <w:r w:rsidRPr="00414995">
        <w:rPr>
          <w:rtl/>
        </w:rPr>
        <w:t>הורג בשגגה והעלמה גמורה</w:t>
      </w:r>
      <w:r w:rsidRPr="00414995">
        <w:rPr>
          <w:rFonts w:hint="cs"/>
          <w:rtl/>
        </w:rPr>
        <w:t xml:space="preserve">". </w:t>
      </w:r>
      <w:r w:rsidR="00634120" w:rsidRPr="00414995">
        <w:rPr>
          <w:rFonts w:hint="cs"/>
          <w:rtl/>
        </w:rPr>
        <w:t xml:space="preserve">בתורה הודגמה דרגת רשלנות זו במקרה של </w:t>
      </w:r>
      <w:r w:rsidRPr="00414995">
        <w:rPr>
          <w:rFonts w:hint="cs"/>
          <w:rtl/>
        </w:rPr>
        <w:t xml:space="preserve">אדם </w:t>
      </w:r>
      <w:r w:rsidR="00634120" w:rsidRPr="00414995">
        <w:rPr>
          <w:rFonts w:hint="cs"/>
          <w:rtl/>
        </w:rPr>
        <w:t>ש</w:t>
      </w:r>
      <w:r w:rsidRPr="00414995">
        <w:rPr>
          <w:rFonts w:hint="cs"/>
          <w:rtl/>
        </w:rPr>
        <w:t>חטב עצים ביער וכתוצאה מכך ניתז כפיס עץ מן העץ ופגע בחבר שעמד בסמוך, מבלי שחוטב העצים היה מודע לכך.</w:t>
      </w:r>
      <w:r w:rsidRPr="00414995">
        <w:rPr>
          <w:rStyle w:val="a7"/>
          <w:rtl/>
        </w:rPr>
        <w:footnoteReference w:id="50"/>
      </w:r>
      <w:r w:rsidRPr="00414995">
        <w:rPr>
          <w:rFonts w:hint="cs"/>
          <w:rtl/>
        </w:rPr>
        <w:t xml:space="preserve"> במקרה זה סטה חוטב העצים מ</w:t>
      </w:r>
      <w:r w:rsidR="00643AEA" w:rsidRPr="00414995">
        <w:rPr>
          <w:rFonts w:hint="cs"/>
          <w:rtl/>
        </w:rPr>
        <w:t>ה</w:t>
      </w:r>
      <w:r w:rsidRPr="00414995">
        <w:rPr>
          <w:rFonts w:hint="cs"/>
          <w:rtl/>
        </w:rPr>
        <w:t xml:space="preserve">התנהגות הסבירה, משום שהיה עליו לוודא, לפני שהחל במלאכתו, שאין בסביבה איש שיכול להיפגע עקב חטיבת העצים. </w:t>
      </w:r>
    </w:p>
    <w:p w:rsidR="00634120" w:rsidRPr="00414995" w:rsidRDefault="00145B4D" w:rsidP="00634120">
      <w:pPr>
        <w:rPr>
          <w:rtl/>
        </w:rPr>
      </w:pPr>
      <w:r w:rsidRPr="00414995">
        <w:rPr>
          <w:rFonts w:hint="cs"/>
          <w:rtl/>
        </w:rPr>
        <w:t>דרגת רשלנות חמורה משתי הדרגות האחרונות היא זו של "שגגה הקרובה לזדון"</w:t>
      </w:r>
      <w:r w:rsidR="00634120" w:rsidRPr="00414995">
        <w:rPr>
          <w:rFonts w:hint="cs"/>
          <w:rtl/>
        </w:rPr>
        <w:t xml:space="preserve">. לגבי מי שהמית אדם בהיותו "שוגג קרוב למזיד", נקבע שאין הוא גולה, משום שעונשו אמור להיות חמור מעונש הגלות, ואין הגלות מכפרת לו על חטאו. </w:t>
      </w:r>
    </w:p>
    <w:p w:rsidR="00634120" w:rsidRPr="00414995" w:rsidRDefault="00634120" w:rsidP="00634120">
      <w:pPr>
        <w:rPr>
          <w:rtl/>
        </w:rPr>
      </w:pPr>
      <w:r w:rsidRPr="00414995">
        <w:rPr>
          <w:rFonts w:hint="cs"/>
          <w:rtl/>
        </w:rPr>
        <w:t>בתלמוד הבבלי,</w:t>
      </w:r>
      <w:r w:rsidRPr="00414995">
        <w:rPr>
          <w:rStyle w:val="a7"/>
          <w:rtl/>
        </w:rPr>
        <w:footnoteReference w:id="51"/>
      </w:r>
      <w:r w:rsidRPr="00414995">
        <w:rPr>
          <w:rFonts w:hint="cs"/>
          <w:rtl/>
        </w:rPr>
        <w:t xml:space="preserve"> נדונה דרגת רשלנות זו אגב הדיון בהלכה שב</w:t>
      </w:r>
      <w:r w:rsidR="00FA1C02" w:rsidRPr="00414995">
        <w:rPr>
          <w:rFonts w:hint="cs"/>
          <w:rtl/>
        </w:rPr>
        <w:t>משנה</w:t>
      </w:r>
      <w:r w:rsidRPr="00414995">
        <w:rPr>
          <w:rFonts w:hint="cs"/>
          <w:rtl/>
        </w:rPr>
        <w:t xml:space="preserve">, הקובעת </w:t>
      </w:r>
      <w:r w:rsidR="00FA1C02" w:rsidRPr="00414995">
        <w:rPr>
          <w:rFonts w:hint="cs"/>
          <w:rtl/>
        </w:rPr>
        <w:t>ש</w:t>
      </w:r>
      <w:r w:rsidR="00FA1C02" w:rsidRPr="00414995">
        <w:rPr>
          <w:rtl/>
        </w:rPr>
        <w:t>״הזורק אבן לרשות הרבים והרג, הרי זה גולה״</w:t>
      </w:r>
      <w:r w:rsidR="00FA1C02" w:rsidRPr="00414995">
        <w:rPr>
          <w:rFonts w:hint="cs"/>
          <w:rtl/>
        </w:rPr>
        <w:t>.</w:t>
      </w:r>
      <w:r w:rsidRPr="00414995">
        <w:rPr>
          <w:rStyle w:val="a7"/>
          <w:rtl/>
        </w:rPr>
        <w:footnoteReference w:id="52"/>
      </w:r>
      <w:r w:rsidR="00FA1C02" w:rsidRPr="00414995">
        <w:rPr>
          <w:rFonts w:hint="cs"/>
          <w:rtl/>
        </w:rPr>
        <w:t xml:space="preserve"> </w:t>
      </w:r>
      <w:r w:rsidRPr="00414995">
        <w:rPr>
          <w:rFonts w:hint="cs"/>
          <w:rtl/>
        </w:rPr>
        <w:t xml:space="preserve">מאחר שמן המשנה לא ברור באלו נסיבות נזרקה האבן, מעלה הסוגיה התלמודית אפשרויות שונות </w:t>
      </w:r>
      <w:r w:rsidRPr="00414995">
        <w:rPr>
          <w:rtl/>
        </w:rPr>
        <w:t>–</w:t>
      </w:r>
      <w:r w:rsidRPr="00414995">
        <w:rPr>
          <w:rFonts w:hint="cs"/>
          <w:rtl/>
        </w:rPr>
        <w:t xml:space="preserve"> </w:t>
      </w:r>
    </w:p>
    <w:p w:rsidR="007C19D7" w:rsidRPr="00414995" w:rsidRDefault="00634120" w:rsidP="00986F7A">
      <w:pPr>
        <w:spacing w:before="0" w:after="0"/>
        <w:ind w:left="567" w:right="567"/>
        <w:rPr>
          <w:rtl/>
          <w:lang w:eastAsia="he-IL"/>
        </w:rPr>
      </w:pPr>
      <w:r w:rsidRPr="00414995">
        <w:rPr>
          <w:rtl/>
          <w:lang w:eastAsia="he-IL"/>
        </w:rPr>
        <w:t>לר</w:t>
      </w:r>
      <w:r w:rsidRPr="00414995">
        <w:rPr>
          <w:rFonts w:hint="cs"/>
          <w:rtl/>
          <w:lang w:eastAsia="he-IL"/>
        </w:rPr>
        <w:t>שות הרבים?</w:t>
      </w:r>
      <w:r w:rsidRPr="00414995">
        <w:rPr>
          <w:rtl/>
          <w:lang w:eastAsia="he-IL"/>
        </w:rPr>
        <w:t xml:space="preserve"> מזיד</w:t>
      </w:r>
      <w:r w:rsidR="00DF225E" w:rsidRPr="00414995">
        <w:rPr>
          <w:rStyle w:val="a7"/>
          <w:rtl/>
        </w:rPr>
        <w:footnoteReference w:id="53"/>
      </w:r>
      <w:r w:rsidRPr="00414995">
        <w:rPr>
          <w:rtl/>
          <w:lang w:eastAsia="he-IL"/>
        </w:rPr>
        <w:t xml:space="preserve"> הוא! </w:t>
      </w:r>
    </w:p>
    <w:p w:rsidR="007C19D7" w:rsidRPr="00414995" w:rsidRDefault="00634120" w:rsidP="007C19D7">
      <w:pPr>
        <w:spacing w:before="0" w:after="0"/>
        <w:ind w:left="567" w:right="567"/>
        <w:rPr>
          <w:rtl/>
          <w:lang w:eastAsia="he-IL"/>
        </w:rPr>
      </w:pPr>
      <w:r w:rsidRPr="00414995">
        <w:rPr>
          <w:rtl/>
          <w:lang w:eastAsia="he-IL"/>
        </w:rPr>
        <w:t xml:space="preserve">אמר רב שמואל בר יצחק: בסותר את כותלו. </w:t>
      </w:r>
    </w:p>
    <w:p w:rsidR="007C19D7" w:rsidRPr="00414995" w:rsidRDefault="00634120" w:rsidP="007C19D7">
      <w:pPr>
        <w:spacing w:before="0" w:after="0"/>
        <w:ind w:left="567" w:right="567"/>
        <w:rPr>
          <w:rtl/>
          <w:lang w:eastAsia="he-IL"/>
        </w:rPr>
      </w:pPr>
      <w:r w:rsidRPr="00414995">
        <w:rPr>
          <w:rtl/>
          <w:lang w:eastAsia="he-IL"/>
        </w:rPr>
        <w:t>איבעי ליה לעיוני</w:t>
      </w:r>
      <w:r w:rsidR="007C19D7" w:rsidRPr="00414995">
        <w:rPr>
          <w:rFonts w:hint="cs"/>
          <w:rtl/>
          <w:lang w:eastAsia="he-IL"/>
        </w:rPr>
        <w:t>?</w:t>
      </w:r>
      <w:r w:rsidRPr="00414995">
        <w:rPr>
          <w:rtl/>
          <w:lang w:eastAsia="he-IL"/>
        </w:rPr>
        <w:t xml:space="preserve">! </w:t>
      </w:r>
      <w:r w:rsidR="007C19D7" w:rsidRPr="00414995">
        <w:rPr>
          <w:rFonts w:hint="cs"/>
          <w:rtl/>
          <w:lang w:eastAsia="he-IL"/>
        </w:rPr>
        <w:t>[=היה לו לעיין!]</w:t>
      </w:r>
    </w:p>
    <w:p w:rsidR="007C19D7" w:rsidRPr="00414995" w:rsidRDefault="00634120" w:rsidP="007C19D7">
      <w:pPr>
        <w:spacing w:before="0" w:after="0"/>
        <w:ind w:left="567" w:right="567"/>
        <w:rPr>
          <w:rtl/>
          <w:lang w:eastAsia="he-IL"/>
        </w:rPr>
      </w:pPr>
      <w:r w:rsidRPr="00414995">
        <w:rPr>
          <w:rtl/>
          <w:lang w:eastAsia="he-IL"/>
        </w:rPr>
        <w:t xml:space="preserve">בסותר את כותלו בלילה. </w:t>
      </w:r>
    </w:p>
    <w:p w:rsidR="007C19D7" w:rsidRPr="00414995" w:rsidRDefault="00634120" w:rsidP="007C19D7">
      <w:pPr>
        <w:spacing w:before="0" w:after="0"/>
        <w:ind w:left="567" w:right="567"/>
        <w:rPr>
          <w:rtl/>
          <w:lang w:eastAsia="he-IL"/>
        </w:rPr>
      </w:pPr>
      <w:r w:rsidRPr="00414995">
        <w:rPr>
          <w:rtl/>
          <w:lang w:eastAsia="he-IL"/>
        </w:rPr>
        <w:t>בלילה נמי איבעי ליה לעיוני</w:t>
      </w:r>
      <w:r w:rsidR="007C19D7" w:rsidRPr="00414995">
        <w:rPr>
          <w:rFonts w:hint="cs"/>
          <w:rtl/>
          <w:lang w:eastAsia="he-IL"/>
        </w:rPr>
        <w:t>?</w:t>
      </w:r>
      <w:r w:rsidRPr="00414995">
        <w:rPr>
          <w:rtl/>
          <w:lang w:eastAsia="he-IL"/>
        </w:rPr>
        <w:t xml:space="preserve">! </w:t>
      </w:r>
      <w:r w:rsidR="007C19D7" w:rsidRPr="00414995">
        <w:rPr>
          <w:rFonts w:hint="cs"/>
          <w:rtl/>
          <w:lang w:eastAsia="he-IL"/>
        </w:rPr>
        <w:t>[=גם בלילה היה לו לעיין!]</w:t>
      </w:r>
    </w:p>
    <w:p w:rsidR="007C19D7" w:rsidRPr="00414995" w:rsidRDefault="00634120" w:rsidP="007C19D7">
      <w:pPr>
        <w:spacing w:before="0" w:after="0"/>
        <w:ind w:left="567" w:right="567"/>
        <w:rPr>
          <w:rtl/>
          <w:lang w:eastAsia="he-IL"/>
        </w:rPr>
      </w:pPr>
      <w:r w:rsidRPr="00414995">
        <w:rPr>
          <w:rtl/>
          <w:lang w:eastAsia="he-IL"/>
        </w:rPr>
        <w:t xml:space="preserve">בסותר את כותלו לאשפה. </w:t>
      </w:r>
    </w:p>
    <w:p w:rsidR="007C19D7" w:rsidRPr="00414995" w:rsidRDefault="00634120" w:rsidP="007C19D7">
      <w:pPr>
        <w:spacing w:before="0" w:after="0"/>
        <w:ind w:left="567" w:right="567"/>
        <w:rPr>
          <w:rtl/>
          <w:lang w:eastAsia="he-IL"/>
        </w:rPr>
      </w:pPr>
      <w:r w:rsidRPr="00414995">
        <w:rPr>
          <w:rtl/>
          <w:lang w:eastAsia="he-IL"/>
        </w:rPr>
        <w:t>האי אשפה ה</w:t>
      </w:r>
      <w:r w:rsidR="007C19D7" w:rsidRPr="00414995">
        <w:rPr>
          <w:rFonts w:hint="cs"/>
          <w:rtl/>
          <w:lang w:eastAsia="he-IL"/>
        </w:rPr>
        <w:t>יכי דמי</w:t>
      </w:r>
      <w:r w:rsidRPr="00414995">
        <w:rPr>
          <w:rtl/>
          <w:lang w:eastAsia="he-IL"/>
        </w:rPr>
        <w:t xml:space="preserve">? </w:t>
      </w:r>
      <w:r w:rsidR="007C19D7" w:rsidRPr="00414995">
        <w:rPr>
          <w:rFonts w:hint="cs"/>
          <w:rtl/>
          <w:lang w:eastAsia="he-IL"/>
        </w:rPr>
        <w:t xml:space="preserve">[=אשפה זו כיצד באיזה אופן?] </w:t>
      </w:r>
      <w:r w:rsidRPr="00414995">
        <w:rPr>
          <w:rtl/>
          <w:lang w:eastAsia="he-IL"/>
        </w:rPr>
        <w:t xml:space="preserve">אי שכיחי </w:t>
      </w:r>
      <w:r w:rsidR="007C19D7" w:rsidRPr="00414995">
        <w:rPr>
          <w:rFonts w:hint="cs"/>
          <w:rtl/>
          <w:lang w:eastAsia="he-IL"/>
        </w:rPr>
        <w:t xml:space="preserve">[=אם שכיחים] </w:t>
      </w:r>
      <w:r w:rsidRPr="00414995">
        <w:rPr>
          <w:rtl/>
          <w:lang w:eastAsia="he-IL"/>
        </w:rPr>
        <w:t>בה רבים, פושע הוא! אי לא שכיחי בה רבים, אנוס הוא!</w:t>
      </w:r>
    </w:p>
    <w:p w:rsidR="00634120" w:rsidRPr="00414995" w:rsidRDefault="00634120" w:rsidP="007C19D7">
      <w:pPr>
        <w:spacing w:before="0" w:after="0"/>
        <w:ind w:left="567" w:right="567"/>
        <w:rPr>
          <w:rtl/>
          <w:lang w:eastAsia="he-IL"/>
        </w:rPr>
      </w:pPr>
      <w:r w:rsidRPr="00414995">
        <w:rPr>
          <w:rtl/>
          <w:lang w:eastAsia="he-IL"/>
        </w:rPr>
        <w:t>א</w:t>
      </w:r>
      <w:r w:rsidR="007C19D7" w:rsidRPr="00414995">
        <w:rPr>
          <w:rFonts w:hint="cs"/>
          <w:rtl/>
          <w:lang w:eastAsia="he-IL"/>
        </w:rPr>
        <w:t xml:space="preserve">מר רב </w:t>
      </w:r>
      <w:r w:rsidRPr="00414995">
        <w:rPr>
          <w:rtl/>
          <w:lang w:eastAsia="he-IL"/>
        </w:rPr>
        <w:t>פפא: לא צריכא</w:t>
      </w:r>
      <w:r w:rsidR="007C19D7" w:rsidRPr="00414995">
        <w:rPr>
          <w:rFonts w:hint="cs"/>
          <w:rtl/>
          <w:lang w:eastAsia="he-IL"/>
        </w:rPr>
        <w:t xml:space="preserve"> [=לא נצרכה]</w:t>
      </w:r>
      <w:r w:rsidRPr="00414995">
        <w:rPr>
          <w:rtl/>
          <w:lang w:eastAsia="he-IL"/>
        </w:rPr>
        <w:t>, אלא לאשפה העשויה ליפנות בה בלילה ואין עשויה ליפנות בה ביום, ואיכא דמקרי ויתיב</w:t>
      </w:r>
      <w:r w:rsidR="007C19D7" w:rsidRPr="00414995">
        <w:rPr>
          <w:rFonts w:hint="cs"/>
          <w:rtl/>
          <w:lang w:eastAsia="he-IL"/>
        </w:rPr>
        <w:t xml:space="preserve"> [=ויש שיושב בה באופן מקרי גם ביום].</w:t>
      </w:r>
      <w:r w:rsidRPr="00414995">
        <w:rPr>
          <w:rtl/>
          <w:lang w:eastAsia="he-IL"/>
        </w:rPr>
        <w:t xml:space="preserve"> פושע לא הוי </w:t>
      </w:r>
      <w:r w:rsidR="007C19D7" w:rsidRPr="00414995">
        <w:rPr>
          <w:rFonts w:hint="cs"/>
          <w:rtl/>
          <w:lang w:eastAsia="he-IL"/>
        </w:rPr>
        <w:t xml:space="preserve">[=פושע אינו] </w:t>
      </w:r>
      <w:r w:rsidRPr="00414995">
        <w:rPr>
          <w:rtl/>
          <w:lang w:eastAsia="he-IL"/>
        </w:rPr>
        <w:t xml:space="preserve">- דהא </w:t>
      </w:r>
      <w:r w:rsidR="007C19D7" w:rsidRPr="00414995">
        <w:rPr>
          <w:rFonts w:hint="cs"/>
          <w:rtl/>
          <w:lang w:eastAsia="he-IL"/>
        </w:rPr>
        <w:t xml:space="preserve">[=שהרי] </w:t>
      </w:r>
      <w:r w:rsidRPr="00414995">
        <w:rPr>
          <w:rtl/>
          <w:lang w:eastAsia="he-IL"/>
        </w:rPr>
        <w:t>אינה עשויה ליפנות בה ביום, אונס נמי לא הוי</w:t>
      </w:r>
      <w:r w:rsidR="007C19D7" w:rsidRPr="00414995">
        <w:rPr>
          <w:rFonts w:hint="cs"/>
          <w:rtl/>
          <w:lang w:eastAsia="he-IL"/>
        </w:rPr>
        <w:t xml:space="preserve"> [אונס גם אינו]</w:t>
      </w:r>
      <w:r w:rsidRPr="00414995">
        <w:rPr>
          <w:rtl/>
          <w:lang w:eastAsia="he-IL"/>
        </w:rPr>
        <w:t xml:space="preserve"> - דהא איכא דמקרי ויתיב</w:t>
      </w:r>
      <w:r w:rsidR="007C19D7" w:rsidRPr="00414995">
        <w:rPr>
          <w:rFonts w:hint="cs"/>
          <w:rtl/>
          <w:lang w:eastAsia="he-IL"/>
        </w:rPr>
        <w:t>.</w:t>
      </w:r>
    </w:p>
    <w:p w:rsidR="007C19D7" w:rsidRPr="00414995" w:rsidRDefault="007C19D7" w:rsidP="004021AA">
      <w:pPr>
        <w:rPr>
          <w:rtl/>
        </w:rPr>
      </w:pPr>
      <w:r w:rsidRPr="00414995">
        <w:rPr>
          <w:rFonts w:hint="cs"/>
          <w:rtl/>
        </w:rPr>
        <w:t xml:space="preserve">בתחילתה של הסוגיה, </w:t>
      </w:r>
      <w:r w:rsidR="004021AA" w:rsidRPr="00414995">
        <w:rPr>
          <w:rFonts w:hint="cs"/>
          <w:rtl/>
        </w:rPr>
        <w:t>ה</w:t>
      </w:r>
      <w:r w:rsidRPr="00414995">
        <w:rPr>
          <w:rFonts w:hint="cs"/>
          <w:rtl/>
        </w:rPr>
        <w:t xml:space="preserve">וצע להסביר שהמשנה עוסקת במי שהרס את קיר ביתו בשל היותו רעוע, לבל יינזקו בו הרבים, ובעשותו כן, נפלה אבן לרשות הרבים. </w:t>
      </w:r>
    </w:p>
    <w:p w:rsidR="007C19D7" w:rsidRPr="00414995" w:rsidRDefault="007C19D7" w:rsidP="007C19D7">
      <w:pPr>
        <w:rPr>
          <w:rtl/>
        </w:rPr>
      </w:pPr>
      <w:r w:rsidRPr="00414995">
        <w:rPr>
          <w:rFonts w:hint="cs"/>
          <w:rtl/>
        </w:rPr>
        <w:t>על הצעה זו שאלו חכמים, מדוע נסיבות אלו אמורות להביא להקלה בעונש, הלא היה לו לאדם זה לוודא שבהריסת הקיר הוא אינו פוגע בעוברים ושבים!</w:t>
      </w:r>
    </w:p>
    <w:p w:rsidR="007C19D7" w:rsidRPr="00414995" w:rsidRDefault="007C19D7" w:rsidP="00B36582">
      <w:pPr>
        <w:rPr>
          <w:rtl/>
        </w:rPr>
      </w:pPr>
      <w:r w:rsidRPr="00414995">
        <w:rPr>
          <w:rFonts w:hint="cs"/>
          <w:rtl/>
        </w:rPr>
        <w:t xml:space="preserve">התלמוד מציע תשובה לשאלה זו, באמרו שסתירת הקיר נעשתה בלילה, זמן שבו מעטים העוברים </w:t>
      </w:r>
      <w:r w:rsidRPr="00414995">
        <w:rPr>
          <w:rFonts w:hint="cs"/>
          <w:rtl/>
        </w:rPr>
        <w:lastRenderedPageBreak/>
        <w:t xml:space="preserve">והשבים ברשות הרבים. אולם, גם תשובה זו לא הניחה את דעתם של חכמים, משום שגם בלילה </w:t>
      </w:r>
      <w:r w:rsidR="00B36582" w:rsidRPr="00414995">
        <w:rPr>
          <w:rFonts w:hint="cs"/>
          <w:rtl/>
        </w:rPr>
        <w:t xml:space="preserve">נדרש אדם לוודא לבל יגרום נזק לעוברים ושבים ברשות הרבים.  </w:t>
      </w:r>
    </w:p>
    <w:p w:rsidR="00B36582" w:rsidRPr="00414995" w:rsidRDefault="00B36582" w:rsidP="00B36582">
      <w:pPr>
        <w:rPr>
          <w:rtl/>
        </w:rPr>
      </w:pPr>
      <w:r w:rsidRPr="00414995">
        <w:rPr>
          <w:rFonts w:hint="cs"/>
          <w:rtl/>
        </w:rPr>
        <w:t xml:space="preserve">בשל קושי זה, מוסיפה הסוגיה נתון נוסף: האבן שגרמה למותו של אדם הושלכה ל"אשפה", אזור המיועד לפינוי שפכים, שבני אדם לא רגילים להימצא בו ביום, אך יש שבכל זאת מצויים בו גם ביום. בנסיבות אלו, האדם שהרס את הקיר לא ייחשב כ"פושע", משום שלא היה עליו לצפות שהאבן תפגע באדם, אך הוא גם אינו אנוס, משום שידע שיש אנשים המצויים ב"אשפה" גם ביום, והיה </w:t>
      </w:r>
      <w:r w:rsidR="00062035">
        <w:rPr>
          <w:rFonts w:hint="cs"/>
          <w:rtl/>
        </w:rPr>
        <w:t>ע</w:t>
      </w:r>
      <w:r w:rsidRPr="00414995">
        <w:rPr>
          <w:rFonts w:hint="cs"/>
          <w:rtl/>
        </w:rPr>
        <w:t>ל</w:t>
      </w:r>
      <w:r w:rsidR="00062035">
        <w:rPr>
          <w:rFonts w:hint="cs"/>
          <w:rtl/>
        </w:rPr>
        <w:t>י</w:t>
      </w:r>
      <w:r w:rsidRPr="00414995">
        <w:rPr>
          <w:rFonts w:hint="cs"/>
          <w:rtl/>
        </w:rPr>
        <w:t xml:space="preserve">ו להיזהר. </w:t>
      </w:r>
    </w:p>
    <w:p w:rsidR="00B36582" w:rsidRPr="00414995" w:rsidRDefault="00B36582" w:rsidP="00B36582">
      <w:pPr>
        <w:rPr>
          <w:rtl/>
        </w:rPr>
      </w:pPr>
      <w:r w:rsidRPr="00414995">
        <w:rPr>
          <w:rFonts w:hint="cs"/>
          <w:rtl/>
        </w:rPr>
        <w:t>בעלי התוספות הסבירו, שמשעה שאומץ ההסבר האחרון, אין צורך להסביר שהמשנה עוסקת במי שסתר את קיר ביתו, ו"</w:t>
      </w:r>
      <w:r w:rsidRPr="00414995">
        <w:rPr>
          <w:rtl/>
        </w:rPr>
        <w:t>הוא הדין בזורק ממש</w:t>
      </w:r>
      <w:r w:rsidRPr="00414995">
        <w:rPr>
          <w:rFonts w:hint="cs"/>
          <w:rtl/>
        </w:rPr>
        <w:t>".</w:t>
      </w:r>
      <w:r w:rsidRPr="00414995">
        <w:rPr>
          <w:rStyle w:val="a7"/>
          <w:rtl/>
        </w:rPr>
        <w:footnoteReference w:id="54"/>
      </w:r>
    </w:p>
    <w:p w:rsidR="00B36582" w:rsidRPr="00414995" w:rsidRDefault="00B36582" w:rsidP="00DF225E">
      <w:pPr>
        <w:rPr>
          <w:rtl/>
        </w:rPr>
      </w:pPr>
      <w:r w:rsidRPr="00414995">
        <w:rPr>
          <w:rFonts w:hint="cs"/>
          <w:rtl/>
        </w:rPr>
        <w:t>מדבריהם עולה, שה</w:t>
      </w:r>
      <w:r w:rsidR="00DF225E" w:rsidRPr="00414995">
        <w:rPr>
          <w:rFonts w:hint="cs"/>
          <w:rtl/>
        </w:rPr>
        <w:t xml:space="preserve">מבחן הקובע האם האדם שגרם למותו של זולתו הוא 'שוגג' או 'שוגג הקרוב למזיד' הוא מבחן הסבירות: </w:t>
      </w:r>
      <w:r w:rsidRPr="00414995">
        <w:rPr>
          <w:rFonts w:hint="cs"/>
          <w:rtl/>
        </w:rPr>
        <w:t>כאשר קיימת סבירות גבוהה שהמעשים יגרמו למותו של אדם או לפגיעה חמורה באדם, הוא יוגדר כ"שוגג קרוב למזיד", בעוד שכאשר קיים סיכוי סביר לכך, אך סבירות זו אינה גבוהה, הוא יוגדר כ"שוגג" בלבד.</w:t>
      </w:r>
    </w:p>
    <w:p w:rsidR="00B36582" w:rsidRPr="00414995" w:rsidRDefault="001A7094" w:rsidP="00B36582">
      <w:pPr>
        <w:rPr>
          <w:rtl/>
        </w:rPr>
      </w:pPr>
      <w:r w:rsidRPr="00414995">
        <w:rPr>
          <w:rFonts w:hint="cs"/>
          <w:rtl/>
        </w:rPr>
        <w:t xml:space="preserve">ואולם, בתלמוד הירושלמי, תלמודה של ארץ ישראל, הוסברה המשנה בדרך שונה </w:t>
      </w:r>
      <w:r w:rsidRPr="00414995">
        <w:rPr>
          <w:rtl/>
        </w:rPr>
        <w:t>–</w:t>
      </w:r>
      <w:r w:rsidRPr="00414995">
        <w:rPr>
          <w:rFonts w:hint="cs"/>
          <w:rtl/>
        </w:rPr>
        <w:t xml:space="preserve"> </w:t>
      </w:r>
    </w:p>
    <w:p w:rsidR="001A7094" w:rsidRPr="00414995" w:rsidRDefault="001A7094" w:rsidP="00E707BF">
      <w:pPr>
        <w:spacing w:before="0" w:after="0"/>
        <w:ind w:left="567" w:right="567"/>
        <w:rPr>
          <w:rtl/>
        </w:rPr>
      </w:pPr>
      <w:r w:rsidRPr="00414995">
        <w:rPr>
          <w:rtl/>
        </w:rPr>
        <w:t xml:space="preserve">תני רבי ליעזר בן יעקב "ומצא" </w:t>
      </w:r>
      <w:r w:rsidRPr="00414995">
        <w:rPr>
          <w:sz w:val="20"/>
          <w:szCs w:val="20"/>
          <w:rtl/>
        </w:rPr>
        <w:t xml:space="preserve">(דברים </w:t>
      </w:r>
      <w:r w:rsidRPr="00414995">
        <w:rPr>
          <w:rFonts w:hint="cs"/>
          <w:sz w:val="20"/>
          <w:szCs w:val="20"/>
          <w:rtl/>
        </w:rPr>
        <w:t>יט</w:t>
      </w:r>
      <w:r w:rsidRPr="00414995">
        <w:rPr>
          <w:sz w:val="20"/>
          <w:szCs w:val="20"/>
          <w:rtl/>
        </w:rPr>
        <w:t xml:space="preserve">, </w:t>
      </w:r>
      <w:r w:rsidRPr="00414995">
        <w:rPr>
          <w:rFonts w:hint="cs"/>
          <w:sz w:val="20"/>
          <w:szCs w:val="20"/>
          <w:rtl/>
        </w:rPr>
        <w:t>ה</w:t>
      </w:r>
      <w:r w:rsidRPr="00414995">
        <w:rPr>
          <w:sz w:val="20"/>
          <w:szCs w:val="20"/>
          <w:rtl/>
        </w:rPr>
        <w:t>)</w:t>
      </w:r>
      <w:r w:rsidRPr="00414995">
        <w:rPr>
          <w:rtl/>
        </w:rPr>
        <w:t xml:space="preserve"> – שיהא מצוי לו בשעה שהוא הורגו</w:t>
      </w:r>
      <w:r w:rsidR="00597A7D" w:rsidRPr="00414995">
        <w:rPr>
          <w:rFonts w:hint="cs"/>
          <w:rtl/>
        </w:rPr>
        <w:t>.</w:t>
      </w:r>
      <w:r w:rsidR="00E707BF" w:rsidRPr="00414995">
        <w:rPr>
          <w:rStyle w:val="a7"/>
          <w:rtl/>
        </w:rPr>
        <w:t xml:space="preserve"> </w:t>
      </w:r>
      <w:r w:rsidR="00E707BF" w:rsidRPr="00414995">
        <w:rPr>
          <w:rStyle w:val="a7"/>
          <w:rtl/>
        </w:rPr>
        <w:footnoteReference w:id="55"/>
      </w:r>
      <w:r w:rsidR="00597A7D" w:rsidRPr="00414995">
        <w:rPr>
          <w:rtl/>
        </w:rPr>
        <w:t xml:space="preserve"> </w:t>
      </w:r>
      <w:r w:rsidRPr="00414995">
        <w:rPr>
          <w:b/>
          <w:bCs/>
          <w:rtl/>
        </w:rPr>
        <w:t>ויש לו רשות לזרוק את האבן לרשות הרבים</w:t>
      </w:r>
      <w:r w:rsidR="00597A7D" w:rsidRPr="00414995">
        <w:rPr>
          <w:rFonts w:hint="cs"/>
          <w:b/>
          <w:bCs/>
          <w:rtl/>
        </w:rPr>
        <w:t>?!</w:t>
      </w:r>
      <w:r w:rsidRPr="00414995">
        <w:rPr>
          <w:rtl/>
        </w:rPr>
        <w:t xml:space="preserve"> אמר רבי יוסי בי רבי בון: תיפתר שהיה כותלו גוהא.</w:t>
      </w:r>
      <w:r w:rsidRPr="00414995">
        <w:rPr>
          <w:rStyle w:val="a7"/>
          <w:rtl/>
        </w:rPr>
        <w:footnoteReference w:id="56"/>
      </w:r>
    </w:p>
    <w:p w:rsidR="00DF225E" w:rsidRPr="00414995" w:rsidRDefault="001A7094" w:rsidP="00260D86">
      <w:pPr>
        <w:rPr>
          <w:rtl/>
        </w:rPr>
      </w:pPr>
      <w:r w:rsidRPr="00414995">
        <w:rPr>
          <w:rFonts w:hint="cs"/>
          <w:rtl/>
        </w:rPr>
        <w:t xml:space="preserve">כאן, הסוגיה פותחת בדרשתו של רבי אליעזר בן יעקב, שלמד מן המילים "ומצא את רעהו" שבפסוק המתאר את דינו של הרוצח בשגגה, שהשגגה מותנית בכך שבעת ביצוע הפעולה שגרמה למוות, קיים סיכוי סביר שהנפגע ייפגע ("שיהא </w:t>
      </w:r>
      <w:r w:rsidR="00597A7D" w:rsidRPr="00414995">
        <w:rPr>
          <w:rFonts w:hint="cs"/>
          <w:rtl/>
        </w:rPr>
        <w:t xml:space="preserve">מצוי לו </w:t>
      </w:r>
      <w:r w:rsidRPr="00414995">
        <w:rPr>
          <w:rFonts w:hint="cs"/>
          <w:rtl/>
        </w:rPr>
        <w:t>בשעה שהוא הורגו"), ושה</w:t>
      </w:r>
      <w:r w:rsidR="00DF225E" w:rsidRPr="00414995">
        <w:rPr>
          <w:rFonts w:hint="cs"/>
          <w:rtl/>
        </w:rPr>
        <w:t>אדם שגרם למותו של חברו פעל ברשות.</w:t>
      </w:r>
      <w:r w:rsidR="004021AA" w:rsidRPr="00414995">
        <w:rPr>
          <w:rStyle w:val="a7"/>
          <w:rtl/>
        </w:rPr>
        <w:footnoteReference w:id="57"/>
      </w:r>
      <w:r w:rsidR="00DF225E" w:rsidRPr="00414995">
        <w:rPr>
          <w:rFonts w:hint="cs"/>
          <w:rtl/>
        </w:rPr>
        <w:t xml:space="preserve"> </w:t>
      </w:r>
    </w:p>
    <w:p w:rsidR="00B36582" w:rsidRPr="00414995" w:rsidRDefault="00DF225E" w:rsidP="001A7094">
      <w:pPr>
        <w:rPr>
          <w:rtl/>
        </w:rPr>
      </w:pPr>
      <w:r w:rsidRPr="00414995">
        <w:rPr>
          <w:rFonts w:hint="cs"/>
          <w:rtl/>
        </w:rPr>
        <w:t>דרשה זו מעוררת מאליה את השאלה על המשנה, מדוע זורק האבן נחשב כמי שרצח את חברו בשגגה, שגולה לעיר המקלט, ולא כמי שרצח בזדון או בשגגה הקרובה למזיד, שהרי לא הייתה לו רשות לזרוק את האבן!</w:t>
      </w:r>
      <w:r w:rsidR="001A7094" w:rsidRPr="00414995">
        <w:rPr>
          <w:rFonts w:hint="cs"/>
          <w:rtl/>
        </w:rPr>
        <w:t xml:space="preserve">  </w:t>
      </w:r>
    </w:p>
    <w:p w:rsidR="00DF225E" w:rsidRPr="00414995" w:rsidRDefault="00DF225E" w:rsidP="00634120">
      <w:pPr>
        <w:rPr>
          <w:rtl/>
        </w:rPr>
      </w:pPr>
      <w:r w:rsidRPr="00414995">
        <w:rPr>
          <w:rFonts w:hint="cs"/>
          <w:rtl/>
        </w:rPr>
        <w:lastRenderedPageBreak/>
        <w:t>על שאלה זו משיב רבי יוסי, שהאבן נפלה לרשות הרבים עקב פעולה של הריסת קיר שהיה מט לנפול. מאחר שפעולה זו נעשית ברשות, משום שתכליתה היא למנוע נזק לעוברים ושבים ברשות הרבים, דינו של האדם שגרם למותו של חברו כדין רוצח בשגגה, ולא כדין רוצח ב"שוגג הקרוב למזיד".</w:t>
      </w:r>
    </w:p>
    <w:p w:rsidR="00DF225E" w:rsidRPr="00414995" w:rsidRDefault="00DF225E" w:rsidP="00260D86">
      <w:pPr>
        <w:rPr>
          <w:rtl/>
        </w:rPr>
      </w:pPr>
      <w:r w:rsidRPr="00414995">
        <w:rPr>
          <w:rFonts w:hint="cs"/>
          <w:rtl/>
        </w:rPr>
        <w:t xml:space="preserve">מסוגיה זו עולה, שהמבחן הקובע האם האדם שגרם למותו של זולתו הוא 'שוגג' או 'שוגג הקרוב למזיד' הוא </w:t>
      </w:r>
      <w:r w:rsidRPr="00414995">
        <w:rPr>
          <w:rFonts w:hint="cs"/>
          <w:b/>
          <w:bCs/>
          <w:rtl/>
        </w:rPr>
        <w:t>מבחן חוקיות הפעולה</w:t>
      </w:r>
      <w:r w:rsidRPr="00414995">
        <w:rPr>
          <w:rFonts w:hint="cs"/>
          <w:rtl/>
        </w:rPr>
        <w:t>: כאשר הפעולה נעשתה כדין,</w:t>
      </w:r>
      <w:r w:rsidR="00597A7D" w:rsidRPr="00414995">
        <w:rPr>
          <w:rStyle w:val="a7"/>
          <w:rtl/>
        </w:rPr>
        <w:footnoteReference w:id="58"/>
      </w:r>
      <w:r w:rsidRPr="00414995">
        <w:rPr>
          <w:rFonts w:hint="cs"/>
          <w:rtl/>
        </w:rPr>
        <w:t xml:space="preserve"> אם היא גרמה למותו של אדם, מבצע הפעולה יוגדר כ'שוגג', בעוד שאם הפעולה לא הייתה חוקית, מבצעה יוגדר כ"שוגג הקרוב למזיד". חבה מבהיר את ההיגיון המשפט העולה מסוגיית התלמוד הירושלמי בדרך זו </w:t>
      </w:r>
      <w:r w:rsidRPr="00414995">
        <w:rPr>
          <w:rtl/>
        </w:rPr>
        <w:t>–</w:t>
      </w:r>
      <w:r w:rsidRPr="00414995">
        <w:rPr>
          <w:rFonts w:hint="cs"/>
          <w:rtl/>
        </w:rPr>
        <w:t xml:space="preserve"> </w:t>
      </w:r>
    </w:p>
    <w:p w:rsidR="00DF225E" w:rsidRPr="00414995" w:rsidRDefault="00DF225E" w:rsidP="00DF225E">
      <w:pPr>
        <w:spacing w:before="0" w:after="0"/>
        <w:ind w:left="567" w:right="567"/>
        <w:rPr>
          <w:rtl/>
        </w:rPr>
      </w:pPr>
      <w:r w:rsidRPr="000929BB">
        <w:rPr>
          <w:spacing w:val="-2"/>
          <w:rtl/>
          <w:lang w:eastAsia="he-IL"/>
        </w:rPr>
        <w:t xml:space="preserve">כדי שהורג אדם </w:t>
      </w:r>
      <w:r w:rsidRPr="000929BB">
        <w:rPr>
          <w:spacing w:val="-2"/>
          <w:rtl/>
        </w:rPr>
        <w:t>ייחשב</w:t>
      </w:r>
      <w:r w:rsidRPr="000929BB">
        <w:rPr>
          <w:spacing w:val="-2"/>
          <w:rtl/>
          <w:lang w:eastAsia="he-IL"/>
        </w:rPr>
        <w:t xml:space="preserve"> למזיד עשויה להידרש רמה גבוהה יותר של מחשבה פלילית, עד כדי חפץ בתוצאה, או לפחות מודעות להסתברות קרובה לוודאי של התוצאה. אך כאשר עושה אדם מעשה אסור כשלעצמו והיה עליו להימנע מלעשותו בשל הסיכון המיותר שבו, ואשר אין לו הצדקה גם לולא התרחשה התוצאה של ההריגה, כגון, הזורק אבן לרשות הרבים, הוא ייחשב למזיד גם ברמה נמוכה יותר של מחשבה פלילית. ללמדך ש</w:t>
      </w:r>
      <w:r w:rsidRPr="000929BB">
        <w:rPr>
          <w:b/>
          <w:bCs/>
          <w:spacing w:val="-2"/>
          <w:rtl/>
          <w:lang w:eastAsia="he-IL"/>
        </w:rPr>
        <w:t>גם אם התלוותה לעבירת ההמתה פזיזות ברמה של אדישות לאפשרות שייהרג אדם, וייתכן אפילו שקיווה שהדבר לא יקרה, אך יצר סיכון מיותר שמכוחו הי</w:t>
      </w:r>
      <w:r w:rsidRPr="000929BB">
        <w:rPr>
          <w:rFonts w:hint="cs"/>
          <w:b/>
          <w:bCs/>
          <w:spacing w:val="-2"/>
          <w:rtl/>
          <w:lang w:eastAsia="he-IL"/>
        </w:rPr>
        <w:t>י</w:t>
      </w:r>
      <w:r w:rsidRPr="000929BB">
        <w:rPr>
          <w:b/>
          <w:bCs/>
          <w:spacing w:val="-2"/>
          <w:rtl/>
          <w:lang w:eastAsia="he-IL"/>
        </w:rPr>
        <w:t>תה קיימת אפשרות גבוהה יחסית שהתוצאה תתרחש, הוא ייחשב למזיד</w:t>
      </w:r>
      <w:r w:rsidRPr="00414995">
        <w:rPr>
          <w:rStyle w:val="a7"/>
          <w:rtl/>
          <w:lang w:eastAsia="he-IL"/>
        </w:rPr>
        <w:footnoteReference w:id="59"/>
      </w:r>
      <w:r w:rsidRPr="00414995">
        <w:rPr>
          <w:rtl/>
          <w:lang w:eastAsia="he-IL"/>
        </w:rPr>
        <w:t>.</w:t>
      </w:r>
      <w:r w:rsidRPr="00414995">
        <w:rPr>
          <w:rStyle w:val="a7"/>
          <w:rtl/>
          <w:lang w:eastAsia="he-IL"/>
        </w:rPr>
        <w:footnoteReference w:id="60"/>
      </w:r>
    </w:p>
    <w:p w:rsidR="00FA1C02" w:rsidRPr="00414995" w:rsidRDefault="00190262" w:rsidP="00FA1C02">
      <w:pPr>
        <w:rPr>
          <w:rtl/>
        </w:rPr>
      </w:pPr>
      <w:r w:rsidRPr="00414995">
        <w:rPr>
          <w:rFonts w:hint="cs"/>
          <w:rtl/>
        </w:rPr>
        <w:t xml:space="preserve">הרמב"ם פסק בעניין זה כך </w:t>
      </w:r>
      <w:r w:rsidRPr="00414995">
        <w:rPr>
          <w:rtl/>
        </w:rPr>
        <w:t>–</w:t>
      </w:r>
      <w:r w:rsidRPr="00414995">
        <w:rPr>
          <w:rFonts w:hint="cs"/>
          <w:rtl/>
        </w:rPr>
        <w:t xml:space="preserve"> </w:t>
      </w:r>
    </w:p>
    <w:p w:rsidR="00190262" w:rsidRPr="00414995" w:rsidRDefault="00190262" w:rsidP="00793EDC">
      <w:pPr>
        <w:spacing w:before="0" w:after="0"/>
        <w:ind w:left="567" w:right="567"/>
        <w:rPr>
          <w:rtl/>
          <w:lang w:eastAsia="he-IL"/>
        </w:rPr>
      </w:pPr>
      <w:r w:rsidRPr="00414995">
        <w:rPr>
          <w:rtl/>
          <w:lang w:eastAsia="he-IL"/>
        </w:rPr>
        <w:t>הזורק אבן לרשות הרבים והרג, או הסותר כתלו לרשות הרבים ונפלה אבן והמיתה, בין שסתרו ביום בין שסתרו בלילה</w:t>
      </w:r>
      <w:r w:rsidR="00793EDC" w:rsidRPr="00414995">
        <w:rPr>
          <w:rFonts w:hint="cs"/>
          <w:rtl/>
          <w:lang w:eastAsia="he-IL"/>
        </w:rPr>
        <w:t xml:space="preserve"> </w:t>
      </w:r>
      <w:r w:rsidR="00793EDC" w:rsidRPr="00414995">
        <w:rPr>
          <w:rtl/>
          <w:lang w:eastAsia="he-IL"/>
        </w:rPr>
        <w:t>–</w:t>
      </w:r>
      <w:r w:rsidR="00793EDC" w:rsidRPr="00414995">
        <w:rPr>
          <w:rFonts w:hint="cs"/>
          <w:rtl/>
          <w:lang w:eastAsia="he-IL"/>
        </w:rPr>
        <w:t xml:space="preserve"> </w:t>
      </w:r>
      <w:r w:rsidRPr="00414995">
        <w:rPr>
          <w:rtl/>
          <w:lang w:eastAsia="he-IL"/>
        </w:rPr>
        <w:t xml:space="preserve">הרי זה קרוב למזיד ואינו נקלט </w:t>
      </w:r>
      <w:r w:rsidR="00793EDC" w:rsidRPr="00414995">
        <w:rPr>
          <w:rFonts w:hint="cs"/>
          <w:rtl/>
          <w:lang w:eastAsia="he-IL"/>
        </w:rPr>
        <w:t xml:space="preserve">(בעיר המקלט </w:t>
      </w:r>
      <w:r w:rsidR="00793EDC" w:rsidRPr="00414995">
        <w:rPr>
          <w:rtl/>
          <w:lang w:eastAsia="he-IL"/>
        </w:rPr>
        <w:t>–</w:t>
      </w:r>
      <w:r w:rsidR="00793EDC" w:rsidRPr="00414995">
        <w:rPr>
          <w:rFonts w:hint="cs"/>
          <w:rtl/>
          <w:lang w:eastAsia="he-IL"/>
        </w:rPr>
        <w:t xml:space="preserve"> י.א), </w:t>
      </w:r>
      <w:r w:rsidRPr="00414995">
        <w:rPr>
          <w:rtl/>
          <w:lang w:eastAsia="he-IL"/>
        </w:rPr>
        <w:t>מפני שזו פשיעות היא</w:t>
      </w:r>
      <w:r w:rsidR="00793EDC" w:rsidRPr="00414995">
        <w:rPr>
          <w:rFonts w:hint="cs"/>
          <w:rtl/>
          <w:lang w:eastAsia="he-IL"/>
        </w:rPr>
        <w:t>,</w:t>
      </w:r>
      <w:r w:rsidRPr="00414995">
        <w:rPr>
          <w:rtl/>
          <w:lang w:eastAsia="he-IL"/>
        </w:rPr>
        <w:t xml:space="preserve"> שהרי היה לו לעיין ואחר כך יזרוק או יסתור.</w:t>
      </w:r>
    </w:p>
    <w:p w:rsidR="00793EDC" w:rsidRPr="00414995" w:rsidRDefault="00793EDC" w:rsidP="00793EDC">
      <w:pPr>
        <w:spacing w:before="0" w:after="0"/>
        <w:ind w:left="567" w:right="567"/>
        <w:rPr>
          <w:rtl/>
          <w:lang w:eastAsia="he-IL"/>
        </w:rPr>
      </w:pPr>
      <w:r w:rsidRPr="00414995">
        <w:rPr>
          <w:rtl/>
          <w:lang w:eastAsia="he-IL"/>
        </w:rPr>
        <w:t>סתרו לאשפה בלילה</w:t>
      </w:r>
      <w:r w:rsidRPr="00414995">
        <w:rPr>
          <w:rFonts w:hint="cs"/>
          <w:rtl/>
          <w:lang w:eastAsia="he-IL"/>
        </w:rPr>
        <w:t>,</w:t>
      </w:r>
      <w:r w:rsidRPr="00414995">
        <w:rPr>
          <w:rtl/>
          <w:lang w:eastAsia="he-IL"/>
        </w:rPr>
        <w:t xml:space="preserve"> אם הרבים מצויין בה</w:t>
      </w:r>
      <w:r w:rsidRPr="00414995">
        <w:rPr>
          <w:rFonts w:hint="cs"/>
          <w:rtl/>
          <w:lang w:eastAsia="he-IL"/>
        </w:rPr>
        <w:t xml:space="preserve"> </w:t>
      </w:r>
      <w:r w:rsidRPr="00414995">
        <w:rPr>
          <w:rtl/>
          <w:lang w:eastAsia="he-IL"/>
        </w:rPr>
        <w:t>–</w:t>
      </w:r>
      <w:r w:rsidRPr="00414995">
        <w:rPr>
          <w:rFonts w:hint="cs"/>
          <w:rtl/>
          <w:lang w:eastAsia="he-IL"/>
        </w:rPr>
        <w:t xml:space="preserve"> </w:t>
      </w:r>
      <w:r w:rsidRPr="00414995">
        <w:rPr>
          <w:rtl/>
          <w:lang w:eastAsia="he-IL"/>
        </w:rPr>
        <w:t>הרי זה קרוב למזיד</w:t>
      </w:r>
      <w:r w:rsidRPr="00414995">
        <w:rPr>
          <w:rFonts w:hint="cs"/>
          <w:rtl/>
          <w:lang w:eastAsia="he-IL"/>
        </w:rPr>
        <w:t>,</w:t>
      </w:r>
      <w:r w:rsidRPr="00414995">
        <w:rPr>
          <w:rtl/>
          <w:lang w:eastAsia="he-IL"/>
        </w:rPr>
        <w:t xml:space="preserve"> ואינו נקלט</w:t>
      </w:r>
      <w:r w:rsidRPr="00414995">
        <w:rPr>
          <w:rFonts w:hint="cs"/>
          <w:rtl/>
          <w:lang w:eastAsia="he-IL"/>
        </w:rPr>
        <w:t>.</w:t>
      </w:r>
      <w:r w:rsidRPr="00414995">
        <w:rPr>
          <w:rtl/>
          <w:lang w:eastAsia="he-IL"/>
        </w:rPr>
        <w:t xml:space="preserve"> ואם אין הרבים מצויין בה כלל</w:t>
      </w:r>
      <w:r w:rsidRPr="00414995">
        <w:rPr>
          <w:rFonts w:hint="cs"/>
          <w:rtl/>
          <w:lang w:eastAsia="he-IL"/>
        </w:rPr>
        <w:t xml:space="preserve"> </w:t>
      </w:r>
      <w:r w:rsidRPr="00414995">
        <w:rPr>
          <w:rtl/>
          <w:lang w:eastAsia="he-IL"/>
        </w:rPr>
        <w:t>–</w:t>
      </w:r>
      <w:r w:rsidRPr="00414995">
        <w:rPr>
          <w:rFonts w:hint="cs"/>
          <w:rtl/>
          <w:lang w:eastAsia="he-IL"/>
        </w:rPr>
        <w:t xml:space="preserve"> </w:t>
      </w:r>
      <w:r w:rsidRPr="00414995">
        <w:rPr>
          <w:rtl/>
          <w:lang w:eastAsia="he-IL"/>
        </w:rPr>
        <w:t xml:space="preserve">הרי זה קרוב לאונס ופטור מן הגלות.   </w:t>
      </w:r>
    </w:p>
    <w:p w:rsidR="00793EDC" w:rsidRPr="00414995" w:rsidRDefault="00793EDC" w:rsidP="00793EDC">
      <w:pPr>
        <w:spacing w:before="0" w:after="0"/>
        <w:ind w:left="567" w:right="567"/>
        <w:rPr>
          <w:rtl/>
          <w:lang w:eastAsia="he-IL"/>
        </w:rPr>
      </w:pPr>
      <w:r w:rsidRPr="00414995">
        <w:rPr>
          <w:rFonts w:hint="cs"/>
          <w:rtl/>
          <w:lang w:eastAsia="he-IL"/>
        </w:rPr>
        <w:t xml:space="preserve">הייתה </w:t>
      </w:r>
      <w:r w:rsidRPr="00414995">
        <w:rPr>
          <w:rtl/>
          <w:lang w:eastAsia="he-IL"/>
        </w:rPr>
        <w:t>האשפה עשויה להפנות בה בלילה ואינה עשויה להפנות בה ביום ונקרה אדם וישב שם ונפלה עליו אבן בשעת סתירה ומת</w:t>
      </w:r>
      <w:r w:rsidRPr="00414995">
        <w:rPr>
          <w:rFonts w:hint="cs"/>
          <w:rtl/>
          <w:lang w:eastAsia="he-IL"/>
        </w:rPr>
        <w:t xml:space="preserve"> </w:t>
      </w:r>
      <w:r w:rsidRPr="00414995">
        <w:rPr>
          <w:rtl/>
          <w:lang w:eastAsia="he-IL"/>
        </w:rPr>
        <w:t>–</w:t>
      </w:r>
      <w:r w:rsidRPr="00414995">
        <w:rPr>
          <w:rFonts w:hint="cs"/>
          <w:rtl/>
          <w:lang w:eastAsia="he-IL"/>
        </w:rPr>
        <w:t xml:space="preserve"> </w:t>
      </w:r>
      <w:r w:rsidRPr="00414995">
        <w:rPr>
          <w:rtl/>
          <w:lang w:eastAsia="he-IL"/>
        </w:rPr>
        <w:t>הרי זה גולה</w:t>
      </w:r>
      <w:r w:rsidRPr="00414995">
        <w:rPr>
          <w:rFonts w:hint="cs"/>
          <w:rtl/>
          <w:lang w:eastAsia="he-IL"/>
        </w:rPr>
        <w:t>.</w:t>
      </w:r>
      <w:r w:rsidRPr="00414995">
        <w:rPr>
          <w:rStyle w:val="a7"/>
          <w:rtl/>
          <w:lang w:eastAsia="he-IL"/>
        </w:rPr>
        <w:footnoteReference w:id="61"/>
      </w:r>
    </w:p>
    <w:p w:rsidR="00D51B96" w:rsidRPr="00414995" w:rsidRDefault="00793EDC" w:rsidP="00D51B96">
      <w:pPr>
        <w:rPr>
          <w:rtl/>
        </w:rPr>
      </w:pPr>
      <w:r w:rsidRPr="00414995">
        <w:rPr>
          <w:rFonts w:hint="cs"/>
          <w:rtl/>
        </w:rPr>
        <w:t xml:space="preserve">מדברי הרמב"ם עולה, שהוא מאמץ </w:t>
      </w:r>
      <w:r w:rsidR="00D51B96" w:rsidRPr="00414995">
        <w:rPr>
          <w:rFonts w:hint="cs"/>
          <w:rtl/>
        </w:rPr>
        <w:t xml:space="preserve">מבחן משולב, הכולל בתוכו הן </w:t>
      </w:r>
      <w:r w:rsidRPr="00414995">
        <w:rPr>
          <w:rFonts w:hint="cs"/>
          <w:rtl/>
        </w:rPr>
        <w:t xml:space="preserve">את </w:t>
      </w:r>
      <w:r w:rsidR="00D51B96" w:rsidRPr="00414995">
        <w:rPr>
          <w:rFonts w:hint="cs"/>
          <w:rtl/>
        </w:rPr>
        <w:t xml:space="preserve">מבחן </w:t>
      </w:r>
      <w:r w:rsidRPr="00414995">
        <w:rPr>
          <w:rFonts w:hint="cs"/>
          <w:rtl/>
        </w:rPr>
        <w:t>חוקיות הפעולה שנקבע בתלמוד הירושלמי</w:t>
      </w:r>
      <w:r w:rsidR="00D51B96" w:rsidRPr="00414995">
        <w:rPr>
          <w:rFonts w:hint="cs"/>
          <w:rtl/>
        </w:rPr>
        <w:t>,</w:t>
      </w:r>
      <w:r w:rsidR="009E6AC6" w:rsidRPr="00414995">
        <w:rPr>
          <w:rStyle w:val="a7"/>
          <w:rtl/>
        </w:rPr>
        <w:footnoteReference w:id="62"/>
      </w:r>
      <w:r w:rsidR="00D51B96" w:rsidRPr="00414995">
        <w:rPr>
          <w:rFonts w:hint="cs"/>
          <w:rtl/>
        </w:rPr>
        <w:t xml:space="preserve"> והן את מבחן הסבירות שנקבע בתלמוד הבבלי</w:t>
      </w:r>
      <w:r w:rsidRPr="00414995">
        <w:rPr>
          <w:rFonts w:hint="cs"/>
          <w:rtl/>
        </w:rPr>
        <w:t xml:space="preserve">. </w:t>
      </w:r>
      <w:r w:rsidR="00D51B96" w:rsidRPr="00414995">
        <w:rPr>
          <w:rFonts w:hint="cs"/>
          <w:rtl/>
        </w:rPr>
        <w:t>מי שזרק אבן לרשות הרבים, או אפילו סתר את כותלו והניח לאבנים ליפול לרשות הרבים,</w:t>
      </w:r>
      <w:r w:rsidRPr="00414995">
        <w:rPr>
          <w:rFonts w:hint="cs"/>
          <w:rtl/>
        </w:rPr>
        <w:t xml:space="preserve"> </w:t>
      </w:r>
      <w:r w:rsidR="00D51B96" w:rsidRPr="00414995">
        <w:rPr>
          <w:rFonts w:hint="cs"/>
          <w:rtl/>
        </w:rPr>
        <w:t xml:space="preserve">נחשב כמי שפעל שלא ברשות. ככזה, מוטלת עליו חובת זהירות מוגברת. לכן, אם לא ווידא תחילה שאיש לא עלול להיפגע מאבניו, הוא </w:t>
      </w:r>
      <w:r w:rsidR="00D51B96" w:rsidRPr="00414995">
        <w:rPr>
          <w:rFonts w:hint="cs"/>
          <w:rtl/>
        </w:rPr>
        <w:lastRenderedPageBreak/>
        <w:t>בגדר "שוגג הקרוב למזיד".</w:t>
      </w:r>
    </w:p>
    <w:p w:rsidR="00D51B96" w:rsidRPr="00414995" w:rsidRDefault="00D51B96" w:rsidP="00260D86">
      <w:pPr>
        <w:rPr>
          <w:rtl/>
        </w:rPr>
      </w:pPr>
      <w:r w:rsidRPr="00414995">
        <w:rPr>
          <w:rFonts w:hint="cs"/>
          <w:rtl/>
        </w:rPr>
        <w:t>מנגד, מי שסותר את כתלו לאשפה נחשב כמי שפועל ברשות, כפי שלימד רבי יוסי בי רבי בון. לפיכך, אדם זה לא יוגדר כ"שוגג הקרוב למזיד" אם אבן שנפלה לאשפה גרמה למותו של אדם, אלא אם ניתן לראות במעשיו סטייה ניכרת מהתנהגות סבירה. כאשר במעשיו לא סטה כלל מהתנהגות סבירה, ההמתה תוגדר כ"שוגג הקרוב לאונס", וכאשר סטתה מהתנהגות סבירה, אך סטייה זו אינה ניכרת, ההמתה תוגדר כ"שוגג"</w:t>
      </w:r>
      <w:r w:rsidR="005237D7" w:rsidRPr="00414995">
        <w:rPr>
          <w:rFonts w:hint="cs"/>
          <w:rtl/>
        </w:rPr>
        <w:t>, והוא חייב גלות</w:t>
      </w:r>
      <w:r w:rsidRPr="00414995">
        <w:rPr>
          <w:rFonts w:hint="cs"/>
          <w:rtl/>
        </w:rPr>
        <w:t>.</w:t>
      </w:r>
    </w:p>
    <w:p w:rsidR="00793EDC" w:rsidRPr="00414995" w:rsidRDefault="009E6AC6" w:rsidP="009E6AC6">
      <w:pPr>
        <w:rPr>
          <w:b/>
          <w:bCs/>
          <w:rtl/>
        </w:rPr>
      </w:pPr>
      <w:r w:rsidRPr="00414995">
        <w:rPr>
          <w:rFonts w:hint="cs"/>
          <w:rtl/>
        </w:rPr>
        <w:t xml:space="preserve">מבחן משולב זה הוא מחמיר מן המבחן שמוצע בהצעת החוק ל"רשלנות בנסיבות מחמירות", משום שבניגוד למבחן המוצע, התולה את ההחמרה בעונשו של הגורם מוות ברשלנות בקיומם של שני תנאים מצטברים: היעדר חוקיות וסטייה ניכרת מהתנהגות סבירה, המבחן שאומץ על ידי הרמב"ם רואה בשני התנאים האמורים תנאים חלופיים. לאמור: </w:t>
      </w:r>
      <w:r w:rsidRPr="00414995">
        <w:rPr>
          <w:rFonts w:hint="cs"/>
          <w:b/>
          <w:bCs/>
          <w:rtl/>
        </w:rPr>
        <w:t>בין אם הפעולה שגרמה למותו של אדם סטתה ב</w:t>
      </w:r>
      <w:r w:rsidRPr="00414995">
        <w:rPr>
          <w:b/>
          <w:bCs/>
          <w:rtl/>
        </w:rPr>
        <w:t>מידה ניכרת מהתנהגות סבירה בנסיבות</w:t>
      </w:r>
      <w:r w:rsidRPr="00414995">
        <w:rPr>
          <w:rFonts w:hint="cs"/>
          <w:b/>
          <w:bCs/>
          <w:rtl/>
        </w:rPr>
        <w:t xml:space="preserve"> </w:t>
      </w:r>
      <w:r w:rsidRPr="00414995">
        <w:rPr>
          <w:b/>
          <w:bCs/>
          <w:rtl/>
        </w:rPr>
        <w:t>העניין</w:t>
      </w:r>
      <w:r w:rsidRPr="00414995">
        <w:rPr>
          <w:rFonts w:hint="cs"/>
          <w:b/>
          <w:bCs/>
          <w:rtl/>
        </w:rPr>
        <w:t>, ובין אם הפעולה לא סטתה ב</w:t>
      </w:r>
      <w:r w:rsidRPr="00414995">
        <w:rPr>
          <w:b/>
          <w:bCs/>
          <w:rtl/>
        </w:rPr>
        <w:t>מידה ניכרת מהתנהגות סבירה בנסיבות</w:t>
      </w:r>
      <w:r w:rsidRPr="00414995">
        <w:rPr>
          <w:rFonts w:hint="cs"/>
          <w:b/>
          <w:bCs/>
          <w:rtl/>
        </w:rPr>
        <w:t xml:space="preserve"> </w:t>
      </w:r>
      <w:r w:rsidRPr="00414995">
        <w:rPr>
          <w:b/>
          <w:bCs/>
          <w:rtl/>
        </w:rPr>
        <w:t>העניין</w:t>
      </w:r>
      <w:r w:rsidRPr="00414995">
        <w:rPr>
          <w:rFonts w:hint="cs"/>
          <w:b/>
          <w:bCs/>
          <w:rtl/>
        </w:rPr>
        <w:t>, אך הייתה פעולה אסורה, מבצע הפעולה יוגדר כ"שוגג הקרוב למזיד"</w:t>
      </w:r>
      <w:r w:rsidR="00317517" w:rsidRPr="00414995">
        <w:rPr>
          <w:rFonts w:hint="cs"/>
          <w:b/>
          <w:bCs/>
          <w:rtl/>
        </w:rPr>
        <w:t xml:space="preserve"> או בלשוננו: "רשלן בנסיבות מחמירות"</w:t>
      </w:r>
      <w:r w:rsidRPr="00414995">
        <w:rPr>
          <w:rFonts w:hint="cs"/>
          <w:b/>
          <w:bCs/>
          <w:rtl/>
        </w:rPr>
        <w:t xml:space="preserve">.     </w:t>
      </w:r>
      <w:r w:rsidR="00D51B96" w:rsidRPr="00414995">
        <w:rPr>
          <w:rFonts w:hint="cs"/>
          <w:b/>
          <w:bCs/>
          <w:rtl/>
        </w:rPr>
        <w:t xml:space="preserve"> </w:t>
      </w:r>
    </w:p>
    <w:p w:rsidR="00317517" w:rsidRPr="00414995" w:rsidRDefault="00317517" w:rsidP="00317517">
      <w:pPr>
        <w:rPr>
          <w:rtl/>
        </w:rPr>
      </w:pPr>
      <w:r w:rsidRPr="00414995">
        <w:rPr>
          <w:rFonts w:hint="cs"/>
          <w:rtl/>
        </w:rPr>
        <w:t xml:space="preserve">מבחן משולב זה שימש את פוסקי ההלכה בהקשרים שונים. כך למשל, </w:t>
      </w:r>
      <w:r w:rsidR="00643AEA" w:rsidRPr="00414995">
        <w:rPr>
          <w:rFonts w:hint="cs"/>
          <w:rtl/>
        </w:rPr>
        <w:t>רבי דוד בן זמרא (ספרד, המאה ה-15 וה-16)</w:t>
      </w:r>
      <w:r w:rsidRPr="00414995">
        <w:rPr>
          <w:rFonts w:hint="cs"/>
          <w:rtl/>
        </w:rPr>
        <w:t xml:space="preserve"> פסק שמ</w:t>
      </w:r>
      <w:r w:rsidR="00643AEA" w:rsidRPr="00414995">
        <w:rPr>
          <w:rFonts w:hint="cs"/>
          <w:rtl/>
        </w:rPr>
        <w:t>י ש</w:t>
      </w:r>
      <w:r w:rsidRPr="00414995">
        <w:rPr>
          <w:rFonts w:hint="cs"/>
          <w:rtl/>
        </w:rPr>
        <w:t>ה</w:t>
      </w:r>
      <w:r w:rsidR="00643AEA" w:rsidRPr="00414995">
        <w:rPr>
          <w:rFonts w:hint="cs"/>
          <w:rtl/>
        </w:rPr>
        <w:t>חזיק בידו סכין ורץ עמה ברשות הרבים</w:t>
      </w:r>
      <w:r w:rsidRPr="00414995">
        <w:rPr>
          <w:rFonts w:hint="cs"/>
          <w:rtl/>
        </w:rPr>
        <w:t>,</w:t>
      </w:r>
      <w:r w:rsidR="00643AEA" w:rsidRPr="00414995">
        <w:rPr>
          <w:rFonts w:hint="cs"/>
          <w:rtl/>
        </w:rPr>
        <w:t xml:space="preserve"> ו</w:t>
      </w:r>
      <w:r w:rsidR="009D2C1B" w:rsidRPr="00414995">
        <w:rPr>
          <w:rFonts w:hint="cs"/>
          <w:rtl/>
        </w:rPr>
        <w:t xml:space="preserve">בריצתו </w:t>
      </w:r>
      <w:r w:rsidR="00643AEA" w:rsidRPr="00414995">
        <w:rPr>
          <w:rFonts w:hint="cs"/>
          <w:rtl/>
        </w:rPr>
        <w:t xml:space="preserve">גרם למותו של אדם שהתפרץ לדרכו </w:t>
      </w:r>
      <w:r w:rsidR="009D2C1B" w:rsidRPr="00414995">
        <w:rPr>
          <w:rFonts w:hint="cs"/>
          <w:rtl/>
        </w:rPr>
        <w:t xml:space="preserve">הוא </w:t>
      </w:r>
      <w:r w:rsidR="00643AEA" w:rsidRPr="00414995">
        <w:rPr>
          <w:rFonts w:hint="cs"/>
          <w:rtl/>
        </w:rPr>
        <w:t>"שוגג</w:t>
      </w:r>
      <w:r w:rsidR="009D2C1B" w:rsidRPr="00414995">
        <w:rPr>
          <w:rFonts w:hint="cs"/>
          <w:rtl/>
        </w:rPr>
        <w:t xml:space="preserve"> </w:t>
      </w:r>
      <w:r w:rsidR="00643AEA" w:rsidRPr="00414995">
        <w:rPr>
          <w:rFonts w:hint="cs"/>
          <w:rtl/>
        </w:rPr>
        <w:t>קרוב למזיד", משום ש"</w:t>
      </w:r>
      <w:r w:rsidR="00643AEA" w:rsidRPr="00414995">
        <w:rPr>
          <w:rtl/>
        </w:rPr>
        <w:t xml:space="preserve">הוה ליה </w:t>
      </w:r>
      <w:r w:rsidR="00643AEA" w:rsidRPr="00414995">
        <w:rPr>
          <w:rFonts w:hint="cs"/>
          <w:rtl/>
        </w:rPr>
        <w:t xml:space="preserve">[=היה לו] </w:t>
      </w:r>
      <w:r w:rsidR="00643AEA" w:rsidRPr="00414995">
        <w:rPr>
          <w:rtl/>
        </w:rPr>
        <w:t>ללכת בנחת</w:t>
      </w:r>
      <w:r w:rsidR="00643AEA" w:rsidRPr="00414995">
        <w:rPr>
          <w:rFonts w:hint="cs"/>
          <w:rtl/>
        </w:rPr>
        <w:t>,</w:t>
      </w:r>
      <w:r w:rsidR="00643AEA" w:rsidRPr="00414995">
        <w:rPr>
          <w:rtl/>
        </w:rPr>
        <w:t xml:space="preserve"> כיון שיש בידו כלי משחית</w:t>
      </w:r>
      <w:r w:rsidR="00643AEA" w:rsidRPr="00414995">
        <w:rPr>
          <w:rFonts w:hint="cs"/>
          <w:rtl/>
        </w:rPr>
        <w:t>"</w:t>
      </w:r>
      <w:r w:rsidR="00643AEA" w:rsidRPr="00414995">
        <w:rPr>
          <w:rtl/>
        </w:rPr>
        <w:t>.</w:t>
      </w:r>
      <w:r w:rsidR="00416949" w:rsidRPr="00414995">
        <w:rPr>
          <w:rStyle w:val="a7"/>
          <w:rtl/>
        </w:rPr>
        <w:footnoteReference w:id="63"/>
      </w:r>
      <w:r w:rsidR="009D2C1B" w:rsidRPr="00414995">
        <w:rPr>
          <w:rFonts w:hint="cs"/>
          <w:rtl/>
        </w:rPr>
        <w:t xml:space="preserve"> </w:t>
      </w:r>
      <w:r w:rsidRPr="00414995">
        <w:rPr>
          <w:rFonts w:hint="cs"/>
          <w:rtl/>
        </w:rPr>
        <w:t>במקרה זה, הגם שההלכה אינה אוסרת על אדם לרוץ ברשות הרבים כשסכין בידיו, מאחר שריצה שכזו היא בגדר התנהגות הסוטה במידה ניכרת מהתנהגות סבירה בנסיבות העניין, אם היא גרמה למותו של אדם, יוגדר האדם כ"שוגג הקרוב למזיד".</w:t>
      </w:r>
    </w:p>
    <w:p w:rsidR="00416949" w:rsidRPr="00414995" w:rsidRDefault="00853899" w:rsidP="00E707BF">
      <w:pPr>
        <w:rPr>
          <w:rtl/>
        </w:rPr>
      </w:pPr>
      <w:r w:rsidRPr="00414995">
        <w:rPr>
          <w:rFonts w:hint="cs"/>
          <w:rtl/>
        </w:rPr>
        <w:t xml:space="preserve">ובהקשר מודרני יותר, </w:t>
      </w:r>
      <w:r w:rsidR="00416949" w:rsidRPr="00414995">
        <w:rPr>
          <w:rFonts w:hint="cs"/>
          <w:rtl/>
        </w:rPr>
        <w:t>הרב עובדיה יוסף</w:t>
      </w:r>
      <w:r w:rsidRPr="00414995">
        <w:rPr>
          <w:rFonts w:hint="cs"/>
          <w:rtl/>
        </w:rPr>
        <w:t xml:space="preserve"> פסק ש</w:t>
      </w:r>
      <w:r w:rsidR="00416949" w:rsidRPr="00414995">
        <w:rPr>
          <w:rFonts w:hint="cs"/>
          <w:rtl/>
        </w:rPr>
        <w:t>"</w:t>
      </w:r>
      <w:r w:rsidR="00416949" w:rsidRPr="00414995">
        <w:rPr>
          <w:rtl/>
        </w:rPr>
        <w:t>נוהג ברכב וגרם לאבדן נפש מישראל מחמת שנהג במהירות מופרזת, או מפני שלא ציית לתמרור, או שעבר עבירה אחרת על חוקי התנועה, הרי שגגתו עולה זדון".</w:t>
      </w:r>
      <w:r w:rsidR="00416949" w:rsidRPr="00414995">
        <w:rPr>
          <w:rStyle w:val="a7"/>
          <w:rtl/>
        </w:rPr>
        <w:footnoteReference w:id="64"/>
      </w:r>
      <w:r w:rsidR="00317517" w:rsidRPr="00414995">
        <w:rPr>
          <w:rtl/>
        </w:rPr>
        <w:t xml:space="preserve"> </w:t>
      </w:r>
    </w:p>
    <w:p w:rsidR="007B4EAB" w:rsidRPr="00414995" w:rsidRDefault="00416949" w:rsidP="0083077E">
      <w:pPr>
        <w:rPr>
          <w:rtl/>
        </w:rPr>
      </w:pPr>
      <w:r w:rsidRPr="00414995">
        <w:rPr>
          <w:rFonts w:hint="cs"/>
          <w:rtl/>
        </w:rPr>
        <w:t>לדעת</w:t>
      </w:r>
      <w:r w:rsidR="009D2C1B" w:rsidRPr="00414995">
        <w:rPr>
          <w:rFonts w:hint="cs"/>
          <w:rtl/>
        </w:rPr>
        <w:t>ו</w:t>
      </w:r>
      <w:r w:rsidR="00853899" w:rsidRPr="00414995">
        <w:rPr>
          <w:rFonts w:hint="cs"/>
          <w:rtl/>
        </w:rPr>
        <w:t xml:space="preserve"> של הרב עובדיה יוסף</w:t>
      </w:r>
      <w:r w:rsidRPr="00414995">
        <w:rPr>
          <w:rFonts w:hint="cs"/>
          <w:rtl/>
        </w:rPr>
        <w:t>,</w:t>
      </w:r>
      <w:r w:rsidRPr="00414995">
        <w:rPr>
          <w:rStyle w:val="a7"/>
          <w:rtl/>
        </w:rPr>
        <w:footnoteReference w:id="65"/>
      </w:r>
      <w:r w:rsidRPr="00414995">
        <w:rPr>
          <w:rFonts w:hint="cs"/>
          <w:rtl/>
        </w:rPr>
        <w:t xml:space="preserve"> אף נהג שנרדם במהלך הנסיעה ובשל כך נגרמה תאונת דרכים קטלנית הוא בגדר "שוגג קרוב למזיד", אם משום שהיה על הנהג להימנע מנהיגה בעודו עייף, ואם משום שבשעה שגילה שהוא עייף, היה עליו לעצור את רכבו ולהתרענן.</w:t>
      </w:r>
      <w:r w:rsidR="004D3C51" w:rsidRPr="00414995">
        <w:rPr>
          <w:rStyle w:val="a7"/>
          <w:rtl/>
        </w:rPr>
        <w:footnoteReference w:id="66"/>
      </w:r>
      <w:r w:rsidR="00853899" w:rsidRPr="00414995">
        <w:rPr>
          <w:rFonts w:hint="cs"/>
          <w:rtl/>
        </w:rPr>
        <w:t xml:space="preserve"> </w:t>
      </w:r>
      <w:r w:rsidR="007B4EAB" w:rsidRPr="00414995">
        <w:rPr>
          <w:rFonts w:hint="cs"/>
          <w:rtl/>
        </w:rPr>
        <w:t xml:space="preserve"> </w:t>
      </w:r>
    </w:p>
    <w:p w:rsidR="0083077E" w:rsidRDefault="0083077E">
      <w:pPr>
        <w:widowControl/>
        <w:bidi w:val="0"/>
        <w:spacing w:before="0" w:after="200" w:line="276" w:lineRule="auto"/>
        <w:jc w:val="left"/>
        <w:rPr>
          <w:rFonts w:eastAsia="Times New Roman"/>
          <w:b/>
          <w:bCs/>
          <w:szCs w:val="28"/>
          <w:rtl/>
          <w:lang w:eastAsia="he-IL"/>
        </w:rPr>
      </w:pPr>
      <w:r>
        <w:rPr>
          <w:b/>
          <w:rtl/>
          <w:lang w:eastAsia="he-IL"/>
        </w:rPr>
        <w:br w:type="page"/>
      </w:r>
    </w:p>
    <w:p w:rsidR="0059728C" w:rsidRPr="00414995" w:rsidRDefault="00FD43EE" w:rsidP="0059728C">
      <w:pPr>
        <w:pStyle w:val="1"/>
        <w:numPr>
          <w:ilvl w:val="0"/>
          <w:numId w:val="17"/>
        </w:numPr>
        <w:bidi/>
        <w:spacing w:after="120"/>
        <w:ind w:left="357" w:hanging="357"/>
        <w:rPr>
          <w:rFonts w:ascii="Times New Roman" w:hAnsi="Times New Roman"/>
          <w:b/>
          <w:kern w:val="0"/>
          <w:sz w:val="24"/>
          <w:rtl/>
          <w:lang w:eastAsia="he-IL"/>
        </w:rPr>
      </w:pPr>
      <w:r w:rsidRPr="00414995">
        <w:rPr>
          <w:rFonts w:ascii="Times New Roman" w:hAnsi="Times New Roman" w:hint="cs"/>
          <w:b/>
          <w:kern w:val="0"/>
          <w:sz w:val="24"/>
          <w:rtl/>
          <w:lang w:eastAsia="he-IL"/>
        </w:rPr>
        <w:lastRenderedPageBreak/>
        <w:t>רצח ב</w:t>
      </w:r>
      <w:r w:rsidR="0059728C" w:rsidRPr="00414995">
        <w:rPr>
          <w:rFonts w:ascii="Times New Roman" w:hAnsi="Times New Roman" w:hint="cs"/>
          <w:b/>
          <w:kern w:val="0"/>
          <w:sz w:val="24"/>
          <w:rtl/>
          <w:lang w:eastAsia="he-IL"/>
        </w:rPr>
        <w:t>נסיבות מחמירות</w:t>
      </w:r>
    </w:p>
    <w:p w:rsidR="0059728C" w:rsidRPr="00414995" w:rsidRDefault="00B66E47" w:rsidP="00D24F8B">
      <w:pPr>
        <w:rPr>
          <w:rtl/>
          <w:lang w:eastAsia="he-IL"/>
        </w:rPr>
      </w:pPr>
      <w:r w:rsidRPr="00414995">
        <w:rPr>
          <w:rFonts w:hint="cs"/>
          <w:rtl/>
          <w:lang w:eastAsia="he-IL"/>
        </w:rPr>
        <w:t xml:space="preserve">סעיף 300(א) של חוק העונשין </w:t>
      </w:r>
      <w:r w:rsidR="00D24F8B" w:rsidRPr="00414995">
        <w:rPr>
          <w:rFonts w:hint="cs"/>
          <w:rtl/>
          <w:lang w:eastAsia="he-IL"/>
        </w:rPr>
        <w:t xml:space="preserve">בנוסחו העדכני, </w:t>
      </w:r>
      <w:r w:rsidRPr="00414995">
        <w:rPr>
          <w:rFonts w:hint="cs"/>
          <w:rtl/>
          <w:lang w:eastAsia="he-IL"/>
        </w:rPr>
        <w:t>קובע עונש של מאסר עולם "ועונש זה בלבד", המוטל על הגורם למותו של אדם באחת מארבע הנסיבות הבאות:</w:t>
      </w:r>
    </w:p>
    <w:tbl>
      <w:tblPr>
        <w:tblStyle w:val="af7"/>
        <w:bidiVisual/>
        <w:tblW w:w="0" w:type="auto"/>
        <w:tblInd w:w="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
        <w:gridCol w:w="7506"/>
      </w:tblGrid>
      <w:tr w:rsidR="00B66E47" w:rsidRPr="00414995" w:rsidTr="00B66E47">
        <w:tc>
          <w:tcPr>
            <w:tcW w:w="283" w:type="dxa"/>
          </w:tcPr>
          <w:p w:rsidR="00B66E47" w:rsidRPr="00414995" w:rsidRDefault="00B66E47" w:rsidP="00B66E47">
            <w:pPr>
              <w:spacing w:before="0" w:after="0"/>
              <w:rPr>
                <w:rtl/>
                <w:lang w:eastAsia="he-IL"/>
              </w:rPr>
            </w:pPr>
            <w:r w:rsidRPr="00414995">
              <w:rPr>
                <w:rFonts w:hint="cs"/>
                <w:rtl/>
                <w:lang w:eastAsia="he-IL"/>
              </w:rPr>
              <w:t>(1)</w:t>
            </w:r>
          </w:p>
        </w:tc>
        <w:tc>
          <w:tcPr>
            <w:tcW w:w="7655" w:type="dxa"/>
          </w:tcPr>
          <w:p w:rsidR="00B66E47" w:rsidRPr="00414995" w:rsidRDefault="00B66E47" w:rsidP="00B66E47">
            <w:pPr>
              <w:spacing w:before="0" w:after="0"/>
              <w:rPr>
                <w:rtl/>
                <w:lang w:eastAsia="he-IL"/>
              </w:rPr>
            </w:pPr>
            <w:r w:rsidRPr="00414995">
              <w:rPr>
                <w:rtl/>
                <w:lang w:eastAsia="he-IL"/>
              </w:rPr>
              <w:t>גורם במזיד, במעשה או במחדל אסורים, למותו של אביו, אמו, סבו או סבתו;</w:t>
            </w:r>
          </w:p>
        </w:tc>
      </w:tr>
      <w:tr w:rsidR="00B66E47" w:rsidRPr="00414995" w:rsidTr="00B66E47">
        <w:tc>
          <w:tcPr>
            <w:tcW w:w="283" w:type="dxa"/>
          </w:tcPr>
          <w:p w:rsidR="00B66E47" w:rsidRPr="00414995" w:rsidRDefault="00B66E47" w:rsidP="00B66E47">
            <w:pPr>
              <w:spacing w:before="0" w:after="0"/>
              <w:rPr>
                <w:rtl/>
                <w:lang w:eastAsia="he-IL"/>
              </w:rPr>
            </w:pPr>
            <w:r w:rsidRPr="00414995">
              <w:rPr>
                <w:rFonts w:hint="cs"/>
                <w:rtl/>
                <w:lang w:eastAsia="he-IL"/>
              </w:rPr>
              <w:t>(2)</w:t>
            </w:r>
          </w:p>
        </w:tc>
        <w:tc>
          <w:tcPr>
            <w:tcW w:w="7655" w:type="dxa"/>
          </w:tcPr>
          <w:p w:rsidR="00B66E47" w:rsidRPr="00414995" w:rsidRDefault="00B66E47" w:rsidP="00B66E47">
            <w:pPr>
              <w:spacing w:before="0" w:after="0"/>
              <w:rPr>
                <w:rtl/>
                <w:lang w:eastAsia="he-IL"/>
              </w:rPr>
            </w:pPr>
            <w:r w:rsidRPr="00414995">
              <w:rPr>
                <w:rtl/>
                <w:lang w:eastAsia="he-IL"/>
              </w:rPr>
              <w:t>גורם בכוונה תחילה למותו של אדם;</w:t>
            </w:r>
          </w:p>
        </w:tc>
      </w:tr>
      <w:tr w:rsidR="00B66E47" w:rsidRPr="00414995" w:rsidTr="00B66E47">
        <w:tc>
          <w:tcPr>
            <w:tcW w:w="283" w:type="dxa"/>
          </w:tcPr>
          <w:p w:rsidR="00B66E47" w:rsidRPr="00414995" w:rsidRDefault="00B66E47" w:rsidP="00B66E47">
            <w:pPr>
              <w:spacing w:before="0" w:after="0"/>
              <w:rPr>
                <w:rtl/>
                <w:lang w:eastAsia="he-IL"/>
              </w:rPr>
            </w:pPr>
            <w:r w:rsidRPr="00414995">
              <w:rPr>
                <w:rFonts w:hint="cs"/>
                <w:rtl/>
                <w:lang w:eastAsia="he-IL"/>
              </w:rPr>
              <w:t>(3)</w:t>
            </w:r>
          </w:p>
        </w:tc>
        <w:tc>
          <w:tcPr>
            <w:tcW w:w="7655" w:type="dxa"/>
          </w:tcPr>
          <w:p w:rsidR="00B66E47" w:rsidRPr="00414995" w:rsidRDefault="00B66E47" w:rsidP="00B66E47">
            <w:pPr>
              <w:spacing w:before="0" w:after="0"/>
              <w:rPr>
                <w:rtl/>
                <w:lang w:eastAsia="he-IL"/>
              </w:rPr>
            </w:pPr>
            <w:r w:rsidRPr="00414995">
              <w:rPr>
                <w:rtl/>
                <w:lang w:eastAsia="he-IL"/>
              </w:rPr>
              <w:t>גורם במזיד למותו של אדם תוך ביצוע עבירה או תוך הכנות לביצועה או כדי להקל על ביצועה;</w:t>
            </w:r>
          </w:p>
        </w:tc>
      </w:tr>
      <w:tr w:rsidR="00B66E47" w:rsidRPr="00414995" w:rsidTr="00B66E47">
        <w:tc>
          <w:tcPr>
            <w:tcW w:w="283" w:type="dxa"/>
          </w:tcPr>
          <w:p w:rsidR="00B66E47" w:rsidRPr="00414995" w:rsidRDefault="00B66E47" w:rsidP="00B66E47">
            <w:pPr>
              <w:spacing w:before="0" w:after="0"/>
              <w:rPr>
                <w:rtl/>
                <w:lang w:eastAsia="he-IL"/>
              </w:rPr>
            </w:pPr>
            <w:r w:rsidRPr="00414995">
              <w:rPr>
                <w:rFonts w:hint="cs"/>
                <w:rtl/>
                <w:lang w:eastAsia="he-IL"/>
              </w:rPr>
              <w:t>(4)</w:t>
            </w:r>
          </w:p>
        </w:tc>
        <w:tc>
          <w:tcPr>
            <w:tcW w:w="7655" w:type="dxa"/>
          </w:tcPr>
          <w:p w:rsidR="00B66E47" w:rsidRPr="00414995" w:rsidRDefault="00B66E47" w:rsidP="00B66E47">
            <w:pPr>
              <w:spacing w:before="0" w:after="0"/>
              <w:rPr>
                <w:rtl/>
                <w:lang w:eastAsia="he-IL"/>
              </w:rPr>
            </w:pPr>
            <w:r w:rsidRPr="00414995">
              <w:rPr>
                <w:rtl/>
                <w:lang w:eastAsia="he-IL"/>
              </w:rPr>
              <w:t>גורם למותו של אדם כשנעברה עבירה אחרת, כדי להבטיח לעצמו, או למי שהשתתף בביצוע אותה עבירה, בריחה או הימלטות מעונש.</w:t>
            </w:r>
          </w:p>
        </w:tc>
      </w:tr>
    </w:tbl>
    <w:p w:rsidR="00B66E47" w:rsidRPr="00414995" w:rsidRDefault="00814C1E" w:rsidP="00CC38DC">
      <w:pPr>
        <w:rPr>
          <w:rtl/>
          <w:lang w:eastAsia="he-IL"/>
        </w:rPr>
      </w:pPr>
      <w:r w:rsidRPr="00414995">
        <w:rPr>
          <w:rFonts w:hint="cs"/>
          <w:rtl/>
          <w:lang w:eastAsia="he-IL"/>
        </w:rPr>
        <w:t>סעיף 6 ל</w:t>
      </w:r>
      <w:r w:rsidR="00B66E47" w:rsidRPr="00414995">
        <w:rPr>
          <w:rFonts w:hint="cs"/>
          <w:rtl/>
          <w:lang w:eastAsia="he-IL"/>
        </w:rPr>
        <w:t>הצעת החוק מבקש ל</w:t>
      </w:r>
      <w:r w:rsidR="000929BB">
        <w:rPr>
          <w:rFonts w:hint="cs"/>
          <w:rtl/>
          <w:lang w:eastAsia="he-IL"/>
        </w:rPr>
        <w:t>שנות מן הדין הקיים, הן בהרחבתה של רשימת הנסיבות שבהתקיי</w:t>
      </w:r>
      <w:r w:rsidR="007A29E4">
        <w:rPr>
          <w:rFonts w:hint="cs"/>
          <w:rtl/>
          <w:lang w:eastAsia="he-IL"/>
        </w:rPr>
        <w:t>ם כל אחת מהן י</w:t>
      </w:r>
      <w:r w:rsidR="000929BB">
        <w:rPr>
          <w:rFonts w:hint="cs"/>
          <w:rtl/>
          <w:lang w:eastAsia="he-IL"/>
        </w:rPr>
        <w:t xml:space="preserve">וטל </w:t>
      </w:r>
      <w:r w:rsidR="007A29E4">
        <w:rPr>
          <w:rFonts w:hint="cs"/>
          <w:rtl/>
          <w:lang w:eastAsia="he-IL"/>
        </w:rPr>
        <w:t xml:space="preserve">על הרוצח </w:t>
      </w:r>
      <w:r w:rsidR="000929BB">
        <w:rPr>
          <w:rFonts w:hint="cs"/>
          <w:rtl/>
          <w:lang w:eastAsia="he-IL"/>
        </w:rPr>
        <w:t xml:space="preserve">עונש מאסר </w:t>
      </w:r>
      <w:r w:rsidR="007A29E4">
        <w:rPr>
          <w:rFonts w:hint="cs"/>
          <w:rtl/>
          <w:lang w:eastAsia="he-IL"/>
        </w:rPr>
        <w:t xml:space="preserve">עולם </w:t>
      </w:r>
      <w:r w:rsidR="000929BB">
        <w:rPr>
          <w:rFonts w:hint="cs"/>
          <w:rtl/>
          <w:lang w:eastAsia="he-IL"/>
        </w:rPr>
        <w:t xml:space="preserve">חובה, הן בהשמטתה של הנסיבה שבס"ק (1) לחוק העונשין, והן בניסוח מחדש של הנסיבות </w:t>
      </w:r>
      <w:r w:rsidR="007A29E4">
        <w:rPr>
          <w:rFonts w:hint="cs"/>
          <w:rtl/>
          <w:lang w:eastAsia="he-IL"/>
        </w:rPr>
        <w:t>המחמירות שבס"ק (2) עד (4)</w:t>
      </w:r>
      <w:r w:rsidR="000929BB">
        <w:rPr>
          <w:rFonts w:hint="cs"/>
          <w:rtl/>
          <w:lang w:eastAsia="he-IL"/>
        </w:rPr>
        <w:t>.</w:t>
      </w:r>
      <w:r w:rsidR="00CC38DC">
        <w:rPr>
          <w:rStyle w:val="a7"/>
          <w:rtl/>
          <w:lang w:eastAsia="he-IL"/>
        </w:rPr>
        <w:footnoteReference w:id="67"/>
      </w:r>
      <w:r w:rsidR="000929BB">
        <w:rPr>
          <w:rFonts w:hint="cs"/>
          <w:rtl/>
          <w:lang w:eastAsia="he-IL"/>
        </w:rPr>
        <w:t xml:space="preserve"> </w:t>
      </w:r>
    </w:p>
    <w:p w:rsidR="00C34183" w:rsidRPr="00414995" w:rsidRDefault="00C34183" w:rsidP="009F41AE">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 xml:space="preserve">כללי </w:t>
      </w:r>
    </w:p>
    <w:p w:rsidR="00C34183" w:rsidRPr="00414995" w:rsidRDefault="00C37B8F" w:rsidP="00C37B8F">
      <w:pPr>
        <w:rPr>
          <w:rtl/>
          <w:lang w:eastAsia="he-IL"/>
        </w:rPr>
      </w:pPr>
      <w:r w:rsidRPr="00414995">
        <w:rPr>
          <w:rFonts w:hint="cs"/>
          <w:rtl/>
          <w:lang w:eastAsia="he-IL"/>
        </w:rPr>
        <w:t xml:space="preserve">הרמב"ם מנה </w:t>
      </w:r>
      <w:r w:rsidR="00C34183" w:rsidRPr="00414995">
        <w:rPr>
          <w:rFonts w:hint="cs"/>
          <w:rtl/>
          <w:lang w:eastAsia="he-IL"/>
        </w:rPr>
        <w:t xml:space="preserve">ארבעה שיקולים המצדיקים החמרה בעונשו של עבריין, על פי דין התורה </w:t>
      </w:r>
      <w:r w:rsidR="00C34183" w:rsidRPr="00414995">
        <w:rPr>
          <w:rtl/>
          <w:lang w:eastAsia="he-IL"/>
        </w:rPr>
        <w:t>–</w:t>
      </w:r>
      <w:r w:rsidR="00C34183" w:rsidRPr="00414995">
        <w:rPr>
          <w:rFonts w:hint="cs"/>
          <w:rtl/>
          <w:lang w:eastAsia="he-IL"/>
        </w:rPr>
        <w:t xml:space="preserve"> </w:t>
      </w:r>
    </w:p>
    <w:p w:rsidR="0079121A" w:rsidRPr="00414995" w:rsidRDefault="0079121A" w:rsidP="0079121A">
      <w:pPr>
        <w:spacing w:before="0" w:after="0"/>
        <w:ind w:left="567" w:right="567"/>
        <w:rPr>
          <w:rFonts w:eastAsia="Times New Roman"/>
          <w:b/>
          <w:bCs/>
          <w:color w:val="000000"/>
          <w:rtl/>
        </w:rPr>
      </w:pPr>
      <w:r w:rsidRPr="00414995">
        <w:rPr>
          <w:rFonts w:eastAsia="Times New Roman" w:hint="cs"/>
          <w:color w:val="000000"/>
          <w:rtl/>
        </w:rPr>
        <w:t xml:space="preserve">דע שגודל העונש וחומרת הכאבתו או קטנותו והקלוּת לשׂאת אותו הם בהתחשב בארבעה דברים. </w:t>
      </w:r>
    </w:p>
    <w:p w:rsidR="0079121A" w:rsidRPr="00414995" w:rsidRDefault="0079121A" w:rsidP="0079121A">
      <w:pPr>
        <w:spacing w:before="0" w:after="0"/>
        <w:ind w:left="567" w:right="567"/>
        <w:rPr>
          <w:rFonts w:eastAsia="Times New Roman"/>
          <w:color w:val="000000"/>
          <w:rtl/>
        </w:rPr>
      </w:pPr>
      <w:r w:rsidRPr="00414995">
        <w:rPr>
          <w:rFonts w:eastAsia="Times New Roman" w:hint="eastAsia"/>
          <w:color w:val="000000"/>
          <w:rtl/>
        </w:rPr>
        <w:t>הראשון</w:t>
      </w:r>
      <w:r w:rsidRPr="00414995">
        <w:rPr>
          <w:rFonts w:eastAsia="Times New Roman" w:hint="cs"/>
          <w:color w:val="000000"/>
          <w:rtl/>
        </w:rPr>
        <w:t xml:space="preserve"> </w:t>
      </w:r>
      <w:r w:rsidRPr="00414995">
        <w:rPr>
          <w:rFonts w:eastAsia="Times New Roman" w:hint="eastAsia"/>
          <w:b/>
          <w:bCs/>
          <w:color w:val="000000"/>
          <w:rtl/>
        </w:rPr>
        <w:t>חומרת</w:t>
      </w:r>
      <w:r w:rsidRPr="00414995">
        <w:rPr>
          <w:rFonts w:eastAsia="Times New Roman"/>
          <w:b/>
          <w:bCs/>
          <w:color w:val="000000"/>
          <w:rtl/>
        </w:rPr>
        <w:t xml:space="preserve"> </w:t>
      </w:r>
      <w:r w:rsidRPr="00414995">
        <w:rPr>
          <w:rFonts w:eastAsia="Times New Roman" w:hint="eastAsia"/>
          <w:b/>
          <w:bCs/>
          <w:color w:val="000000"/>
          <w:rtl/>
        </w:rPr>
        <w:t>הפשע</w:t>
      </w:r>
      <w:r w:rsidRPr="00414995">
        <w:rPr>
          <w:rFonts w:eastAsia="Times New Roman" w:hint="cs"/>
          <w:color w:val="000000"/>
          <w:rtl/>
        </w:rPr>
        <w:t xml:space="preserve">. כי המעשׂים שנוצר מהם קלקול גדול עונשם חמוּר, והמעשׂים שנוצר מהם קלקול פעוט ומועט עונשם קל. </w:t>
      </w:r>
    </w:p>
    <w:p w:rsidR="0079121A" w:rsidRPr="00414995" w:rsidRDefault="0079121A" w:rsidP="0079121A">
      <w:pPr>
        <w:spacing w:before="0" w:after="0"/>
        <w:ind w:left="567" w:right="567"/>
        <w:rPr>
          <w:rFonts w:eastAsia="Times New Roman"/>
          <w:color w:val="000000"/>
          <w:rtl/>
        </w:rPr>
      </w:pPr>
      <w:r w:rsidRPr="00414995">
        <w:rPr>
          <w:rFonts w:eastAsia="Times New Roman" w:hint="eastAsia"/>
          <w:color w:val="000000"/>
          <w:rtl/>
        </w:rPr>
        <w:t>השני</w:t>
      </w:r>
      <w:r w:rsidRPr="00414995">
        <w:rPr>
          <w:rFonts w:eastAsia="Times New Roman" w:hint="cs"/>
          <w:color w:val="000000"/>
          <w:rtl/>
        </w:rPr>
        <w:t xml:space="preserve"> </w:t>
      </w:r>
      <w:r w:rsidRPr="00414995">
        <w:rPr>
          <w:rFonts w:eastAsia="Times New Roman" w:hint="eastAsia"/>
          <w:b/>
          <w:bCs/>
          <w:color w:val="000000"/>
          <w:rtl/>
        </w:rPr>
        <w:t>תדירות</w:t>
      </w:r>
      <w:r w:rsidRPr="00414995">
        <w:rPr>
          <w:rFonts w:eastAsia="Times New Roman"/>
          <w:b/>
          <w:bCs/>
          <w:color w:val="000000"/>
          <w:rtl/>
        </w:rPr>
        <w:t xml:space="preserve"> </w:t>
      </w:r>
      <w:r w:rsidRPr="00414995">
        <w:rPr>
          <w:rFonts w:eastAsia="Times New Roman" w:hint="eastAsia"/>
          <w:b/>
          <w:bCs/>
          <w:color w:val="000000"/>
          <w:rtl/>
        </w:rPr>
        <w:t>האירוע</w:t>
      </w:r>
      <w:r w:rsidRPr="00414995">
        <w:rPr>
          <w:rFonts w:eastAsia="Times New Roman" w:hint="cs"/>
          <w:color w:val="000000"/>
          <w:rtl/>
        </w:rPr>
        <w:t xml:space="preserve">. כי יש למנוע בעונש חמוּר דבר הקורה לעתים תדירות יותר. ואילו עונש קל יספיק כדי למנוע דבר הקורה לעתים רחוקות מכיוון שהוא קורה לעתים רחוקות. </w:t>
      </w:r>
    </w:p>
    <w:p w:rsidR="0079121A" w:rsidRPr="00414995" w:rsidRDefault="0079121A" w:rsidP="0079121A">
      <w:pPr>
        <w:spacing w:before="0" w:after="0"/>
        <w:ind w:left="567" w:right="567"/>
        <w:rPr>
          <w:rFonts w:eastAsia="Times New Roman"/>
          <w:b/>
          <w:bCs/>
          <w:color w:val="000000"/>
          <w:rtl/>
        </w:rPr>
      </w:pPr>
      <w:r w:rsidRPr="00414995">
        <w:rPr>
          <w:rFonts w:eastAsia="Times New Roman" w:hint="eastAsia"/>
          <w:color w:val="000000"/>
          <w:rtl/>
        </w:rPr>
        <w:t>השלישי</w:t>
      </w:r>
      <w:r w:rsidRPr="00414995">
        <w:rPr>
          <w:rFonts w:eastAsia="Times New Roman" w:hint="cs"/>
          <w:color w:val="000000"/>
          <w:rtl/>
        </w:rPr>
        <w:t xml:space="preserve"> הוא </w:t>
      </w:r>
      <w:r w:rsidRPr="00414995">
        <w:rPr>
          <w:rFonts w:eastAsia="Times New Roman" w:hint="eastAsia"/>
          <w:b/>
          <w:bCs/>
          <w:color w:val="000000"/>
          <w:rtl/>
        </w:rPr>
        <w:t>חומרת</w:t>
      </w:r>
      <w:r w:rsidRPr="00414995">
        <w:rPr>
          <w:rFonts w:eastAsia="Times New Roman"/>
          <w:b/>
          <w:bCs/>
          <w:color w:val="000000"/>
          <w:rtl/>
        </w:rPr>
        <w:t xml:space="preserve"> </w:t>
      </w:r>
      <w:r w:rsidRPr="00414995">
        <w:rPr>
          <w:rFonts w:eastAsia="Times New Roman" w:hint="eastAsia"/>
          <w:b/>
          <w:bCs/>
          <w:color w:val="000000"/>
          <w:rtl/>
        </w:rPr>
        <w:t>ההתפתות</w:t>
      </w:r>
      <w:r w:rsidRPr="00414995">
        <w:rPr>
          <w:rFonts w:eastAsia="Times New Roman"/>
          <w:b/>
          <w:bCs/>
          <w:color w:val="000000"/>
          <w:rtl/>
        </w:rPr>
        <w:t xml:space="preserve"> </w:t>
      </w:r>
      <w:r w:rsidRPr="00414995">
        <w:rPr>
          <w:rFonts w:eastAsia="Times New Roman" w:hint="eastAsia"/>
          <w:b/>
          <w:bCs/>
          <w:color w:val="000000"/>
          <w:rtl/>
        </w:rPr>
        <w:t>לדבר</w:t>
      </w:r>
      <w:r w:rsidRPr="00414995">
        <w:rPr>
          <w:rFonts w:eastAsia="Times New Roman" w:hint="cs"/>
          <w:color w:val="000000"/>
          <w:rtl/>
        </w:rPr>
        <w:t>. כי מדבר שהאדם מתפתה לעשׂותו - או מפני שהתאווה מגרה אותו מאוד לעשׂותו, או מפני שהוא רגיל מאוד לעשׂותו, או מפני שקשה מאוד לא לעשׂותו - הוא לא יימנע אלא אם כן צפוי לו דבר חמור.</w:t>
      </w:r>
      <w:r w:rsidRPr="00414995">
        <w:rPr>
          <w:rStyle w:val="a7"/>
          <w:rtl/>
          <w:lang w:eastAsia="he-IL"/>
        </w:rPr>
        <w:t xml:space="preserve"> </w:t>
      </w:r>
      <w:bookmarkStart w:id="4" w:name="_Ref455935436"/>
      <w:r w:rsidRPr="00414995">
        <w:rPr>
          <w:rStyle w:val="a7"/>
          <w:rtl/>
          <w:lang w:eastAsia="he-IL"/>
        </w:rPr>
        <w:footnoteReference w:id="68"/>
      </w:r>
      <w:bookmarkEnd w:id="4"/>
      <w:r w:rsidRPr="00414995">
        <w:rPr>
          <w:rFonts w:eastAsia="Times New Roman" w:hint="cs"/>
          <w:color w:val="000000"/>
          <w:rtl/>
        </w:rPr>
        <w:t xml:space="preserve"> </w:t>
      </w:r>
    </w:p>
    <w:p w:rsidR="0079121A" w:rsidRPr="00414995" w:rsidRDefault="0079121A" w:rsidP="0079121A">
      <w:pPr>
        <w:spacing w:before="0" w:after="0"/>
        <w:ind w:left="567" w:right="567"/>
        <w:rPr>
          <w:rtl/>
          <w:lang w:eastAsia="he-IL"/>
        </w:rPr>
      </w:pPr>
      <w:r w:rsidRPr="00414995">
        <w:rPr>
          <w:rFonts w:eastAsia="Times New Roman" w:hint="eastAsia"/>
          <w:color w:val="000000"/>
          <w:rtl/>
        </w:rPr>
        <w:lastRenderedPageBreak/>
        <w:t>הרביעי</w:t>
      </w:r>
      <w:r w:rsidRPr="00414995">
        <w:rPr>
          <w:rFonts w:eastAsia="Times New Roman" w:hint="cs"/>
          <w:color w:val="000000"/>
          <w:rtl/>
        </w:rPr>
        <w:t xml:space="preserve"> הוא </w:t>
      </w:r>
      <w:r w:rsidRPr="00414995">
        <w:rPr>
          <w:rFonts w:eastAsia="Times New Roman" w:hint="eastAsia"/>
          <w:b/>
          <w:bCs/>
          <w:color w:val="000000"/>
          <w:rtl/>
        </w:rPr>
        <w:t>הקלות</w:t>
      </w:r>
      <w:r w:rsidRPr="00414995">
        <w:rPr>
          <w:rFonts w:eastAsia="Times New Roman"/>
          <w:b/>
          <w:bCs/>
          <w:color w:val="000000"/>
          <w:rtl/>
        </w:rPr>
        <w:t xml:space="preserve"> </w:t>
      </w:r>
      <w:r w:rsidRPr="00414995">
        <w:rPr>
          <w:rFonts w:eastAsia="Times New Roman" w:hint="eastAsia"/>
          <w:b/>
          <w:bCs/>
          <w:color w:val="000000"/>
          <w:rtl/>
        </w:rPr>
        <w:t>לבצע</w:t>
      </w:r>
      <w:r w:rsidRPr="00414995">
        <w:rPr>
          <w:rFonts w:eastAsia="Times New Roman"/>
          <w:b/>
          <w:bCs/>
          <w:color w:val="000000"/>
          <w:rtl/>
        </w:rPr>
        <w:t xml:space="preserve"> </w:t>
      </w:r>
      <w:r w:rsidRPr="00414995">
        <w:rPr>
          <w:rFonts w:eastAsia="Times New Roman" w:hint="eastAsia"/>
          <w:b/>
          <w:bCs/>
          <w:color w:val="000000"/>
          <w:rtl/>
        </w:rPr>
        <w:t>את</w:t>
      </w:r>
      <w:r w:rsidRPr="00414995">
        <w:rPr>
          <w:rFonts w:eastAsia="Times New Roman"/>
          <w:b/>
          <w:bCs/>
          <w:color w:val="000000"/>
          <w:rtl/>
        </w:rPr>
        <w:t xml:space="preserve"> </w:t>
      </w:r>
      <w:r w:rsidRPr="00414995">
        <w:rPr>
          <w:rFonts w:eastAsia="Times New Roman" w:hint="eastAsia"/>
          <w:b/>
          <w:bCs/>
          <w:color w:val="000000"/>
          <w:rtl/>
        </w:rPr>
        <w:t>המעשׂה</w:t>
      </w:r>
      <w:r w:rsidRPr="00414995">
        <w:rPr>
          <w:rFonts w:eastAsia="Times New Roman" w:hint="cs"/>
          <w:color w:val="000000"/>
          <w:rtl/>
        </w:rPr>
        <w:t xml:space="preserve"> הזה בהיחבא ובסתר, באופן שאחרים לא ירגישו בו. להרתיע מזה ניתן רק בעונש כבד וחמור.</w:t>
      </w:r>
      <w:r w:rsidRPr="00414995">
        <w:rPr>
          <w:rStyle w:val="a7"/>
          <w:rtl/>
          <w:lang w:eastAsia="he-IL"/>
        </w:rPr>
        <w:footnoteReference w:id="69"/>
      </w:r>
    </w:p>
    <w:p w:rsidR="00C34183" w:rsidRPr="00414995" w:rsidRDefault="00C34183" w:rsidP="00C34183">
      <w:pPr>
        <w:rPr>
          <w:rtl/>
          <w:lang w:eastAsia="he-IL"/>
        </w:rPr>
      </w:pPr>
      <w:r w:rsidRPr="00414995">
        <w:rPr>
          <w:rFonts w:hint="cs"/>
          <w:rtl/>
          <w:lang w:eastAsia="he-IL"/>
        </w:rPr>
        <w:t>השיקול הראשון הוא שיקול של גמול, ולפיו, יש להתאים את העונש לרמת הפגיעה שנגרמה ליחיד או לציבור, עקב ביצוע מעשה העבירה.</w:t>
      </w:r>
    </w:p>
    <w:p w:rsidR="00C34183" w:rsidRPr="00414995" w:rsidRDefault="00C34183" w:rsidP="004C17BE">
      <w:pPr>
        <w:rPr>
          <w:rtl/>
          <w:lang w:eastAsia="he-IL"/>
        </w:rPr>
      </w:pPr>
      <w:r w:rsidRPr="00414995">
        <w:rPr>
          <w:rFonts w:hint="cs"/>
          <w:rtl/>
          <w:lang w:eastAsia="he-IL"/>
        </w:rPr>
        <w:t>שלושת השיקולים הבאים מבוססים על הצורך להרתיע עבריינים פוטנציאליים מפני ביצוע עבירות בעתיד</w:t>
      </w:r>
      <w:r w:rsidR="004C17BE" w:rsidRPr="00414995">
        <w:rPr>
          <w:rFonts w:hint="cs"/>
          <w:rtl/>
          <w:lang w:eastAsia="he-IL"/>
        </w:rPr>
        <w:t>, בהתחשב בשכיחותה של העבירה, בפיתוי לבצעה או בקלות ביצועה</w:t>
      </w:r>
      <w:r w:rsidRPr="00414995">
        <w:rPr>
          <w:rFonts w:hint="cs"/>
          <w:rtl/>
          <w:lang w:eastAsia="he-IL"/>
        </w:rPr>
        <w:t xml:space="preserve">. שיקולים מסוג זה </w:t>
      </w:r>
      <w:r w:rsidR="006C09D2" w:rsidRPr="00414995">
        <w:rPr>
          <w:rFonts w:hint="cs"/>
          <w:rtl/>
          <w:lang w:eastAsia="he-IL"/>
        </w:rPr>
        <w:t xml:space="preserve">משתנים בהתאם למקום, לשעה, לזהותו של העבריין ולאווירה הציבורית. בשל כך, נראה שנכון יותר להותירם לשיקול הדעת של בתי המשפט. </w:t>
      </w:r>
    </w:p>
    <w:p w:rsidR="00B66E47" w:rsidRPr="00414995" w:rsidRDefault="00B66E47" w:rsidP="00B66E47">
      <w:pPr>
        <w:pStyle w:val="1"/>
        <w:numPr>
          <w:ilvl w:val="1"/>
          <w:numId w:val="17"/>
        </w:numPr>
        <w:bidi/>
        <w:spacing w:after="120"/>
        <w:ind w:left="788" w:hanging="431"/>
        <w:rPr>
          <w:rFonts w:ascii="Times New Roman" w:hAnsi="Times New Roman"/>
          <w:b/>
          <w:kern w:val="0"/>
          <w:sz w:val="26"/>
          <w:szCs w:val="26"/>
          <w:lang w:eastAsia="he-IL"/>
        </w:rPr>
      </w:pPr>
      <w:r w:rsidRPr="00414995">
        <w:rPr>
          <w:rFonts w:ascii="Times New Roman" w:hAnsi="Times New Roman"/>
          <w:b/>
          <w:kern w:val="0"/>
          <w:sz w:val="26"/>
          <w:szCs w:val="26"/>
          <w:rtl/>
          <w:lang w:eastAsia="he-IL"/>
        </w:rPr>
        <w:t xml:space="preserve">מעשה </w:t>
      </w:r>
      <w:r w:rsidRPr="00414995">
        <w:rPr>
          <w:rFonts w:ascii="Times New Roman" w:hAnsi="Times New Roman" w:hint="cs"/>
          <w:b/>
          <w:kern w:val="0"/>
          <w:sz w:val="26"/>
          <w:szCs w:val="26"/>
          <w:rtl/>
          <w:lang w:eastAsia="he-IL"/>
        </w:rPr>
        <w:t>"</w:t>
      </w:r>
      <w:r w:rsidRPr="00414995">
        <w:rPr>
          <w:rFonts w:ascii="Times New Roman" w:hAnsi="Times New Roman"/>
          <w:b/>
          <w:kern w:val="0"/>
          <w:sz w:val="26"/>
          <w:szCs w:val="26"/>
          <w:rtl/>
          <w:lang w:eastAsia="he-IL"/>
        </w:rPr>
        <w:t>לאחר תכנון או לאחר הליך ממשי</w:t>
      </w:r>
      <w:r w:rsidRPr="00414995">
        <w:rPr>
          <w:rFonts w:ascii="Times New Roman" w:hAnsi="Times New Roman" w:hint="cs"/>
          <w:b/>
          <w:kern w:val="0"/>
          <w:sz w:val="26"/>
          <w:szCs w:val="26"/>
          <w:rtl/>
          <w:lang w:eastAsia="he-IL"/>
        </w:rPr>
        <w:t xml:space="preserve"> </w:t>
      </w:r>
      <w:r w:rsidRPr="00414995">
        <w:rPr>
          <w:rFonts w:ascii="Times New Roman" w:hAnsi="Times New Roman"/>
          <w:b/>
          <w:kern w:val="0"/>
          <w:sz w:val="26"/>
          <w:szCs w:val="26"/>
          <w:rtl/>
          <w:lang w:eastAsia="he-IL"/>
        </w:rPr>
        <w:t>של שקילה וגיבוש החלטה להמית</w:t>
      </w:r>
      <w:r w:rsidRPr="00414995">
        <w:rPr>
          <w:rFonts w:ascii="Times New Roman" w:hAnsi="Times New Roman" w:hint="cs"/>
          <w:b/>
          <w:kern w:val="0"/>
          <w:sz w:val="26"/>
          <w:szCs w:val="26"/>
          <w:rtl/>
          <w:lang w:eastAsia="he-IL"/>
        </w:rPr>
        <w:t>"</w:t>
      </w:r>
    </w:p>
    <w:p w:rsidR="00B81982" w:rsidRPr="00414995" w:rsidRDefault="00B81982" w:rsidP="00B81982">
      <w:pPr>
        <w:rPr>
          <w:rtl/>
          <w:lang w:eastAsia="he-IL"/>
        </w:rPr>
      </w:pPr>
      <w:r w:rsidRPr="00414995">
        <w:rPr>
          <w:rtl/>
          <w:lang w:eastAsia="he-IL"/>
        </w:rPr>
        <w:t>סעיף 300(א)(2) לחוק העונשין</w:t>
      </w:r>
      <w:r w:rsidRPr="00414995">
        <w:rPr>
          <w:rFonts w:hint="cs"/>
          <w:rtl/>
          <w:lang w:eastAsia="he-IL"/>
        </w:rPr>
        <w:t xml:space="preserve"> קובע ש</w:t>
      </w:r>
      <w:r w:rsidRPr="00414995">
        <w:rPr>
          <w:rtl/>
          <w:lang w:eastAsia="he-IL"/>
        </w:rPr>
        <w:t xml:space="preserve">דינו של הגורם למותו של הזולת בכוונה תחילה </w:t>
      </w:r>
      <w:r w:rsidRPr="00414995">
        <w:rPr>
          <w:rFonts w:hint="cs"/>
          <w:rtl/>
          <w:lang w:eastAsia="he-IL"/>
        </w:rPr>
        <w:t xml:space="preserve">הוא </w:t>
      </w:r>
      <w:r w:rsidRPr="00414995">
        <w:rPr>
          <w:rtl/>
          <w:lang w:eastAsia="he-IL"/>
        </w:rPr>
        <w:t>"מאסר עולם</w:t>
      </w:r>
      <w:r w:rsidRPr="00414995">
        <w:rPr>
          <w:rFonts w:hint="cs"/>
          <w:rtl/>
          <w:lang w:eastAsia="he-IL"/>
        </w:rPr>
        <w:t>,</w:t>
      </w:r>
      <w:r w:rsidRPr="00414995">
        <w:rPr>
          <w:rtl/>
          <w:lang w:eastAsia="he-IL"/>
        </w:rPr>
        <w:t xml:space="preserve"> ועונש זה בלבד". סעיף 301(א) לחוק קובע</w:t>
      </w:r>
      <w:r w:rsidRPr="00414995">
        <w:rPr>
          <w:rFonts w:hint="cs"/>
          <w:rtl/>
          <w:lang w:eastAsia="he-IL"/>
        </w:rPr>
        <w:t>,</w:t>
      </w:r>
      <w:r w:rsidRPr="00414995">
        <w:rPr>
          <w:rtl/>
          <w:lang w:eastAsia="he-IL"/>
        </w:rPr>
        <w:t xml:space="preserve"> שהמתת אדם בכוונה תחילה משמעה שהגורם למוות "החליט להמית, והמיתו בדם קר, בלי שקדמה התגרות בתכוף למעשה, בנסיבות שבהן יכול לחשוב ולהבין את תוצאות מעשיו, ולאחר שהכין עצמו להמית אותו או שהכין מכשיר שבו המית אותו".</w:t>
      </w:r>
      <w:r w:rsidRPr="00414995">
        <w:rPr>
          <w:rFonts w:hint="cs"/>
          <w:rtl/>
          <w:lang w:eastAsia="he-IL"/>
        </w:rPr>
        <w:t xml:space="preserve"> </w:t>
      </w:r>
    </w:p>
    <w:p w:rsidR="00AA7B1F" w:rsidRPr="00414995" w:rsidRDefault="00FD43EE" w:rsidP="00D35152">
      <w:pPr>
        <w:rPr>
          <w:rtl/>
          <w:lang w:eastAsia="he-IL"/>
        </w:rPr>
      </w:pPr>
      <w:r w:rsidRPr="00414995">
        <w:rPr>
          <w:rFonts w:hint="cs"/>
          <w:rtl/>
          <w:lang w:eastAsia="he-IL"/>
        </w:rPr>
        <w:t xml:space="preserve">על פי הפסיקה, </w:t>
      </w:r>
      <w:r w:rsidR="008E65A4" w:rsidRPr="00414995">
        <w:rPr>
          <w:rFonts w:hint="cs"/>
          <w:rtl/>
          <w:lang w:eastAsia="he-IL"/>
        </w:rPr>
        <w:t xml:space="preserve">יסוד ה"כוונה תחילה" </w:t>
      </w:r>
      <w:r w:rsidR="00B81982" w:rsidRPr="00414995">
        <w:rPr>
          <w:rFonts w:hint="cs"/>
          <w:rtl/>
          <w:lang w:eastAsia="he-IL"/>
        </w:rPr>
        <w:t>מ</w:t>
      </w:r>
      <w:r w:rsidR="008E65A4" w:rsidRPr="00414995">
        <w:rPr>
          <w:rFonts w:hint="cs"/>
          <w:rtl/>
          <w:lang w:eastAsia="he-IL"/>
        </w:rPr>
        <w:t>ורכב מ</w:t>
      </w:r>
      <w:r w:rsidR="00B81982" w:rsidRPr="00414995">
        <w:rPr>
          <w:rtl/>
          <w:lang w:eastAsia="he-IL"/>
        </w:rPr>
        <w:t xml:space="preserve">שלושה יסודות מצטברים: כוונה מיוחדת להמית את הקרבן </w:t>
      </w:r>
      <w:r w:rsidR="00B81982" w:rsidRPr="00414995">
        <w:rPr>
          <w:rFonts w:hint="cs"/>
          <w:rtl/>
          <w:lang w:eastAsia="he-IL"/>
        </w:rPr>
        <w:t>(</w:t>
      </w:r>
      <w:r w:rsidR="00B81982" w:rsidRPr="00414995">
        <w:rPr>
          <w:rtl/>
          <w:lang w:eastAsia="he-IL"/>
        </w:rPr>
        <w:t xml:space="preserve">להבדיל מכוונה לגרום </w:t>
      </w:r>
      <w:r w:rsidR="00B81982" w:rsidRPr="00414995">
        <w:rPr>
          <w:rFonts w:hint="cs"/>
          <w:rtl/>
          <w:lang w:eastAsia="he-IL"/>
        </w:rPr>
        <w:t xml:space="preserve">לו </w:t>
      </w:r>
      <w:r w:rsidR="00B81982" w:rsidRPr="00414995">
        <w:rPr>
          <w:rtl/>
          <w:lang w:eastAsia="he-IL"/>
        </w:rPr>
        <w:t>"רק" פציעה חמורה</w:t>
      </w:r>
      <w:r w:rsidR="00B81982" w:rsidRPr="00414995">
        <w:rPr>
          <w:rFonts w:hint="cs"/>
          <w:rtl/>
          <w:lang w:eastAsia="he-IL"/>
        </w:rPr>
        <w:t>)</w:t>
      </w:r>
      <w:r w:rsidR="00B81982" w:rsidRPr="00414995">
        <w:rPr>
          <w:rStyle w:val="a7"/>
          <w:rtl/>
          <w:lang w:eastAsia="he-IL"/>
        </w:rPr>
        <w:footnoteReference w:id="70"/>
      </w:r>
      <w:r w:rsidR="00B81982" w:rsidRPr="00414995">
        <w:rPr>
          <w:rtl/>
          <w:lang w:eastAsia="he-IL"/>
        </w:rPr>
        <w:t xml:space="preserve">; ביצוע מעשה הכנה פיסי למימוש מעשה ההרג </w:t>
      </w:r>
      <w:r w:rsidR="00B81982" w:rsidRPr="00414995">
        <w:rPr>
          <w:rFonts w:hint="cs"/>
          <w:rtl/>
          <w:lang w:eastAsia="he-IL"/>
        </w:rPr>
        <w:t>(</w:t>
      </w:r>
      <w:r w:rsidR="00B81982" w:rsidRPr="00414995">
        <w:rPr>
          <w:rtl/>
          <w:lang w:eastAsia="he-IL"/>
        </w:rPr>
        <w:t>כגון הצטיידות בסכין או אקדח</w:t>
      </w:r>
      <w:r w:rsidR="00B81982" w:rsidRPr="00414995">
        <w:rPr>
          <w:rFonts w:hint="cs"/>
          <w:rtl/>
          <w:lang w:eastAsia="he-IL"/>
        </w:rPr>
        <w:t>)</w:t>
      </w:r>
      <w:r w:rsidR="00B81982" w:rsidRPr="00414995">
        <w:rPr>
          <w:rStyle w:val="a7"/>
          <w:rtl/>
          <w:lang w:eastAsia="he-IL"/>
        </w:rPr>
        <w:footnoteReference w:id="71"/>
      </w:r>
      <w:r w:rsidR="00B81982" w:rsidRPr="00414995">
        <w:rPr>
          <w:rtl/>
          <w:lang w:eastAsia="he-IL"/>
        </w:rPr>
        <w:t>; וגרימ</w:t>
      </w:r>
      <w:r w:rsidR="00B81982" w:rsidRPr="00414995">
        <w:rPr>
          <w:rFonts w:hint="cs"/>
          <w:rtl/>
          <w:lang w:eastAsia="he-IL"/>
        </w:rPr>
        <w:t>ה למותו של ה</w:t>
      </w:r>
      <w:r w:rsidR="00B81982" w:rsidRPr="00414995">
        <w:rPr>
          <w:rtl/>
          <w:lang w:eastAsia="he-IL"/>
        </w:rPr>
        <w:t>קרבן מבלי שקדמו לכך התגרות או קנטור</w:t>
      </w:r>
      <w:r w:rsidR="00B81982" w:rsidRPr="00414995">
        <w:rPr>
          <w:rFonts w:hint="cs"/>
          <w:rtl/>
          <w:lang w:eastAsia="he-IL"/>
        </w:rPr>
        <w:t>.</w:t>
      </w:r>
      <w:r w:rsidR="004B7D5F" w:rsidRPr="00414995">
        <w:rPr>
          <w:rStyle w:val="a7"/>
          <w:rtl/>
          <w:lang w:eastAsia="he-IL"/>
        </w:rPr>
        <w:footnoteReference w:id="72"/>
      </w:r>
      <w:r w:rsidR="008E65A4" w:rsidRPr="00414995">
        <w:rPr>
          <w:rFonts w:hint="cs"/>
          <w:rtl/>
          <w:lang w:eastAsia="he-IL"/>
        </w:rPr>
        <w:t xml:space="preserve"> </w:t>
      </w:r>
    </w:p>
    <w:p w:rsidR="00B81982" w:rsidRPr="00414995" w:rsidRDefault="00254A17" w:rsidP="00814C1E">
      <w:pPr>
        <w:rPr>
          <w:rtl/>
          <w:lang w:eastAsia="he-IL"/>
        </w:rPr>
      </w:pPr>
      <w:r w:rsidRPr="00414995">
        <w:rPr>
          <w:rFonts w:hint="cs"/>
          <w:rtl/>
          <w:lang w:eastAsia="he-IL"/>
        </w:rPr>
        <w:t>הצעת החוק מבקשת לה</w:t>
      </w:r>
      <w:r w:rsidR="00AA7B1F" w:rsidRPr="00414995">
        <w:rPr>
          <w:rFonts w:hint="cs"/>
          <w:rtl/>
          <w:lang w:eastAsia="he-IL"/>
        </w:rPr>
        <w:t xml:space="preserve">דגיש, שהעונש החמור של מאסר עולם חובה יוטל על מי שהמית </w:t>
      </w:r>
      <w:r w:rsidR="00BA71F9" w:rsidRPr="00414995">
        <w:rPr>
          <w:rFonts w:hint="cs"/>
          <w:rtl/>
          <w:lang w:eastAsia="he-IL"/>
        </w:rPr>
        <w:t>"</w:t>
      </w:r>
      <w:r w:rsidR="00BA71F9" w:rsidRPr="00414995">
        <w:rPr>
          <w:rtl/>
          <w:lang w:eastAsia="he-IL"/>
        </w:rPr>
        <w:t>לאחר תכנון או לאחר הליך ממשי</w:t>
      </w:r>
      <w:r w:rsidR="00BA71F9" w:rsidRPr="00414995">
        <w:rPr>
          <w:rFonts w:hint="cs"/>
          <w:rtl/>
          <w:lang w:eastAsia="he-IL"/>
        </w:rPr>
        <w:t xml:space="preserve"> </w:t>
      </w:r>
      <w:r w:rsidR="00BA71F9" w:rsidRPr="00414995">
        <w:rPr>
          <w:rtl/>
          <w:lang w:eastAsia="he-IL"/>
        </w:rPr>
        <w:t>של שקילה וגיבוש החלטה להמית</w:t>
      </w:r>
      <w:r w:rsidR="00BA71F9" w:rsidRPr="00414995">
        <w:rPr>
          <w:rFonts w:hint="cs"/>
          <w:rtl/>
          <w:lang w:eastAsia="he-IL"/>
        </w:rPr>
        <w:t>"</w:t>
      </w:r>
      <w:r w:rsidR="00AA7B1F" w:rsidRPr="00414995">
        <w:rPr>
          <w:rFonts w:hint="cs"/>
          <w:rtl/>
          <w:lang w:eastAsia="he-IL"/>
        </w:rPr>
        <w:t>.</w:t>
      </w:r>
      <w:r w:rsidRPr="00414995">
        <w:rPr>
          <w:rFonts w:hint="cs"/>
          <w:rtl/>
          <w:lang w:eastAsia="he-IL"/>
        </w:rPr>
        <w:t xml:space="preserve"> </w:t>
      </w:r>
      <w:r w:rsidR="00AA7B1F" w:rsidRPr="00414995">
        <w:rPr>
          <w:rFonts w:hint="cs"/>
          <w:rtl/>
          <w:lang w:eastAsia="he-IL"/>
        </w:rPr>
        <w:t xml:space="preserve">בכך, מבקשת הממשלה להגיב </w:t>
      </w:r>
      <w:r w:rsidRPr="00414995">
        <w:rPr>
          <w:rFonts w:hint="cs"/>
          <w:rtl/>
          <w:lang w:eastAsia="he-IL"/>
        </w:rPr>
        <w:t>לפסיקה ש</w:t>
      </w:r>
      <w:r w:rsidR="00792311" w:rsidRPr="00414995">
        <w:rPr>
          <w:rFonts w:hint="cs"/>
          <w:rtl/>
          <w:lang w:eastAsia="he-IL"/>
        </w:rPr>
        <w:t xml:space="preserve">צמצמה את </w:t>
      </w:r>
      <w:r w:rsidRPr="00414995">
        <w:rPr>
          <w:rtl/>
          <w:lang w:eastAsia="he-IL"/>
        </w:rPr>
        <w:t>יסודות ההכנה והעדר</w:t>
      </w:r>
      <w:r w:rsidRPr="00414995">
        <w:rPr>
          <w:rFonts w:hint="cs"/>
          <w:rtl/>
          <w:lang w:eastAsia="he-IL"/>
        </w:rPr>
        <w:t xml:space="preserve"> </w:t>
      </w:r>
      <w:r w:rsidRPr="00414995">
        <w:rPr>
          <w:rtl/>
          <w:lang w:eastAsia="he-IL"/>
        </w:rPr>
        <w:t>ההתגרות</w:t>
      </w:r>
      <w:r w:rsidR="00792311" w:rsidRPr="00414995">
        <w:rPr>
          <w:rFonts w:hint="cs"/>
          <w:rtl/>
          <w:lang w:eastAsia="he-IL"/>
        </w:rPr>
        <w:t xml:space="preserve"> שבהגדרת ה"כוונה תחילה</w:t>
      </w:r>
      <w:r w:rsidRPr="00414995">
        <w:rPr>
          <w:rFonts w:hint="cs"/>
          <w:rtl/>
          <w:lang w:eastAsia="he-IL"/>
        </w:rPr>
        <w:t>"</w:t>
      </w:r>
      <w:r w:rsidR="00792311" w:rsidRPr="00414995">
        <w:rPr>
          <w:rFonts w:hint="cs"/>
          <w:rtl/>
          <w:lang w:eastAsia="he-IL"/>
        </w:rPr>
        <w:t>,</w:t>
      </w:r>
      <w:r w:rsidRPr="00414995">
        <w:rPr>
          <w:rStyle w:val="a7"/>
          <w:rtl/>
          <w:lang w:eastAsia="he-IL"/>
        </w:rPr>
        <w:footnoteReference w:id="73"/>
      </w:r>
      <w:r w:rsidRPr="00414995">
        <w:rPr>
          <w:rtl/>
          <w:lang w:eastAsia="he-IL"/>
        </w:rPr>
        <w:t xml:space="preserve"> </w:t>
      </w:r>
      <w:r w:rsidR="00792311" w:rsidRPr="00414995">
        <w:rPr>
          <w:rFonts w:hint="cs"/>
          <w:rtl/>
          <w:lang w:eastAsia="he-IL"/>
        </w:rPr>
        <w:t xml:space="preserve">ובכך גרמה לכך שגם </w:t>
      </w:r>
      <w:r w:rsidRPr="00414995">
        <w:rPr>
          <w:rtl/>
          <w:lang w:eastAsia="he-IL"/>
        </w:rPr>
        <w:t>מקרים</w:t>
      </w:r>
      <w:r w:rsidRPr="00414995">
        <w:rPr>
          <w:rFonts w:hint="cs"/>
          <w:rtl/>
          <w:lang w:eastAsia="he-IL"/>
        </w:rPr>
        <w:t xml:space="preserve"> </w:t>
      </w:r>
      <w:r w:rsidRPr="00414995">
        <w:rPr>
          <w:rtl/>
          <w:lang w:eastAsia="he-IL"/>
        </w:rPr>
        <w:t>של המתה בכוונה שנוצרה באופן ספונטני, כגון לאחר</w:t>
      </w:r>
      <w:r w:rsidRPr="00414995">
        <w:rPr>
          <w:rFonts w:hint="cs"/>
          <w:rtl/>
          <w:lang w:eastAsia="he-IL"/>
        </w:rPr>
        <w:t xml:space="preserve"> </w:t>
      </w:r>
      <w:r w:rsidRPr="00414995">
        <w:rPr>
          <w:rtl/>
          <w:lang w:eastAsia="he-IL"/>
        </w:rPr>
        <w:t xml:space="preserve">קנטור סובייקטיבי ששלל תכנון ושקילה, </w:t>
      </w:r>
      <w:r w:rsidR="00792311" w:rsidRPr="00414995">
        <w:rPr>
          <w:rFonts w:hint="cs"/>
          <w:rtl/>
          <w:lang w:eastAsia="he-IL"/>
        </w:rPr>
        <w:t>הוגדרו כרצח בכוונה תחילה, על כל המשתמע מכך.</w:t>
      </w:r>
      <w:r w:rsidRPr="00414995">
        <w:rPr>
          <w:rStyle w:val="a7"/>
          <w:rtl/>
          <w:lang w:eastAsia="he-IL"/>
        </w:rPr>
        <w:footnoteReference w:id="74"/>
      </w:r>
      <w:r w:rsidR="00BA71F9" w:rsidRPr="00414995">
        <w:rPr>
          <w:rFonts w:hint="cs"/>
          <w:rtl/>
          <w:lang w:eastAsia="he-IL"/>
        </w:rPr>
        <w:t xml:space="preserve"> </w:t>
      </w:r>
    </w:p>
    <w:p w:rsidR="00BD40BD" w:rsidRPr="00414995" w:rsidRDefault="000F334A" w:rsidP="00E46258">
      <w:pPr>
        <w:rPr>
          <w:rtl/>
          <w:lang w:eastAsia="he-IL"/>
        </w:rPr>
      </w:pPr>
      <w:r w:rsidRPr="00414995">
        <w:rPr>
          <w:rFonts w:hint="cs"/>
          <w:rtl/>
          <w:lang w:eastAsia="he-IL"/>
        </w:rPr>
        <w:t xml:space="preserve">בתורה, ההבחנה בין רצח בשוגג לרצח במזיד מתוארת בלשון זו </w:t>
      </w:r>
      <w:r w:rsidRPr="00414995">
        <w:rPr>
          <w:rtl/>
          <w:lang w:eastAsia="he-IL"/>
        </w:rPr>
        <w:t>–</w:t>
      </w:r>
      <w:r w:rsidRPr="00414995">
        <w:rPr>
          <w:rFonts w:hint="cs"/>
          <w:rtl/>
          <w:lang w:eastAsia="he-IL"/>
        </w:rPr>
        <w:t xml:space="preserve"> </w:t>
      </w:r>
    </w:p>
    <w:p w:rsidR="000F334A" w:rsidRPr="00414995" w:rsidRDefault="000F334A" w:rsidP="00924EEC">
      <w:pPr>
        <w:spacing w:before="0" w:after="0"/>
        <w:ind w:left="567" w:right="567"/>
        <w:rPr>
          <w:rtl/>
          <w:lang w:eastAsia="he-IL"/>
        </w:rPr>
      </w:pPr>
      <w:r w:rsidRPr="00414995">
        <w:rPr>
          <w:rtl/>
          <w:lang w:eastAsia="he-IL"/>
        </w:rPr>
        <w:t xml:space="preserve">מַכֵּה אִישׁ וָמֵת מוֹת יוּמָת: </w:t>
      </w:r>
    </w:p>
    <w:p w:rsidR="000F334A" w:rsidRPr="00414995" w:rsidRDefault="000F334A" w:rsidP="00924EEC">
      <w:pPr>
        <w:spacing w:before="0" w:after="0"/>
        <w:ind w:left="567" w:right="567"/>
        <w:rPr>
          <w:rtl/>
          <w:lang w:eastAsia="he-IL"/>
        </w:rPr>
      </w:pPr>
      <w:r w:rsidRPr="00414995">
        <w:rPr>
          <w:rtl/>
          <w:lang w:eastAsia="he-IL"/>
        </w:rPr>
        <w:t xml:space="preserve">וַאֲשֶׁר לֹא צָדָה וְהָאֱלֹהִים אִנָּה לְיָדוֹ וְשַׂמְתִּי לְךָ מָקוֹם אֲשֶׁר יָנוּס שָׁמָּה: </w:t>
      </w:r>
    </w:p>
    <w:p w:rsidR="000F334A" w:rsidRPr="00414995" w:rsidRDefault="000F334A" w:rsidP="00924EEC">
      <w:pPr>
        <w:spacing w:before="0" w:after="0"/>
        <w:ind w:left="567" w:right="567"/>
        <w:rPr>
          <w:rtl/>
          <w:lang w:eastAsia="he-IL"/>
        </w:rPr>
      </w:pPr>
      <w:r w:rsidRPr="00414995">
        <w:rPr>
          <w:rtl/>
          <w:lang w:eastAsia="he-IL"/>
        </w:rPr>
        <w:lastRenderedPageBreak/>
        <w:t>וְכִי</w:t>
      </w:r>
      <w:r w:rsidRPr="00414995">
        <w:rPr>
          <w:rFonts w:hint="cs"/>
          <w:rtl/>
          <w:lang w:eastAsia="he-IL"/>
        </w:rPr>
        <w:t xml:space="preserve"> </w:t>
      </w:r>
      <w:r w:rsidRPr="00414995">
        <w:rPr>
          <w:rtl/>
          <w:lang w:eastAsia="he-IL"/>
        </w:rPr>
        <w:t>יָזִד אִישׁ עַל</w:t>
      </w:r>
      <w:r w:rsidRPr="00414995">
        <w:rPr>
          <w:rFonts w:hint="cs"/>
          <w:rtl/>
          <w:lang w:eastAsia="he-IL"/>
        </w:rPr>
        <w:t xml:space="preserve"> </w:t>
      </w:r>
      <w:r w:rsidRPr="00414995">
        <w:rPr>
          <w:rtl/>
          <w:lang w:eastAsia="he-IL"/>
        </w:rPr>
        <w:t>רֵעֵהוּ לְהָרְגוֹ בְעָרְמָה מֵעִם מִזְבְּחִי תִּקָּחֶנּוּ לָמוּת</w:t>
      </w:r>
      <w:r w:rsidRPr="00414995">
        <w:rPr>
          <w:rFonts w:hint="cs"/>
          <w:rtl/>
          <w:lang w:eastAsia="he-IL"/>
        </w:rPr>
        <w:t>.</w:t>
      </w:r>
      <w:bookmarkStart w:id="5" w:name="_Ref456610748"/>
      <w:r w:rsidR="004C17BE" w:rsidRPr="00414995">
        <w:rPr>
          <w:rStyle w:val="a7"/>
          <w:rtl/>
          <w:lang w:eastAsia="he-IL"/>
        </w:rPr>
        <w:footnoteReference w:id="75"/>
      </w:r>
      <w:bookmarkEnd w:id="5"/>
    </w:p>
    <w:p w:rsidR="000F334A" w:rsidRPr="00414995" w:rsidRDefault="000F334A" w:rsidP="000F334A">
      <w:pPr>
        <w:rPr>
          <w:rtl/>
          <w:lang w:eastAsia="he-IL"/>
        </w:rPr>
      </w:pPr>
      <w:r w:rsidRPr="007A29E4">
        <w:rPr>
          <w:rFonts w:hint="cs"/>
          <w:spacing w:val="-4"/>
          <w:rtl/>
          <w:lang w:eastAsia="he-IL"/>
        </w:rPr>
        <w:t>הפסוק</w:t>
      </w:r>
      <w:r w:rsidRPr="007A29E4">
        <w:rPr>
          <w:spacing w:val="-4"/>
          <w:rtl/>
          <w:lang w:eastAsia="he-IL"/>
        </w:rPr>
        <w:t xml:space="preserve"> הפותח מתאר את הרצח בזדון. </w:t>
      </w:r>
      <w:r w:rsidRPr="007A29E4">
        <w:rPr>
          <w:rFonts w:hint="cs"/>
          <w:spacing w:val="-4"/>
          <w:rtl/>
          <w:lang w:eastAsia="he-IL"/>
        </w:rPr>
        <w:t>הפסוק</w:t>
      </w:r>
      <w:r w:rsidRPr="007A29E4">
        <w:rPr>
          <w:spacing w:val="-4"/>
          <w:rtl/>
          <w:lang w:eastAsia="he-IL"/>
        </w:rPr>
        <w:t xml:space="preserve"> הבא אחריו מתאר את ההמתה שנעשתה בשגגה, שבעקבותיה גולה האדם שגרם למותו של אדם לעיר המקלט. הפסוק השלישי, לכאורה, חוזר אל הרצח בזדון, ומתאר רצח זה כהריגה "בערמה", אך לא ברור פשר ההוספה של "מעם מזבחי </w:t>
      </w:r>
      <w:r w:rsidRPr="007A29E4">
        <w:rPr>
          <w:rFonts w:hint="cs"/>
          <w:spacing w:val="-4"/>
          <w:rtl/>
          <w:lang w:eastAsia="he-IL"/>
        </w:rPr>
        <w:t>תקחנו</w:t>
      </w:r>
      <w:r w:rsidRPr="007A29E4">
        <w:rPr>
          <w:spacing w:val="-4"/>
          <w:rtl/>
          <w:lang w:eastAsia="he-IL"/>
        </w:rPr>
        <w:t xml:space="preserve"> למות</w:t>
      </w:r>
      <w:r w:rsidRPr="007A29E4">
        <w:rPr>
          <w:rFonts w:hint="cs"/>
          <w:spacing w:val="-4"/>
          <w:rtl/>
          <w:lang w:eastAsia="he-IL"/>
        </w:rPr>
        <w:t>"</w:t>
      </w:r>
      <w:r w:rsidRPr="00414995">
        <w:rPr>
          <w:rFonts w:hint="cs"/>
          <w:rtl/>
          <w:lang w:eastAsia="he-IL"/>
        </w:rPr>
        <w:t xml:space="preserve">. </w:t>
      </w:r>
    </w:p>
    <w:p w:rsidR="000F334A" w:rsidRPr="00414995" w:rsidRDefault="000F334A" w:rsidP="000F334A">
      <w:pPr>
        <w:rPr>
          <w:rtl/>
          <w:lang w:eastAsia="he-IL"/>
        </w:rPr>
      </w:pPr>
      <w:r w:rsidRPr="00414995">
        <w:rPr>
          <w:rFonts w:hint="cs"/>
          <w:rtl/>
          <w:lang w:eastAsia="he-IL"/>
        </w:rPr>
        <w:t xml:space="preserve">רבי יצחק עראמה (ספרד, המאה ה-15), מציע פרשנות מקורית </w:t>
      </w:r>
      <w:r w:rsidRPr="00414995">
        <w:rPr>
          <w:rtl/>
          <w:lang w:eastAsia="he-IL"/>
        </w:rPr>
        <w:t>–</w:t>
      </w:r>
      <w:r w:rsidRPr="00414995">
        <w:rPr>
          <w:rFonts w:hint="cs"/>
          <w:rtl/>
          <w:lang w:eastAsia="he-IL"/>
        </w:rPr>
        <w:t xml:space="preserve"> </w:t>
      </w:r>
    </w:p>
    <w:p w:rsidR="000F334A" w:rsidRPr="00414995" w:rsidRDefault="000F334A" w:rsidP="00924EEC">
      <w:pPr>
        <w:spacing w:before="0" w:after="0"/>
        <w:ind w:left="567" w:right="567"/>
        <w:rPr>
          <w:rtl/>
          <w:lang w:eastAsia="he-IL"/>
        </w:rPr>
      </w:pPr>
      <w:r w:rsidRPr="00414995">
        <w:rPr>
          <w:rtl/>
          <w:lang w:eastAsia="he-IL"/>
        </w:rPr>
        <w:t>לפי משמעות פשוטן של דברים יאמר</w:t>
      </w:r>
      <w:r w:rsidRPr="00414995">
        <w:rPr>
          <w:rFonts w:hint="cs"/>
          <w:rtl/>
          <w:lang w:eastAsia="he-IL"/>
        </w:rPr>
        <w:t>,</w:t>
      </w:r>
      <w:r w:rsidRPr="00414995">
        <w:rPr>
          <w:rtl/>
          <w:lang w:eastAsia="he-IL"/>
        </w:rPr>
        <w:t xml:space="preserve"> שאפי</w:t>
      </w:r>
      <w:r w:rsidRPr="00414995">
        <w:rPr>
          <w:rFonts w:hint="cs"/>
          <w:rtl/>
          <w:lang w:eastAsia="he-IL"/>
        </w:rPr>
        <w:t>לו</w:t>
      </w:r>
      <w:r w:rsidRPr="00414995">
        <w:rPr>
          <w:rtl/>
          <w:lang w:eastAsia="he-IL"/>
        </w:rPr>
        <w:t xml:space="preserve"> הרוצח הנמסר למית</w:t>
      </w:r>
      <w:r w:rsidRPr="00414995">
        <w:rPr>
          <w:rFonts w:hint="cs"/>
          <w:rtl/>
          <w:lang w:eastAsia="he-IL"/>
        </w:rPr>
        <w:t>ת</w:t>
      </w:r>
      <w:r w:rsidRPr="00414995">
        <w:rPr>
          <w:rtl/>
          <w:lang w:eastAsia="he-IL"/>
        </w:rPr>
        <w:t xml:space="preserve"> ב</w:t>
      </w:r>
      <w:r w:rsidRPr="00414995">
        <w:rPr>
          <w:rFonts w:hint="cs"/>
          <w:rtl/>
          <w:lang w:eastAsia="he-IL"/>
        </w:rPr>
        <w:t xml:space="preserve">ית דין, </w:t>
      </w:r>
      <w:r w:rsidRPr="00414995">
        <w:rPr>
          <w:rtl/>
          <w:lang w:eastAsia="he-IL"/>
        </w:rPr>
        <w:t>אם נזדמן לו העני</w:t>
      </w:r>
      <w:r w:rsidRPr="00414995">
        <w:rPr>
          <w:rFonts w:hint="cs"/>
          <w:rtl/>
          <w:lang w:eastAsia="he-IL"/>
        </w:rPr>
        <w:t>י</w:t>
      </w:r>
      <w:r w:rsidRPr="00414995">
        <w:rPr>
          <w:rtl/>
          <w:lang w:eastAsia="he-IL"/>
        </w:rPr>
        <w:t>ן ההוא פתאום</w:t>
      </w:r>
      <w:r w:rsidRPr="00414995">
        <w:rPr>
          <w:rFonts w:hint="cs"/>
          <w:rtl/>
          <w:lang w:eastAsia="he-IL"/>
        </w:rPr>
        <w:t>,</w:t>
      </w:r>
      <w:r w:rsidRPr="00414995">
        <w:rPr>
          <w:rtl/>
          <w:lang w:eastAsia="he-IL"/>
        </w:rPr>
        <w:t xml:space="preserve"> ובחמתו אשר בערה בו קבל ההתראה</w:t>
      </w:r>
      <w:r w:rsidRPr="00414995">
        <w:rPr>
          <w:rFonts w:hint="cs"/>
          <w:rtl/>
          <w:lang w:eastAsia="he-IL"/>
        </w:rPr>
        <w:t>,</w:t>
      </w:r>
      <w:r w:rsidRPr="00414995">
        <w:rPr>
          <w:rtl/>
          <w:lang w:eastAsia="he-IL"/>
        </w:rPr>
        <w:t xml:space="preserve"> ובפתע הכה</w:t>
      </w:r>
      <w:r w:rsidR="00C145E1" w:rsidRPr="00414995">
        <w:rPr>
          <w:rFonts w:hint="cs"/>
          <w:rtl/>
          <w:lang w:eastAsia="he-IL"/>
        </w:rPr>
        <w:t>,</w:t>
      </w:r>
      <w:r w:rsidRPr="00414995">
        <w:rPr>
          <w:rtl/>
          <w:lang w:eastAsia="he-IL"/>
        </w:rPr>
        <w:t xml:space="preserve"> שזה אם נמלט למזבח</w:t>
      </w:r>
      <w:r w:rsidR="00C145E1" w:rsidRPr="00414995">
        <w:rPr>
          <w:rFonts w:hint="cs"/>
          <w:rtl/>
          <w:lang w:eastAsia="he-IL"/>
        </w:rPr>
        <w:t>,</w:t>
      </w:r>
      <w:r w:rsidRPr="00414995">
        <w:rPr>
          <w:rtl/>
          <w:lang w:eastAsia="he-IL"/>
        </w:rPr>
        <w:t xml:space="preserve"> מזבח קולטו</w:t>
      </w:r>
      <w:r w:rsidR="00C145E1" w:rsidRPr="00414995">
        <w:rPr>
          <w:rFonts w:hint="cs"/>
          <w:rtl/>
          <w:lang w:eastAsia="he-IL"/>
        </w:rPr>
        <w:t>.</w:t>
      </w:r>
      <w:r w:rsidRPr="00414995">
        <w:rPr>
          <w:rtl/>
          <w:lang w:eastAsia="he-IL"/>
        </w:rPr>
        <w:t xml:space="preserve"> כי יש לו עדין שום טענה</w:t>
      </w:r>
      <w:r w:rsidR="00C145E1" w:rsidRPr="00414995">
        <w:rPr>
          <w:rFonts w:hint="cs"/>
          <w:rtl/>
          <w:lang w:eastAsia="he-IL"/>
        </w:rPr>
        <w:t>,</w:t>
      </w:r>
      <w:r w:rsidRPr="00414995">
        <w:rPr>
          <w:rtl/>
          <w:lang w:eastAsia="he-IL"/>
        </w:rPr>
        <w:t xml:space="preserve"> שלא היה במתון המחשבה והמתק העצה. אמנם אם היה צודהו ואורב בערמה ועצה חמוצה</w:t>
      </w:r>
      <w:r w:rsidR="00C145E1" w:rsidRPr="00414995">
        <w:rPr>
          <w:rFonts w:hint="cs"/>
          <w:rtl/>
          <w:lang w:eastAsia="he-IL"/>
        </w:rPr>
        <w:t xml:space="preserve"> [=שקולה],</w:t>
      </w:r>
      <w:r w:rsidRPr="00414995">
        <w:rPr>
          <w:rtl/>
          <w:lang w:eastAsia="he-IL"/>
        </w:rPr>
        <w:t xml:space="preserve"> אז אין לו שום טענה</w:t>
      </w:r>
      <w:r w:rsidR="00C145E1" w:rsidRPr="00414995">
        <w:rPr>
          <w:rFonts w:hint="cs"/>
          <w:rtl/>
          <w:lang w:eastAsia="he-IL"/>
        </w:rPr>
        <w:t>,</w:t>
      </w:r>
      <w:r w:rsidRPr="00414995">
        <w:rPr>
          <w:rtl/>
          <w:lang w:eastAsia="he-IL"/>
        </w:rPr>
        <w:t xml:space="preserve"> ואפי</w:t>
      </w:r>
      <w:r w:rsidR="00C145E1" w:rsidRPr="00414995">
        <w:rPr>
          <w:rFonts w:hint="cs"/>
          <w:rtl/>
          <w:lang w:eastAsia="he-IL"/>
        </w:rPr>
        <w:t>לו</w:t>
      </w:r>
      <w:r w:rsidRPr="00414995">
        <w:rPr>
          <w:rtl/>
          <w:lang w:eastAsia="he-IL"/>
        </w:rPr>
        <w:t xml:space="preserve"> מזבח אינו קולטו</w:t>
      </w:r>
      <w:r w:rsidR="00C145E1" w:rsidRPr="00414995">
        <w:rPr>
          <w:rFonts w:hint="cs"/>
          <w:rtl/>
          <w:lang w:eastAsia="he-IL"/>
        </w:rPr>
        <w:t>,</w:t>
      </w:r>
      <w:r w:rsidRPr="00414995">
        <w:rPr>
          <w:rtl/>
          <w:lang w:eastAsia="he-IL"/>
        </w:rPr>
        <w:t xml:space="preserve"> כי חשב מחשבות לשפוך דם נקי והוא יותר רע מהחיות המזיקות</w:t>
      </w:r>
      <w:r w:rsidR="00C145E1" w:rsidRPr="00414995">
        <w:rPr>
          <w:rFonts w:hint="cs"/>
          <w:rtl/>
          <w:lang w:eastAsia="he-IL"/>
        </w:rPr>
        <w:t>.</w:t>
      </w:r>
      <w:r w:rsidR="00C145E1" w:rsidRPr="00414995">
        <w:rPr>
          <w:rStyle w:val="a7"/>
          <w:rtl/>
          <w:lang w:eastAsia="he-IL"/>
        </w:rPr>
        <w:footnoteReference w:id="76"/>
      </w:r>
    </w:p>
    <w:p w:rsidR="00C145E1" w:rsidRPr="00414995" w:rsidRDefault="00C145E1" w:rsidP="00363611">
      <w:pPr>
        <w:rPr>
          <w:rtl/>
          <w:lang w:eastAsia="he-IL"/>
        </w:rPr>
      </w:pPr>
      <w:r w:rsidRPr="007A29E4">
        <w:rPr>
          <w:rFonts w:hint="cs"/>
          <w:spacing w:val="-2"/>
          <w:rtl/>
          <w:lang w:eastAsia="he-IL"/>
        </w:rPr>
        <w:t xml:space="preserve">לפי הצעה זו, עונשו של מי שתכנן את מעשה הרצח, ועבר הליך ממשי </w:t>
      </w:r>
      <w:r w:rsidRPr="007A29E4">
        <w:rPr>
          <w:spacing w:val="-2"/>
          <w:rtl/>
          <w:lang w:eastAsia="he-IL"/>
        </w:rPr>
        <w:t xml:space="preserve">של שקילה וגיבוש החלטה להמית, </w:t>
      </w:r>
      <w:r w:rsidRPr="007A29E4">
        <w:rPr>
          <w:rFonts w:hint="cs"/>
          <w:spacing w:val="-2"/>
          <w:rtl/>
          <w:lang w:eastAsia="he-IL"/>
        </w:rPr>
        <w:t>חמור</w:t>
      </w:r>
      <w:r w:rsidRPr="007A29E4">
        <w:rPr>
          <w:spacing w:val="-2"/>
          <w:rtl/>
          <w:lang w:eastAsia="he-IL"/>
        </w:rPr>
        <w:t xml:space="preserve"> </w:t>
      </w:r>
      <w:r w:rsidRPr="007A29E4">
        <w:rPr>
          <w:rFonts w:hint="cs"/>
          <w:spacing w:val="-2"/>
          <w:rtl/>
          <w:lang w:eastAsia="he-IL"/>
        </w:rPr>
        <w:t>מעונשו של מי שביצע את הרצח "פתאום, ובחמתו אשר בערה בו", ובשל כך, הגם שגם רוצח כאמור דינו מיתה, אם הצליח להימלט ולהיאחז בקרנות המזבח, "מזבח קולטו". זאת, בניגוד לרוצח שביצע את מעשה הרצח "במתון המחשבה והמתק העצה", ש"אפילו מזבח אינו קולטו</w:t>
      </w:r>
      <w:r w:rsidRPr="00414995">
        <w:rPr>
          <w:rFonts w:hint="cs"/>
          <w:rtl/>
          <w:lang w:eastAsia="he-IL"/>
        </w:rPr>
        <w:t>".</w:t>
      </w:r>
    </w:p>
    <w:p w:rsidR="00747764" w:rsidRPr="00414995" w:rsidRDefault="00C145E1" w:rsidP="005F3FFC">
      <w:pPr>
        <w:rPr>
          <w:rtl/>
          <w:lang w:eastAsia="he-IL"/>
        </w:rPr>
      </w:pPr>
      <w:r w:rsidRPr="00414995">
        <w:rPr>
          <w:rFonts w:hint="cs"/>
          <w:rtl/>
          <w:lang w:eastAsia="he-IL"/>
        </w:rPr>
        <w:t xml:space="preserve">אולם, פרשנות מקורית זו לא </w:t>
      </w:r>
      <w:r w:rsidR="005C6351" w:rsidRPr="00414995">
        <w:rPr>
          <w:rFonts w:hint="cs"/>
          <w:rtl/>
          <w:lang w:eastAsia="he-IL"/>
        </w:rPr>
        <w:t>הייתה מקובלת על רוב מפרשי המקרא, ואף בספרות הפסיקה והתשובות לא נמצאו עדויות להבחנה בין עונשו של מי שרצח אדם "פתאום, ובחמתו אשר בערה בו", לבין מי שרצח אדם "במתון המחשבה והמתק העצה".</w:t>
      </w:r>
      <w:r w:rsidR="00747764" w:rsidRPr="00414995">
        <w:rPr>
          <w:rStyle w:val="a7"/>
          <w:rtl/>
          <w:lang w:eastAsia="he-IL"/>
        </w:rPr>
        <w:footnoteReference w:id="77"/>
      </w:r>
      <w:r w:rsidR="005C6351" w:rsidRPr="00414995">
        <w:rPr>
          <w:rFonts w:hint="cs"/>
          <w:rtl/>
          <w:lang w:eastAsia="he-IL"/>
        </w:rPr>
        <w:t xml:space="preserve"> </w:t>
      </w:r>
      <w:r w:rsidR="00D35152" w:rsidRPr="00414995">
        <w:rPr>
          <w:rFonts w:hint="cs"/>
          <w:rtl/>
          <w:lang w:eastAsia="he-IL"/>
        </w:rPr>
        <w:t xml:space="preserve"> </w:t>
      </w:r>
    </w:p>
    <w:p w:rsidR="00B66E47" w:rsidRPr="00414995" w:rsidRDefault="00747764" w:rsidP="00747764">
      <w:pPr>
        <w:rPr>
          <w:rtl/>
          <w:lang w:eastAsia="he-IL"/>
        </w:rPr>
      </w:pPr>
      <w:r w:rsidRPr="00414995">
        <w:rPr>
          <w:rFonts w:hint="cs"/>
          <w:rtl/>
          <w:lang w:eastAsia="he-IL"/>
        </w:rPr>
        <w:t>אמנם, ככל שאנו עוסקים בענישה לפי דין המלך, מאחר שמצאנו שבאופן עקרוני יש טעם בהבחנה שבין רצח שבוצע "</w:t>
      </w:r>
      <w:r w:rsidRPr="00414995">
        <w:rPr>
          <w:rtl/>
          <w:lang w:eastAsia="he-IL"/>
        </w:rPr>
        <w:t>לאחר תכנון או לאחר הליך ממשי של שקילה וגיבוש החלטה להמית</w:t>
      </w:r>
      <w:r w:rsidRPr="00414995">
        <w:rPr>
          <w:rFonts w:hint="cs"/>
          <w:rtl/>
          <w:lang w:eastAsia="he-IL"/>
        </w:rPr>
        <w:t xml:space="preserve">" לבין רצח שבוצע בעקבות קנטור, יש טעם גם ביצירת הבחנה בין השניים, בכל הנוגע לחומרת העונש. כך אמנם מסיק חבה ומדגיש </w:t>
      </w:r>
      <w:r w:rsidRPr="00414995">
        <w:rPr>
          <w:rtl/>
          <w:lang w:eastAsia="he-IL"/>
        </w:rPr>
        <w:t>–</w:t>
      </w:r>
      <w:r w:rsidRPr="00414995">
        <w:rPr>
          <w:rFonts w:hint="cs"/>
          <w:rtl/>
          <w:lang w:eastAsia="he-IL"/>
        </w:rPr>
        <w:t xml:space="preserve"> </w:t>
      </w:r>
    </w:p>
    <w:p w:rsidR="00747764" w:rsidRPr="00414995" w:rsidRDefault="00747764" w:rsidP="00924EEC">
      <w:pPr>
        <w:ind w:left="567" w:right="567"/>
        <w:rPr>
          <w:rtl/>
          <w:lang w:eastAsia="he-IL"/>
        </w:rPr>
      </w:pPr>
      <w:r w:rsidRPr="00414995">
        <w:rPr>
          <w:rFonts w:hint="cs"/>
          <w:rtl/>
          <w:lang w:eastAsia="he-IL"/>
        </w:rPr>
        <w:t>קשה להסתמך בעניין זה רק על דברי בעל העקידה... יחד עם זאת, עשויה להיות להבחנה זו משמעות כאשר דנים את ההורג במסגרת דין מלך או בהוראת שעה של בית הדין... למלך שיקול דעת נרחב, לפחות בעבירות ההמתה, את מי להעניש ובמה. במסגרת זו בוודאי שהוא רשאי להתחשב בשיקוליו בשאלה, עד כמה היה הרצח עניין מתוכנן מראש או בא כתגובה ספונטנית לאירוע, ואפילו ראוי שיתחשב בה. העונש ההולם את הרצח מהסוג השני עשוי להיות קל יותר במידת מה.</w:t>
      </w:r>
      <w:r w:rsidRPr="00414995">
        <w:rPr>
          <w:rStyle w:val="a7"/>
          <w:rtl/>
          <w:lang w:eastAsia="he-IL"/>
        </w:rPr>
        <w:footnoteReference w:id="78"/>
      </w:r>
    </w:p>
    <w:p w:rsidR="0083077E" w:rsidRDefault="0083077E">
      <w:pPr>
        <w:widowControl/>
        <w:bidi w:val="0"/>
        <w:spacing w:before="0" w:after="200" w:line="276" w:lineRule="auto"/>
        <w:jc w:val="left"/>
        <w:rPr>
          <w:rFonts w:eastAsia="Times New Roman"/>
          <w:b/>
          <w:bCs/>
          <w:sz w:val="26"/>
          <w:szCs w:val="26"/>
          <w:rtl/>
          <w:lang w:eastAsia="he-IL"/>
        </w:rPr>
      </w:pPr>
      <w:r>
        <w:rPr>
          <w:b/>
          <w:sz w:val="26"/>
          <w:szCs w:val="26"/>
          <w:rtl/>
          <w:lang w:eastAsia="he-IL"/>
        </w:rPr>
        <w:br w:type="page"/>
      </w:r>
    </w:p>
    <w:p w:rsidR="0059728C" w:rsidRPr="00414995" w:rsidRDefault="00DE7B61" w:rsidP="00DE7B61">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lastRenderedPageBreak/>
        <w:t>רצח שנועד ל</w:t>
      </w:r>
      <w:r w:rsidR="00251F4C" w:rsidRPr="00414995">
        <w:rPr>
          <w:rFonts w:ascii="Times New Roman" w:hAnsi="Times New Roman" w:hint="cs"/>
          <w:b/>
          <w:kern w:val="0"/>
          <w:sz w:val="26"/>
          <w:szCs w:val="26"/>
          <w:rtl/>
          <w:lang w:eastAsia="he-IL"/>
        </w:rPr>
        <w:t>אפשר ביצוע עבירה או ל</w:t>
      </w:r>
      <w:r w:rsidRPr="00414995">
        <w:rPr>
          <w:rFonts w:ascii="Times New Roman" w:hAnsi="Times New Roman" w:hint="cs"/>
          <w:b/>
          <w:kern w:val="0"/>
          <w:sz w:val="26"/>
          <w:szCs w:val="26"/>
          <w:rtl/>
          <w:lang w:eastAsia="he-IL"/>
        </w:rPr>
        <w:t>פגוע בהליך הפלילי</w:t>
      </w:r>
    </w:p>
    <w:p w:rsidR="0022010A" w:rsidRPr="007A29E4" w:rsidRDefault="00251F4C" w:rsidP="00251F4C">
      <w:pPr>
        <w:rPr>
          <w:rtl/>
          <w:lang w:eastAsia="he-IL"/>
        </w:rPr>
      </w:pPr>
      <w:r w:rsidRPr="0083077E">
        <w:rPr>
          <w:rFonts w:hint="cs"/>
          <w:spacing w:val="-4"/>
          <w:rtl/>
          <w:lang w:eastAsia="he-IL"/>
        </w:rPr>
        <w:t>הקבוצה הבאה של נסיבות מחמירות, שקיום כל אחת מהן מצדיק את הטלת עונש מאסר עולם חובה היא הנסיבות שבהן עבירת הרצח נועדה לאפשר ביצוע של עבירה או לאפשר לאדם לחמוק מן הדין</w:t>
      </w:r>
      <w:r w:rsidRPr="007A29E4">
        <w:rPr>
          <w:rFonts w:hint="cs"/>
          <w:rtl/>
          <w:lang w:eastAsia="he-IL"/>
        </w:rPr>
        <w:t xml:space="preserve">. </w:t>
      </w:r>
    </w:p>
    <w:p w:rsidR="00251F4C" w:rsidRPr="00414995" w:rsidRDefault="00251F4C" w:rsidP="00814C1E">
      <w:pPr>
        <w:rPr>
          <w:rtl/>
          <w:lang w:eastAsia="he-IL"/>
        </w:rPr>
      </w:pPr>
      <w:r w:rsidRPr="00414995">
        <w:rPr>
          <w:rFonts w:hint="cs"/>
          <w:rtl/>
          <w:lang w:eastAsia="he-IL"/>
        </w:rPr>
        <w:t>לקבוצה זו שייך הרצח שנועד "</w:t>
      </w:r>
      <w:r w:rsidRPr="00414995">
        <w:rPr>
          <w:rtl/>
          <w:lang w:eastAsia="he-IL"/>
        </w:rPr>
        <w:t>לאפשר ביצוע עבירה</w:t>
      </w:r>
      <w:r w:rsidRPr="00414995">
        <w:rPr>
          <w:rFonts w:hint="cs"/>
          <w:rtl/>
          <w:lang w:eastAsia="he-IL"/>
        </w:rPr>
        <w:t xml:space="preserve"> </w:t>
      </w:r>
      <w:r w:rsidRPr="00414995">
        <w:rPr>
          <w:rtl/>
          <w:lang w:eastAsia="he-IL"/>
        </w:rPr>
        <w:t>אחרת או להקל על ביצועה</w:t>
      </w:r>
      <w:r w:rsidRPr="00414995">
        <w:rPr>
          <w:rFonts w:hint="cs"/>
          <w:rtl/>
          <w:lang w:eastAsia="he-IL"/>
        </w:rPr>
        <w:t>"</w:t>
      </w:r>
      <w:r w:rsidRPr="00414995">
        <w:rPr>
          <w:rtl/>
          <w:lang w:eastAsia="he-IL"/>
        </w:rPr>
        <w:t xml:space="preserve">, </w:t>
      </w:r>
      <w:r w:rsidRPr="00414995">
        <w:rPr>
          <w:rFonts w:hint="cs"/>
          <w:rtl/>
          <w:lang w:eastAsia="he-IL"/>
        </w:rPr>
        <w:t>"</w:t>
      </w:r>
      <w:r w:rsidRPr="00414995">
        <w:rPr>
          <w:rtl/>
          <w:lang w:eastAsia="he-IL"/>
        </w:rPr>
        <w:t>להסתיר</w:t>
      </w:r>
      <w:r w:rsidRPr="00414995">
        <w:rPr>
          <w:rFonts w:hint="cs"/>
          <w:rtl/>
          <w:lang w:eastAsia="he-IL"/>
        </w:rPr>
        <w:t xml:space="preserve"> </w:t>
      </w:r>
      <w:r w:rsidRPr="00414995">
        <w:rPr>
          <w:rtl/>
          <w:lang w:eastAsia="he-IL"/>
        </w:rPr>
        <w:t>ביצועה של עבירה</w:t>
      </w:r>
      <w:r w:rsidRPr="00414995">
        <w:rPr>
          <w:rFonts w:hint="cs"/>
          <w:rtl/>
          <w:lang w:eastAsia="he-IL"/>
        </w:rPr>
        <w:t xml:space="preserve">... </w:t>
      </w:r>
      <w:r w:rsidRPr="00414995">
        <w:rPr>
          <w:rtl/>
          <w:lang w:eastAsia="he-IL"/>
        </w:rPr>
        <w:t>או לאפשר הימלטות מן</w:t>
      </w:r>
      <w:r w:rsidRPr="00414995">
        <w:rPr>
          <w:rFonts w:hint="cs"/>
          <w:rtl/>
          <w:lang w:eastAsia="he-IL"/>
        </w:rPr>
        <w:t xml:space="preserve"> </w:t>
      </w:r>
      <w:r w:rsidRPr="00414995">
        <w:rPr>
          <w:rtl/>
          <w:lang w:eastAsia="he-IL"/>
        </w:rPr>
        <w:t>הדין לאחר ביצוע העבירה</w:t>
      </w:r>
      <w:r w:rsidRPr="00414995">
        <w:rPr>
          <w:rFonts w:hint="cs"/>
          <w:rtl/>
          <w:lang w:eastAsia="he-IL"/>
        </w:rPr>
        <w:t>".</w:t>
      </w:r>
      <w:r w:rsidRPr="00414995">
        <w:rPr>
          <w:rStyle w:val="a7"/>
          <w:rtl/>
          <w:lang w:eastAsia="he-IL"/>
        </w:rPr>
        <w:footnoteReference w:id="79"/>
      </w:r>
      <w:r w:rsidRPr="00414995">
        <w:rPr>
          <w:rFonts w:hint="cs"/>
          <w:rtl/>
          <w:lang w:eastAsia="he-IL"/>
        </w:rPr>
        <w:t xml:space="preserve"> לקבוצה זו שייך גם רצח של עד במשפט פלילי, שתכליתו "למנוע או להכשיל חקירה או הליך משפטי". </w:t>
      </w:r>
    </w:p>
    <w:p w:rsidR="00CA7026" w:rsidRPr="00414995" w:rsidRDefault="00CA7026" w:rsidP="00251F4C">
      <w:pPr>
        <w:rPr>
          <w:rtl/>
          <w:lang w:eastAsia="he-IL"/>
        </w:rPr>
      </w:pPr>
      <w:r w:rsidRPr="00414995">
        <w:rPr>
          <w:rFonts w:hint="cs"/>
          <w:rtl/>
          <w:lang w:eastAsia="he-IL"/>
        </w:rPr>
        <w:t xml:space="preserve">חומרתה של עבירת הרצח בנסיבות אלה אינה נובעת ממעשה הרצח עצמו, אלא מן ההשלכות הצפויות שלו </w:t>
      </w:r>
      <w:r w:rsidRPr="00414995">
        <w:rPr>
          <w:rtl/>
          <w:lang w:eastAsia="he-IL"/>
        </w:rPr>
        <w:t>–</w:t>
      </w:r>
      <w:r w:rsidRPr="00414995">
        <w:rPr>
          <w:rFonts w:hint="cs"/>
          <w:rtl/>
          <w:lang w:eastAsia="he-IL"/>
        </w:rPr>
        <w:t xml:space="preserve"> הפגיעה החמורה בשלטון החוק.</w:t>
      </w:r>
      <w:r w:rsidRPr="00414995">
        <w:rPr>
          <w:rStyle w:val="a7"/>
          <w:rtl/>
          <w:lang w:eastAsia="he-IL"/>
        </w:rPr>
        <w:footnoteReference w:id="80"/>
      </w:r>
      <w:r w:rsidRPr="00414995">
        <w:rPr>
          <w:rFonts w:hint="cs"/>
          <w:rtl/>
          <w:lang w:eastAsia="he-IL"/>
        </w:rPr>
        <w:t xml:space="preserve"> </w:t>
      </w:r>
    </w:p>
    <w:p w:rsidR="00924EEC" w:rsidRPr="00414995" w:rsidRDefault="003F15DB" w:rsidP="00AD407E">
      <w:pPr>
        <w:rPr>
          <w:rtl/>
        </w:rPr>
      </w:pPr>
      <w:r w:rsidRPr="00414995">
        <w:rPr>
          <w:rFonts w:hint="cs"/>
          <w:rtl/>
          <w:lang w:eastAsia="he-IL"/>
        </w:rPr>
        <w:t>החמרת הענישה בנסיבות אלו הולמת את העיקרון הנזכר לעיל</w:t>
      </w:r>
      <w:r w:rsidR="00AD407E" w:rsidRPr="00414995">
        <w:rPr>
          <w:rStyle w:val="a7"/>
          <w:rtl/>
          <w:lang w:eastAsia="he-IL"/>
        </w:rPr>
        <w:footnoteReference w:id="81"/>
      </w:r>
      <w:r w:rsidRPr="00414995">
        <w:rPr>
          <w:rFonts w:hint="cs"/>
          <w:rtl/>
          <w:lang w:eastAsia="he-IL"/>
        </w:rPr>
        <w:t xml:space="preserve"> בשם הרמב"ם, ש</w:t>
      </w:r>
      <w:r w:rsidRPr="00414995">
        <w:rPr>
          <w:rFonts w:hint="cs"/>
          <w:rtl/>
        </w:rPr>
        <w:t>"</w:t>
      </w:r>
      <w:r w:rsidR="00AD407E" w:rsidRPr="00414995">
        <w:rPr>
          <w:rFonts w:eastAsia="Times New Roman" w:hint="cs"/>
          <w:color w:val="000000"/>
          <w:rtl/>
        </w:rPr>
        <w:t>המעשׂים שנוצר מהם קלקול גדול עונשם חמוּר</w:t>
      </w:r>
      <w:r w:rsidR="00E95948" w:rsidRPr="00414995">
        <w:rPr>
          <w:rFonts w:hint="cs"/>
          <w:rtl/>
        </w:rPr>
        <w:t>"</w:t>
      </w:r>
      <w:r w:rsidR="00AD407E" w:rsidRPr="00414995">
        <w:rPr>
          <w:rFonts w:hint="cs"/>
          <w:rtl/>
        </w:rPr>
        <w:t xml:space="preserve">, ואף את העיקרון שלפיו </w:t>
      </w:r>
      <w:r w:rsidR="00AD407E" w:rsidRPr="00414995">
        <w:rPr>
          <w:rFonts w:eastAsia="Times New Roman" w:hint="cs"/>
          <w:color w:val="000000"/>
          <w:rtl/>
        </w:rPr>
        <w:t>"יש למנוע בעונש חמוּר דבר הקורה לעתים תדירות יותר".</w:t>
      </w:r>
      <w:r w:rsidR="00AD407E" w:rsidRPr="00414995">
        <w:rPr>
          <w:rStyle w:val="a7"/>
          <w:rFonts w:eastAsia="Times New Roman"/>
          <w:color w:val="000000"/>
          <w:rtl/>
        </w:rPr>
        <w:footnoteReference w:id="82"/>
      </w:r>
      <w:r w:rsidR="00AD407E" w:rsidRPr="00414995">
        <w:rPr>
          <w:rFonts w:eastAsia="Times New Roman" w:hint="cs"/>
          <w:color w:val="000000"/>
          <w:rtl/>
        </w:rPr>
        <w:t xml:space="preserve">  </w:t>
      </w:r>
    </w:p>
    <w:p w:rsidR="0022010A" w:rsidRPr="00414995" w:rsidRDefault="0022010A" w:rsidP="0067607E">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רצח טרוריסטי</w:t>
      </w:r>
      <w:r w:rsidR="00DE7B61" w:rsidRPr="00414995">
        <w:rPr>
          <w:rFonts w:ascii="Times New Roman" w:hAnsi="Times New Roman" w:hint="cs"/>
          <w:b/>
          <w:kern w:val="0"/>
          <w:sz w:val="26"/>
          <w:szCs w:val="26"/>
          <w:rtl/>
          <w:lang w:eastAsia="he-IL"/>
        </w:rPr>
        <w:t xml:space="preserve"> או גזעני</w:t>
      </w:r>
      <w:r w:rsidR="0067607E" w:rsidRPr="00414995">
        <w:rPr>
          <w:rFonts w:ascii="Times New Roman" w:hAnsi="Times New Roman" w:hint="cs"/>
          <w:b/>
          <w:kern w:val="0"/>
          <w:sz w:val="26"/>
          <w:szCs w:val="26"/>
          <w:rtl/>
          <w:lang w:eastAsia="he-IL"/>
        </w:rPr>
        <w:t xml:space="preserve"> ורצח שנועד "לכפות אורחות התנהגות על ציבור"</w:t>
      </w:r>
    </w:p>
    <w:p w:rsidR="0022010A" w:rsidRPr="00414995" w:rsidRDefault="0067607E" w:rsidP="00C506CB">
      <w:pPr>
        <w:rPr>
          <w:rtl/>
          <w:lang w:eastAsia="he-IL"/>
        </w:rPr>
      </w:pPr>
      <w:r w:rsidRPr="00414995">
        <w:rPr>
          <w:rFonts w:ascii="Arial" w:hAnsi="Arial" w:hint="cs"/>
          <w:color w:val="232323"/>
          <w:rtl/>
        </w:rPr>
        <w:t xml:space="preserve">קבוצה נוספת של עבירות שמוצע לקבען כעבירות רצח בנסיבות מחמירות, שעונשן מאסר עולם חובה היא זו העוסקת בהמתה הכרוכה באיום חמור על שלום הציבור וביטחונו. בקבוצה זו מצוי </w:t>
      </w:r>
      <w:r w:rsidR="005B6008" w:rsidRPr="00414995">
        <w:rPr>
          <w:rFonts w:ascii="Arial" w:hAnsi="Arial" w:hint="cs"/>
          <w:color w:val="232323"/>
          <w:rtl/>
        </w:rPr>
        <w:t>רצח שנועד להגשים מטרות פוליטיות או טרוריסטיות, רצח שנעשה ממניעים גזעניים או מתוך עוינות לציבור</w:t>
      </w:r>
      <w:r w:rsidRPr="00414995">
        <w:rPr>
          <w:rFonts w:ascii="Arial" w:hAnsi="Arial" w:hint="cs"/>
          <w:color w:val="232323"/>
          <w:rtl/>
        </w:rPr>
        <w:t>,</w:t>
      </w:r>
      <w:r w:rsidR="00C506CB" w:rsidRPr="00414995">
        <w:rPr>
          <w:rFonts w:ascii="Arial" w:hAnsi="Arial" w:hint="cs"/>
          <w:color w:val="232323"/>
          <w:rtl/>
        </w:rPr>
        <w:t xml:space="preserve">  </w:t>
      </w:r>
      <w:r w:rsidRPr="00414995">
        <w:rPr>
          <w:rFonts w:ascii="Arial" w:hAnsi="Arial" w:hint="cs"/>
          <w:color w:val="232323"/>
          <w:rtl/>
        </w:rPr>
        <w:t>ו</w:t>
      </w:r>
      <w:r w:rsidRPr="00414995">
        <w:rPr>
          <w:rFonts w:hint="cs"/>
          <w:rtl/>
          <w:lang w:eastAsia="he-IL"/>
        </w:rPr>
        <w:t>רצח שנועד לכפות אורחות חיים על הציבור (כרצח על כבוד המשפחה). למעשי רצח מסוג זה יש "</w:t>
      </w:r>
      <w:r w:rsidRPr="00414995">
        <w:rPr>
          <w:rtl/>
          <w:lang w:eastAsia="he-IL"/>
        </w:rPr>
        <w:t>פוטנציאל להשלכות ציבוריות רחבות וקשות</w:t>
      </w:r>
      <w:r w:rsidR="00990646" w:rsidRPr="00414995">
        <w:rPr>
          <w:rFonts w:hint="cs"/>
          <w:rtl/>
          <w:lang w:eastAsia="he-IL"/>
        </w:rPr>
        <w:t>"</w:t>
      </w:r>
      <w:r w:rsidR="005B6008" w:rsidRPr="00414995">
        <w:rPr>
          <w:rFonts w:hint="cs"/>
          <w:rtl/>
          <w:lang w:eastAsia="he-IL"/>
        </w:rPr>
        <w:t>.</w:t>
      </w:r>
      <w:r w:rsidR="005B6008" w:rsidRPr="00414995">
        <w:rPr>
          <w:rStyle w:val="a7"/>
          <w:rtl/>
          <w:lang w:eastAsia="he-IL"/>
        </w:rPr>
        <w:footnoteReference w:id="83"/>
      </w:r>
      <w:r w:rsidRPr="00414995">
        <w:rPr>
          <w:rFonts w:hint="cs"/>
          <w:rtl/>
          <w:lang w:eastAsia="he-IL"/>
        </w:rPr>
        <w:t xml:space="preserve">  </w:t>
      </w:r>
    </w:p>
    <w:p w:rsidR="00345B70" w:rsidRPr="00414995" w:rsidRDefault="00345B70" w:rsidP="00786E36">
      <w:pPr>
        <w:rPr>
          <w:rtl/>
          <w:lang w:eastAsia="he-IL"/>
        </w:rPr>
      </w:pPr>
      <w:r w:rsidRPr="00414995">
        <w:rPr>
          <w:rFonts w:hint="cs"/>
          <w:rtl/>
          <w:lang w:eastAsia="he-IL"/>
        </w:rPr>
        <w:t xml:space="preserve">עבירות מסוג זה ראויות אמנם לעונש חמור במיוחד על פי הדין העברי, הן משיקולים הנוגעים </w:t>
      </w:r>
      <w:r w:rsidRPr="00414995">
        <w:rPr>
          <w:rFonts w:hint="cs"/>
          <w:rtl/>
          <w:lang w:eastAsia="he-IL"/>
        </w:rPr>
        <w:lastRenderedPageBreak/>
        <w:t>למניעיו של העבריין והן משיקולים הנוגעים ל</w:t>
      </w:r>
      <w:r w:rsidR="00786E36" w:rsidRPr="00414995">
        <w:rPr>
          <w:rFonts w:hint="cs"/>
          <w:rtl/>
          <w:lang w:eastAsia="he-IL"/>
        </w:rPr>
        <w:t>שלום הציבור וביטחונו</w:t>
      </w:r>
      <w:r w:rsidRPr="00414995">
        <w:rPr>
          <w:rFonts w:hint="cs"/>
          <w:rtl/>
          <w:lang w:eastAsia="he-IL"/>
        </w:rPr>
        <w:t>.</w:t>
      </w:r>
    </w:p>
    <w:p w:rsidR="00345B70" w:rsidRPr="00414995" w:rsidRDefault="00345B70" w:rsidP="00AC13CE">
      <w:pPr>
        <w:rPr>
          <w:rtl/>
        </w:rPr>
      </w:pPr>
      <w:r w:rsidRPr="00414995">
        <w:rPr>
          <w:rFonts w:hint="cs"/>
          <w:rtl/>
        </w:rPr>
        <w:t xml:space="preserve">ההלכה היהודית </w:t>
      </w:r>
      <w:r w:rsidR="00AC13CE" w:rsidRPr="00414995">
        <w:rPr>
          <w:rFonts w:hint="cs"/>
          <w:rtl/>
        </w:rPr>
        <w:t xml:space="preserve">מתייחסת בחומרה מיוחדת </w:t>
      </w:r>
      <w:r w:rsidRPr="00414995">
        <w:rPr>
          <w:rFonts w:hint="cs"/>
          <w:rtl/>
        </w:rPr>
        <w:t xml:space="preserve">לעבירות </w:t>
      </w:r>
      <w:r w:rsidR="00AC13CE" w:rsidRPr="00414995">
        <w:rPr>
          <w:rFonts w:hint="cs"/>
          <w:rtl/>
        </w:rPr>
        <w:t xml:space="preserve">שבוצעו </w:t>
      </w:r>
      <w:r w:rsidRPr="00414995">
        <w:rPr>
          <w:rFonts w:hint="cs"/>
          <w:rtl/>
        </w:rPr>
        <w:t xml:space="preserve">ממניעים אידיאולוגיים ("להכעיס"). </w:t>
      </w:r>
      <w:r w:rsidR="00AC13CE" w:rsidRPr="00414995">
        <w:rPr>
          <w:rFonts w:hint="cs"/>
          <w:rtl/>
        </w:rPr>
        <w:t>מ</w:t>
      </w:r>
      <w:r w:rsidRPr="00414995">
        <w:rPr>
          <w:rFonts w:hint="cs"/>
          <w:rtl/>
        </w:rPr>
        <w:t>י שביצע מעשה עבירה כדי לקדם את ענייניו ("לתאבון"), נ</w:t>
      </w:r>
      <w:r w:rsidR="00AC13CE" w:rsidRPr="00414995">
        <w:rPr>
          <w:rFonts w:hint="cs"/>
          <w:rtl/>
        </w:rPr>
        <w:t>תפס כמי שנ</w:t>
      </w:r>
      <w:r w:rsidRPr="00414995">
        <w:rPr>
          <w:rFonts w:hint="cs"/>
          <w:rtl/>
        </w:rPr>
        <w:t>כנע לחולשותיו</w:t>
      </w:r>
      <w:r w:rsidR="00AC13CE" w:rsidRPr="00414995">
        <w:rPr>
          <w:rFonts w:hint="cs"/>
          <w:rtl/>
        </w:rPr>
        <w:t xml:space="preserve">. אדם זה </w:t>
      </w:r>
      <w:r w:rsidRPr="00414995">
        <w:rPr>
          <w:rFonts w:hint="cs"/>
          <w:rtl/>
        </w:rPr>
        <w:t xml:space="preserve">ראוי </w:t>
      </w:r>
      <w:r w:rsidR="00AC13CE" w:rsidRPr="00414995">
        <w:rPr>
          <w:rFonts w:hint="cs"/>
          <w:rtl/>
        </w:rPr>
        <w:t xml:space="preserve">אמנם </w:t>
      </w:r>
      <w:r w:rsidRPr="00414995">
        <w:rPr>
          <w:rFonts w:hint="cs"/>
          <w:rtl/>
        </w:rPr>
        <w:t>לעונש, אך במעשיו הוא לא איים על שלטון החוק. לעומת זאת, מי שביצע עבירה "להכעיס", קורא תיגר על שלטון החוק, ובשל כך הוא ראוי לעונש חמור יותר.</w:t>
      </w:r>
      <w:r w:rsidR="00AC13CE" w:rsidRPr="00414995">
        <w:rPr>
          <w:rStyle w:val="a7"/>
          <w:rtl/>
        </w:rPr>
        <w:footnoteReference w:id="84"/>
      </w:r>
    </w:p>
    <w:p w:rsidR="00345B70" w:rsidRPr="00414995" w:rsidRDefault="00345B70" w:rsidP="00345B70">
      <w:pPr>
        <w:rPr>
          <w:rtl/>
          <w:lang w:eastAsia="he-IL"/>
        </w:rPr>
      </w:pPr>
      <w:r w:rsidRPr="00414995">
        <w:rPr>
          <w:rFonts w:hint="cs"/>
          <w:rtl/>
        </w:rPr>
        <w:t>רצח ממניעים גזעניים, אידיאולוגיים או פוליטיים, דומה במהותו לעבירה "להכעיס", וככזה, מבצעיו ראויים לעונש חמור מזה שיוטל על מי שביצע עבירה "לתאבון".</w:t>
      </w:r>
    </w:p>
    <w:p w:rsidR="00990646" w:rsidRPr="00414995" w:rsidRDefault="00AC13CE" w:rsidP="00786E36">
      <w:pPr>
        <w:rPr>
          <w:rtl/>
          <w:lang w:eastAsia="he-IL"/>
        </w:rPr>
      </w:pPr>
      <w:r w:rsidRPr="00414995">
        <w:rPr>
          <w:rFonts w:hint="cs"/>
          <w:rtl/>
          <w:lang w:eastAsia="he-IL"/>
        </w:rPr>
        <w:t>כאמור, שיקול נוסף להחמיר בעונשם של רוצחים ממניעים אידיאולוגיים קשור ל</w:t>
      </w:r>
      <w:r w:rsidR="00786E36" w:rsidRPr="00414995">
        <w:rPr>
          <w:rFonts w:hint="cs"/>
          <w:rtl/>
          <w:lang w:eastAsia="he-IL"/>
        </w:rPr>
        <w:t xml:space="preserve">צורך להבטיח הגנה ראויה על שלום הציבור וביטחונו. </w:t>
      </w:r>
      <w:r w:rsidRPr="00414995">
        <w:rPr>
          <w:rFonts w:hint="cs"/>
          <w:rtl/>
          <w:lang w:eastAsia="he-IL"/>
        </w:rPr>
        <w:t xml:space="preserve">שיקול זה בא לידי ביטוי בענישתם של 'מוסרים' </w:t>
      </w:r>
      <w:r w:rsidRPr="00414995">
        <w:rPr>
          <w:rtl/>
          <w:lang w:eastAsia="he-IL"/>
        </w:rPr>
        <w:t>–</w:t>
      </w:r>
      <w:r w:rsidRPr="00414995">
        <w:rPr>
          <w:rFonts w:hint="cs"/>
          <w:rtl/>
          <w:lang w:eastAsia="he-IL"/>
        </w:rPr>
        <w:t xml:space="preserve"> יהודים ש</w:t>
      </w:r>
      <w:r w:rsidR="00990646" w:rsidRPr="00414995">
        <w:rPr>
          <w:rFonts w:hint="cs"/>
          <w:rtl/>
          <w:lang w:eastAsia="he-IL"/>
        </w:rPr>
        <w:t>מסר</w:t>
      </w:r>
      <w:r w:rsidRPr="00414995">
        <w:rPr>
          <w:rFonts w:hint="cs"/>
          <w:rtl/>
          <w:lang w:eastAsia="he-IL"/>
        </w:rPr>
        <w:t>ו</w:t>
      </w:r>
      <w:r w:rsidR="00990646" w:rsidRPr="00414995">
        <w:rPr>
          <w:rFonts w:hint="cs"/>
          <w:rtl/>
          <w:lang w:eastAsia="he-IL"/>
        </w:rPr>
        <w:t xml:space="preserve"> לשלטונות הנכרים מידע </w:t>
      </w:r>
      <w:r w:rsidRPr="00414995">
        <w:rPr>
          <w:rFonts w:hint="cs"/>
          <w:rtl/>
          <w:lang w:eastAsia="he-IL"/>
        </w:rPr>
        <w:t xml:space="preserve">מפליל </w:t>
      </w:r>
      <w:r w:rsidR="00990646" w:rsidRPr="00414995">
        <w:rPr>
          <w:rFonts w:hint="cs"/>
          <w:rtl/>
          <w:lang w:eastAsia="he-IL"/>
        </w:rPr>
        <w:t xml:space="preserve">על </w:t>
      </w:r>
      <w:r w:rsidRPr="00414995">
        <w:rPr>
          <w:rFonts w:hint="cs"/>
          <w:rtl/>
          <w:lang w:eastAsia="he-IL"/>
        </w:rPr>
        <w:t>אחיהם</w:t>
      </w:r>
      <w:r w:rsidR="00990646" w:rsidRPr="00414995">
        <w:rPr>
          <w:rFonts w:hint="cs"/>
          <w:rtl/>
          <w:lang w:eastAsia="he-IL"/>
        </w:rPr>
        <w:t xml:space="preserve">, מבלי שהותרה מסירת המידע על ידי בית הדין. על </w:t>
      </w:r>
      <w:r w:rsidRPr="00414995">
        <w:rPr>
          <w:rFonts w:hint="cs"/>
          <w:rtl/>
          <w:lang w:eastAsia="he-IL"/>
        </w:rPr>
        <w:t>ה</w:t>
      </w:r>
      <w:r w:rsidR="00990646" w:rsidRPr="00414995">
        <w:rPr>
          <w:rFonts w:hint="cs"/>
          <w:rtl/>
          <w:lang w:eastAsia="he-IL"/>
        </w:rPr>
        <w:t>מוסרים הוטלו לא אחת עונשי גוף קשים, ולעיתים אף עונש מוות</w:t>
      </w:r>
      <w:r w:rsidRPr="00414995">
        <w:rPr>
          <w:rFonts w:hint="cs"/>
          <w:rtl/>
          <w:lang w:eastAsia="he-IL"/>
        </w:rPr>
        <w:t>.</w:t>
      </w:r>
      <w:r w:rsidR="00990646" w:rsidRPr="00414995">
        <w:rPr>
          <w:rFonts w:hint="cs"/>
          <w:rtl/>
          <w:lang w:eastAsia="he-IL"/>
        </w:rPr>
        <w:t xml:space="preserve"> </w:t>
      </w:r>
      <w:r w:rsidR="00DF57F9" w:rsidRPr="00414995">
        <w:rPr>
          <w:rFonts w:hint="cs"/>
          <w:rtl/>
          <w:lang w:eastAsia="he-IL"/>
        </w:rPr>
        <w:t>רבי יעקב כולי (קושטא, המאה ה-18)</w:t>
      </w:r>
      <w:r w:rsidR="00990646" w:rsidRPr="00414995">
        <w:rPr>
          <w:rFonts w:hint="cs"/>
          <w:rtl/>
          <w:lang w:eastAsia="he-IL"/>
        </w:rPr>
        <w:t xml:space="preserve"> </w:t>
      </w:r>
      <w:r w:rsidRPr="00414995">
        <w:rPr>
          <w:rFonts w:hint="cs"/>
          <w:rtl/>
          <w:lang w:eastAsia="he-IL"/>
        </w:rPr>
        <w:t xml:space="preserve">הסביר ש </w:t>
      </w:r>
      <w:r w:rsidR="00990646" w:rsidRPr="00414995">
        <w:rPr>
          <w:rtl/>
          <w:lang w:eastAsia="he-IL"/>
        </w:rPr>
        <w:t>–</w:t>
      </w:r>
      <w:r w:rsidR="00990646" w:rsidRPr="00414995">
        <w:rPr>
          <w:rFonts w:hint="cs"/>
          <w:rtl/>
          <w:lang w:eastAsia="he-IL"/>
        </w:rPr>
        <w:t xml:space="preserve"> </w:t>
      </w:r>
    </w:p>
    <w:p w:rsidR="00990646" w:rsidRPr="00414995" w:rsidRDefault="00DF57F9" w:rsidP="00DF57F9">
      <w:pPr>
        <w:ind w:left="567" w:right="567"/>
        <w:rPr>
          <w:rtl/>
          <w:lang w:eastAsia="he-IL"/>
        </w:rPr>
      </w:pPr>
      <w:r w:rsidRPr="00414995">
        <w:rPr>
          <w:rFonts w:hint="cs"/>
          <w:rtl/>
          <w:lang w:eastAsia="he-IL"/>
        </w:rPr>
        <w:t xml:space="preserve">אף על פי שבזמננו אין אנו יכולים להרוג אנשים כפי שעשו הסנהדרין בזמן הבית, אבל מי שהוא מסור יש לנו רשות להרגו </w:t>
      </w:r>
      <w:r w:rsidRPr="00414995">
        <w:rPr>
          <w:rFonts w:hint="cs"/>
          <w:b/>
          <w:bCs/>
          <w:rtl/>
          <w:lang w:eastAsia="he-IL"/>
        </w:rPr>
        <w:t>לפני שיל</w:t>
      </w:r>
      <w:r w:rsidR="00AC13CE" w:rsidRPr="00414995">
        <w:rPr>
          <w:rFonts w:hint="cs"/>
          <w:b/>
          <w:bCs/>
          <w:rtl/>
          <w:lang w:eastAsia="he-IL"/>
        </w:rPr>
        <w:t>ך</w:t>
      </w:r>
      <w:r w:rsidRPr="00414995">
        <w:rPr>
          <w:rFonts w:hint="cs"/>
          <w:b/>
          <w:bCs/>
          <w:rtl/>
          <w:lang w:eastAsia="he-IL"/>
        </w:rPr>
        <w:t xml:space="preserve"> וימסור</w:t>
      </w:r>
      <w:r w:rsidRPr="00414995">
        <w:rPr>
          <w:rFonts w:hint="cs"/>
          <w:rtl/>
          <w:lang w:eastAsia="he-IL"/>
        </w:rPr>
        <w:t xml:space="preserve">... וכל מי שמקדים להרגו יש לו זכות. אבל מי שיכול לחתוך לשונו או לנקר עיניו כדי שלא יוכל לעשות המסירות </w:t>
      </w:r>
      <w:r w:rsidRPr="00414995">
        <w:rPr>
          <w:rtl/>
          <w:lang w:eastAsia="he-IL"/>
        </w:rPr>
        <w:t>–</w:t>
      </w:r>
      <w:r w:rsidRPr="00414995">
        <w:rPr>
          <w:rFonts w:hint="cs"/>
          <w:rtl/>
          <w:lang w:eastAsia="he-IL"/>
        </w:rPr>
        <w:t xml:space="preserve"> עושים לו. ואם אין זמן </w:t>
      </w:r>
      <w:r w:rsidRPr="00414995">
        <w:rPr>
          <w:rtl/>
          <w:lang w:eastAsia="he-IL"/>
        </w:rPr>
        <w:t>–</w:t>
      </w:r>
      <w:r w:rsidRPr="00414995">
        <w:rPr>
          <w:rFonts w:hint="cs"/>
          <w:rtl/>
          <w:lang w:eastAsia="he-IL"/>
        </w:rPr>
        <w:t xml:space="preserve"> הורגים אותו לגמרי.</w:t>
      </w:r>
      <w:r w:rsidRPr="00414995">
        <w:rPr>
          <w:rStyle w:val="a7"/>
          <w:rtl/>
          <w:lang w:eastAsia="he-IL"/>
        </w:rPr>
        <w:footnoteReference w:id="85"/>
      </w:r>
    </w:p>
    <w:p w:rsidR="00DF57F9" w:rsidRPr="00414995" w:rsidRDefault="00DF57F9" w:rsidP="00990646">
      <w:pPr>
        <w:rPr>
          <w:rtl/>
          <w:lang w:eastAsia="he-IL"/>
        </w:rPr>
      </w:pPr>
      <w:r w:rsidRPr="00414995">
        <w:rPr>
          <w:rFonts w:hint="cs"/>
          <w:rtl/>
          <w:lang w:eastAsia="he-IL"/>
        </w:rPr>
        <w:t>ענישה חמורה זו, כפי שמסביר קירשנבאום, מבוססת על ההנחה, שהמוסר גורם במעשיו "סכנה ממשית, לעורר חרון אף השלטון, לא רק על העבריינים, אלא על כל הקהילה כולה".</w:t>
      </w:r>
      <w:r w:rsidR="00294590" w:rsidRPr="00414995">
        <w:rPr>
          <w:rStyle w:val="a7"/>
          <w:rtl/>
          <w:lang w:eastAsia="he-IL"/>
        </w:rPr>
        <w:footnoteReference w:id="86"/>
      </w:r>
    </w:p>
    <w:p w:rsidR="0053503B" w:rsidRPr="00414995" w:rsidRDefault="00AC13CE" w:rsidP="00AC13CE">
      <w:pPr>
        <w:rPr>
          <w:rtl/>
          <w:lang w:eastAsia="he-IL"/>
        </w:rPr>
      </w:pPr>
      <w:r w:rsidRPr="00414995">
        <w:rPr>
          <w:rFonts w:hint="cs"/>
          <w:rtl/>
          <w:lang w:eastAsia="he-IL"/>
        </w:rPr>
        <w:t>גם שיקול זה תקף לא רק כלפי הרוצח הטרוריסט, אלא אף כלפי הרוצח ממניעים גזעניים וכלפי הרוצח שביצע את זממו על מנת לכפות אורחות חיים על ציבור.</w:t>
      </w:r>
    </w:p>
    <w:p w:rsidR="0022010A" w:rsidRPr="00414995" w:rsidRDefault="0022010A" w:rsidP="0022010A">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רצח אכזרי</w:t>
      </w:r>
    </w:p>
    <w:p w:rsidR="00DE3295" w:rsidRPr="00414995" w:rsidRDefault="00DE3295" w:rsidP="00DE3295">
      <w:pPr>
        <w:rPr>
          <w:rtl/>
          <w:lang w:eastAsia="he-IL"/>
        </w:rPr>
      </w:pPr>
      <w:r w:rsidRPr="00414995">
        <w:rPr>
          <w:rFonts w:hint="cs"/>
          <w:rtl/>
          <w:lang w:eastAsia="he-IL"/>
        </w:rPr>
        <w:t>המתת אדם הנעשית בצורה אכזרית חמורה מהמתת אדם בצורה שאיננה כזו. חכמי ישראל קבעו, שגם כאשר מומת אדם על פי הדין, אין להמיתו בדרך הפוגעת בכבודו או הגורמת לו סבל רב מדי. איסור זה נסמך על הציווי "ואהבת לרעך כמוך",</w:t>
      </w:r>
      <w:r w:rsidRPr="00414995">
        <w:rPr>
          <w:rStyle w:val="a7"/>
          <w:rtl/>
          <w:lang w:eastAsia="he-IL"/>
        </w:rPr>
        <w:footnoteReference w:id="87"/>
      </w:r>
      <w:r w:rsidRPr="00414995">
        <w:rPr>
          <w:rFonts w:hint="cs"/>
          <w:rtl/>
          <w:lang w:eastAsia="he-IL"/>
        </w:rPr>
        <w:t xml:space="preserve"> שממנו למדו </w:t>
      </w:r>
      <w:r w:rsidRPr="00414995">
        <w:rPr>
          <w:rtl/>
          <w:lang w:eastAsia="he-IL"/>
        </w:rPr>
        <w:t>–</w:t>
      </w:r>
      <w:r w:rsidRPr="00414995">
        <w:rPr>
          <w:rFonts w:hint="cs"/>
          <w:rtl/>
          <w:lang w:eastAsia="he-IL"/>
        </w:rPr>
        <w:t xml:space="preserve"> "ברור לו מיתה יפה".</w:t>
      </w:r>
      <w:r w:rsidRPr="00414995">
        <w:rPr>
          <w:rStyle w:val="a7"/>
          <w:rtl/>
          <w:lang w:eastAsia="he-IL"/>
        </w:rPr>
        <w:footnoteReference w:id="88"/>
      </w:r>
      <w:r w:rsidRPr="00414995">
        <w:rPr>
          <w:rFonts w:hint="cs"/>
          <w:rtl/>
          <w:lang w:eastAsia="he-IL"/>
        </w:rPr>
        <w:t xml:space="preserve"> </w:t>
      </w:r>
    </w:p>
    <w:p w:rsidR="005C4E19" w:rsidRPr="00414995" w:rsidRDefault="00DE3295" w:rsidP="00752A66">
      <w:pPr>
        <w:rPr>
          <w:rtl/>
          <w:lang w:eastAsia="he-IL"/>
        </w:rPr>
      </w:pPr>
      <w:r w:rsidRPr="00414995">
        <w:rPr>
          <w:rFonts w:hint="cs"/>
          <w:rtl/>
          <w:lang w:eastAsia="he-IL"/>
        </w:rPr>
        <w:t>על רקע זה, ברור שהמתה אכזרית של אדם היא עבירה חמורה מהמתה שאיננה אכזרית, וככזו, ראויה לעונש חמור יותר.</w:t>
      </w:r>
      <w:r w:rsidR="00D91B49" w:rsidRPr="00414995">
        <w:rPr>
          <w:rStyle w:val="a7"/>
          <w:rtl/>
          <w:lang w:eastAsia="he-IL"/>
        </w:rPr>
        <w:footnoteReference w:id="89"/>
      </w:r>
    </w:p>
    <w:p w:rsidR="0022010A" w:rsidRPr="00414995" w:rsidRDefault="0022010A" w:rsidP="0022010A">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lastRenderedPageBreak/>
        <w:t>רצח של קטין או חסר ישע</w:t>
      </w:r>
    </w:p>
    <w:p w:rsidR="00D91B49" w:rsidRPr="00414995" w:rsidRDefault="00D91B49" w:rsidP="00D91B49">
      <w:pPr>
        <w:rPr>
          <w:rtl/>
          <w:lang w:eastAsia="he-IL"/>
        </w:rPr>
      </w:pPr>
      <w:r w:rsidRPr="00414995">
        <w:rPr>
          <w:rFonts w:hint="cs"/>
          <w:rtl/>
          <w:lang w:eastAsia="he-IL"/>
        </w:rPr>
        <w:t>הצעת החוק מבקשת לקבוע כנסיבה מחמירה, את הרצח של "</w:t>
      </w:r>
      <w:r w:rsidRPr="00414995">
        <w:rPr>
          <w:rtl/>
          <w:lang w:eastAsia="he-IL"/>
        </w:rPr>
        <w:t>קטין שעובר העבירה אחראי עליו</w:t>
      </w:r>
      <w:r w:rsidRPr="00414995">
        <w:rPr>
          <w:rFonts w:hint="cs"/>
          <w:rtl/>
          <w:lang w:eastAsia="he-IL"/>
        </w:rPr>
        <w:t>",</w:t>
      </w:r>
      <w:r w:rsidRPr="00414995">
        <w:rPr>
          <w:rStyle w:val="a7"/>
          <w:rtl/>
          <w:lang w:eastAsia="he-IL"/>
        </w:rPr>
        <w:footnoteReference w:id="90"/>
      </w:r>
      <w:r w:rsidRPr="00414995">
        <w:rPr>
          <w:rFonts w:hint="cs"/>
          <w:rtl/>
          <w:lang w:eastAsia="he-IL"/>
        </w:rPr>
        <w:t xml:space="preserve"> ושל "חסר ישע".</w:t>
      </w:r>
      <w:r w:rsidRPr="00414995">
        <w:rPr>
          <w:rStyle w:val="a7"/>
          <w:rtl/>
          <w:lang w:eastAsia="he-IL"/>
        </w:rPr>
        <w:footnoteReference w:id="91"/>
      </w:r>
    </w:p>
    <w:p w:rsidR="00207109" w:rsidRPr="00414995" w:rsidRDefault="00207109" w:rsidP="00AC13CE">
      <w:pPr>
        <w:rPr>
          <w:rtl/>
          <w:lang w:eastAsia="he-IL"/>
        </w:rPr>
      </w:pPr>
      <w:r w:rsidRPr="00414995">
        <w:rPr>
          <w:rFonts w:hint="cs"/>
          <w:rtl/>
          <w:lang w:eastAsia="he-IL"/>
        </w:rPr>
        <w:t>ה</w:t>
      </w:r>
      <w:r w:rsidR="00AC13CE" w:rsidRPr="00414995">
        <w:rPr>
          <w:rFonts w:hint="cs"/>
          <w:rtl/>
          <w:lang w:eastAsia="he-IL"/>
        </w:rPr>
        <w:t xml:space="preserve">הגנה על </w:t>
      </w:r>
      <w:r w:rsidRPr="00414995">
        <w:rPr>
          <w:rFonts w:hint="cs"/>
          <w:rtl/>
          <w:lang w:eastAsia="he-IL"/>
        </w:rPr>
        <w:t xml:space="preserve">קטינים וחסרי ישע </w:t>
      </w:r>
      <w:r w:rsidR="00AC13CE" w:rsidRPr="00414995">
        <w:rPr>
          <w:rFonts w:hint="cs"/>
          <w:rtl/>
          <w:lang w:eastAsia="he-IL"/>
        </w:rPr>
        <w:t xml:space="preserve">היא מערכי היסוד של תורת ישראל, המתארת </w:t>
      </w:r>
      <w:r w:rsidRPr="00414995">
        <w:rPr>
          <w:rFonts w:hint="cs"/>
          <w:rtl/>
          <w:lang w:eastAsia="he-IL"/>
        </w:rPr>
        <w:t>את בורא העולם כ'אבי יתומים' ו'דיין אלמנות', העתיד להיפרע ממי שפוגע בקטינים וחסרי ישע.</w:t>
      </w:r>
      <w:r w:rsidRPr="00414995">
        <w:rPr>
          <w:rStyle w:val="a7"/>
          <w:rtl/>
          <w:lang w:eastAsia="he-IL"/>
        </w:rPr>
        <w:footnoteReference w:id="92"/>
      </w:r>
      <w:r w:rsidRPr="00414995">
        <w:rPr>
          <w:rFonts w:hint="cs"/>
          <w:rtl/>
          <w:lang w:eastAsia="he-IL"/>
        </w:rPr>
        <w:t xml:space="preserve"> </w:t>
      </w:r>
    </w:p>
    <w:p w:rsidR="00AC13CE" w:rsidRPr="00414995" w:rsidRDefault="00AC13CE" w:rsidP="00786E36">
      <w:pPr>
        <w:rPr>
          <w:rtl/>
          <w:lang w:eastAsia="he-IL"/>
        </w:rPr>
      </w:pPr>
      <w:r w:rsidRPr="00414995">
        <w:rPr>
          <w:rFonts w:hint="cs"/>
          <w:rtl/>
          <w:lang w:eastAsia="he-IL"/>
        </w:rPr>
        <w:t>מכוחו של עיקרון זה, מוטל על בתי המשפט בישראל ועל מנהיגי העם לדאוג לרווחתם של קטינים וחסרי ישע, ולהגן על עניינם.</w:t>
      </w:r>
      <w:r w:rsidR="00487F52" w:rsidRPr="00414995">
        <w:rPr>
          <w:rStyle w:val="a7"/>
          <w:rtl/>
          <w:lang w:eastAsia="he-IL"/>
        </w:rPr>
        <w:footnoteReference w:id="93"/>
      </w:r>
      <w:r w:rsidR="00786E36" w:rsidRPr="00414995">
        <w:rPr>
          <w:rFonts w:hint="cs"/>
          <w:rtl/>
          <w:lang w:eastAsia="he-IL"/>
        </w:rPr>
        <w:t xml:space="preserve"> וזאת, בין השאר, באמצעות ענישה שתרתיע מפני ניצול חולשתם של קטינים וחסרי ישע ופגיעה בהם. </w:t>
      </w:r>
    </w:p>
    <w:p w:rsidR="0022010A" w:rsidRPr="00414995" w:rsidRDefault="0022010A" w:rsidP="00B35250">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 xml:space="preserve">רצח החושף </w:t>
      </w:r>
      <w:r w:rsidR="00B35250" w:rsidRPr="00414995">
        <w:rPr>
          <w:rFonts w:ascii="Times New Roman" w:hAnsi="Times New Roman" w:hint="cs"/>
          <w:b/>
          <w:kern w:val="0"/>
          <w:sz w:val="26"/>
          <w:szCs w:val="26"/>
          <w:rtl/>
          <w:lang w:eastAsia="he-IL"/>
        </w:rPr>
        <w:t>אחרי</w:t>
      </w:r>
      <w:r w:rsidRPr="00414995">
        <w:rPr>
          <w:rFonts w:ascii="Times New Roman" w:hAnsi="Times New Roman" w:hint="cs"/>
          <w:b/>
          <w:kern w:val="0"/>
          <w:sz w:val="26"/>
          <w:szCs w:val="26"/>
          <w:rtl/>
          <w:lang w:eastAsia="he-IL"/>
        </w:rPr>
        <w:t>ם לסכנה</w:t>
      </w:r>
    </w:p>
    <w:p w:rsidR="0022010A" w:rsidRPr="00414995" w:rsidRDefault="00B35250" w:rsidP="00B35250">
      <w:pPr>
        <w:rPr>
          <w:rtl/>
          <w:lang w:eastAsia="he-IL"/>
        </w:rPr>
      </w:pPr>
      <w:r w:rsidRPr="00414995">
        <w:rPr>
          <w:rFonts w:hint="cs"/>
          <w:rtl/>
          <w:lang w:eastAsia="he-IL"/>
        </w:rPr>
        <w:t>הצעת החוק מבקשת לקבוע כנסיבה מחמירה המצדיקה הטלת עונש מאסר עולם חובה את הרצח שבוצע "</w:t>
      </w:r>
      <w:r w:rsidRPr="00414995">
        <w:rPr>
          <w:rtl/>
          <w:lang w:eastAsia="he-IL"/>
        </w:rPr>
        <w:t>תוך יצירת סכנה ממשית לפגיעה</w:t>
      </w:r>
      <w:r w:rsidRPr="00414995">
        <w:rPr>
          <w:rFonts w:hint="cs"/>
          <w:rtl/>
          <w:lang w:eastAsia="he-IL"/>
        </w:rPr>
        <w:t xml:space="preserve"> </w:t>
      </w:r>
      <w:r w:rsidRPr="00414995">
        <w:rPr>
          <w:rtl/>
          <w:lang w:eastAsia="he-IL"/>
        </w:rPr>
        <w:t>חמורה בגופו של</w:t>
      </w:r>
      <w:r w:rsidRPr="00414995">
        <w:rPr>
          <w:rFonts w:hint="cs"/>
          <w:rtl/>
          <w:lang w:eastAsia="he-IL"/>
        </w:rPr>
        <w:t xml:space="preserve"> אדם אחר, נוסף על הקרבן". משום ש</w:t>
      </w:r>
      <w:r w:rsidRPr="00414995">
        <w:rPr>
          <w:rFonts w:hint="cs"/>
          <w:rtl/>
        </w:rPr>
        <w:t>"</w:t>
      </w:r>
      <w:r w:rsidRPr="00414995">
        <w:rPr>
          <w:rtl/>
          <w:lang w:eastAsia="he-IL"/>
        </w:rPr>
        <w:t>במקרה</w:t>
      </w:r>
      <w:r w:rsidRPr="00414995">
        <w:rPr>
          <w:rFonts w:hint="cs"/>
          <w:rtl/>
          <w:lang w:eastAsia="he-IL"/>
        </w:rPr>
        <w:t xml:space="preserve"> </w:t>
      </w:r>
      <w:r w:rsidRPr="00414995">
        <w:rPr>
          <w:rtl/>
          <w:lang w:eastAsia="he-IL"/>
        </w:rPr>
        <w:t>זה</w:t>
      </w:r>
      <w:r w:rsidRPr="00414995">
        <w:rPr>
          <w:rFonts w:hint="cs"/>
          <w:rtl/>
          <w:lang w:eastAsia="he-IL"/>
        </w:rPr>
        <w:t>,</w:t>
      </w:r>
      <w:r w:rsidRPr="00414995">
        <w:rPr>
          <w:rtl/>
          <w:lang w:eastAsia="he-IL"/>
        </w:rPr>
        <w:t xml:space="preserve"> הפגיעה בערך של חיי אדם קשה יותר</w:t>
      </w:r>
      <w:r w:rsidRPr="00414995">
        <w:rPr>
          <w:rFonts w:hint="cs"/>
          <w:rtl/>
          <w:lang w:eastAsia="he-IL"/>
        </w:rPr>
        <w:t>".</w:t>
      </w:r>
      <w:r w:rsidRPr="00414995">
        <w:rPr>
          <w:rStyle w:val="a7"/>
          <w:rtl/>
          <w:lang w:eastAsia="he-IL"/>
        </w:rPr>
        <w:footnoteReference w:id="94"/>
      </w:r>
    </w:p>
    <w:p w:rsidR="004C42EC" w:rsidRPr="00414995" w:rsidRDefault="00CD4947" w:rsidP="0072131F">
      <w:pPr>
        <w:rPr>
          <w:rtl/>
          <w:lang w:eastAsia="he-IL"/>
        </w:rPr>
      </w:pPr>
      <w:r w:rsidRPr="00414995">
        <w:rPr>
          <w:rFonts w:hint="cs"/>
          <w:rtl/>
          <w:lang w:eastAsia="he-IL"/>
        </w:rPr>
        <w:t>ההלכה היהודית אסרה לא רק את הפגיעה בחיי אדם, אלא גם את יצירתם של סיכונים</w:t>
      </w:r>
      <w:r w:rsidR="004C42EC" w:rsidRPr="00414995">
        <w:rPr>
          <w:rFonts w:hint="cs"/>
          <w:rtl/>
          <w:lang w:eastAsia="he-IL"/>
        </w:rPr>
        <w:t>. יצירת סיכון ברשות היחיד נאסרה מכוחו של הציווי</w:t>
      </w:r>
      <w:r w:rsidR="004C42EC" w:rsidRPr="00414995">
        <w:rPr>
          <w:rFonts w:hint="cs"/>
          <w:rtl/>
        </w:rPr>
        <w:t xml:space="preserve"> </w:t>
      </w:r>
      <w:r w:rsidR="004C42EC" w:rsidRPr="00414995">
        <w:rPr>
          <w:rtl/>
        </w:rPr>
        <w:t>"</w:t>
      </w:r>
      <w:r w:rsidR="004C42EC" w:rsidRPr="00414995">
        <w:rPr>
          <w:rFonts w:ascii="Arial" w:hAnsi="Arial"/>
          <w:rtl/>
        </w:rPr>
        <w:t xml:space="preserve">כי תבנה בית חדש ועשית מעקה לגגך, </w:t>
      </w:r>
      <w:r w:rsidR="004C42EC" w:rsidRPr="00414995">
        <w:rPr>
          <w:rFonts w:ascii="Arial" w:hAnsi="Arial"/>
          <w:b/>
          <w:bCs/>
          <w:rtl/>
        </w:rPr>
        <w:t>ולא תשים דמים בביתֶך</w:t>
      </w:r>
      <w:r w:rsidR="004C42EC" w:rsidRPr="00414995">
        <w:rPr>
          <w:rFonts w:ascii="Arial" w:hAnsi="Arial"/>
          <w:rtl/>
        </w:rPr>
        <w:t xml:space="preserve"> כי יפֹל הנֹפל ממנו"</w:t>
      </w:r>
      <w:r w:rsidR="004C42EC" w:rsidRPr="00414995">
        <w:rPr>
          <w:rFonts w:ascii="Arial" w:hAnsi="Arial" w:hint="cs"/>
          <w:rtl/>
        </w:rPr>
        <w:t>.</w:t>
      </w:r>
      <w:r w:rsidR="004C42EC" w:rsidRPr="00414995">
        <w:rPr>
          <w:rStyle w:val="a7"/>
          <w:rFonts w:ascii="Arial" w:hAnsi="Arial"/>
          <w:rtl/>
        </w:rPr>
        <w:footnoteReference w:id="95"/>
      </w:r>
      <w:r w:rsidR="004C42EC" w:rsidRPr="00414995">
        <w:rPr>
          <w:rFonts w:ascii="Arial" w:hAnsi="Arial" w:hint="cs"/>
          <w:rtl/>
        </w:rPr>
        <w:t xml:space="preserve"> </w:t>
      </w:r>
      <w:r w:rsidR="0072131F" w:rsidRPr="00414995">
        <w:rPr>
          <w:rFonts w:hint="cs"/>
          <w:rtl/>
          <w:lang w:eastAsia="he-IL"/>
        </w:rPr>
        <w:t xml:space="preserve">ציווי זה מהוה איסור כללי ליצירת סיכונים ברשות היחיד, כפי שמדגיש הרמב"ם </w:t>
      </w:r>
      <w:r w:rsidR="0072131F" w:rsidRPr="00414995">
        <w:rPr>
          <w:rtl/>
          <w:lang w:eastAsia="he-IL"/>
        </w:rPr>
        <w:t>–</w:t>
      </w:r>
      <w:r w:rsidR="0072131F" w:rsidRPr="00414995">
        <w:rPr>
          <w:rFonts w:hint="cs"/>
          <w:rtl/>
          <w:lang w:eastAsia="he-IL"/>
        </w:rPr>
        <w:t xml:space="preserve"> </w:t>
      </w:r>
    </w:p>
    <w:p w:rsidR="0072131F" w:rsidRPr="00414995" w:rsidRDefault="0072131F" w:rsidP="0072131F">
      <w:pPr>
        <w:ind w:left="567" w:right="567"/>
        <w:rPr>
          <w:rtl/>
          <w:lang w:eastAsia="he-IL"/>
        </w:rPr>
      </w:pPr>
      <w:r w:rsidRPr="00414995">
        <w:rPr>
          <w:rtl/>
          <w:lang w:eastAsia="he-IL"/>
        </w:rPr>
        <w:t>אחד הגג ואחד כל דבר שיש בו סכנה וראוי שיכשל בו אדם וימות</w:t>
      </w:r>
      <w:r w:rsidRPr="00414995">
        <w:rPr>
          <w:rFonts w:hint="cs"/>
          <w:rtl/>
          <w:lang w:eastAsia="he-IL"/>
        </w:rPr>
        <w:t>...</w:t>
      </w:r>
      <w:r w:rsidRPr="00414995">
        <w:rPr>
          <w:rtl/>
          <w:lang w:eastAsia="he-IL"/>
        </w:rPr>
        <w:t xml:space="preserve"> וכן כל מכשול שיש בו סכנת נפשות מצות עשה להסירו ולהשמר ממנו ולהזהר בדבר יפה יפה</w:t>
      </w:r>
      <w:r w:rsidRPr="00414995">
        <w:rPr>
          <w:rFonts w:hint="cs"/>
          <w:rtl/>
          <w:lang w:eastAsia="he-IL"/>
        </w:rPr>
        <w:t>,</w:t>
      </w:r>
      <w:r w:rsidRPr="00414995">
        <w:rPr>
          <w:rtl/>
          <w:lang w:eastAsia="he-IL"/>
        </w:rPr>
        <w:t xml:space="preserve"> שנ</w:t>
      </w:r>
      <w:r w:rsidRPr="00414995">
        <w:rPr>
          <w:rFonts w:hint="cs"/>
          <w:rtl/>
          <w:lang w:eastAsia="he-IL"/>
        </w:rPr>
        <w:t>אמר: '</w:t>
      </w:r>
      <w:r w:rsidRPr="00414995">
        <w:rPr>
          <w:rtl/>
          <w:lang w:eastAsia="he-IL"/>
        </w:rPr>
        <w:t>השמר לך ושמור נפשך</w:t>
      </w:r>
      <w:r w:rsidRPr="00414995">
        <w:rPr>
          <w:rFonts w:hint="cs"/>
          <w:rtl/>
          <w:lang w:eastAsia="he-IL"/>
        </w:rPr>
        <w:t>'</w:t>
      </w:r>
      <w:r w:rsidRPr="00414995">
        <w:rPr>
          <w:rtl/>
          <w:lang w:eastAsia="he-IL"/>
        </w:rPr>
        <w:t xml:space="preserve">, ואם לא הסיר, והניח המכשולות המביאין לידי סכנה, ביטל מצות עשה ועבר על </w:t>
      </w:r>
      <w:r w:rsidRPr="00414995">
        <w:rPr>
          <w:rFonts w:hint="cs"/>
          <w:rtl/>
          <w:lang w:eastAsia="he-IL"/>
        </w:rPr>
        <w:t>'</w:t>
      </w:r>
      <w:r w:rsidRPr="00414995">
        <w:rPr>
          <w:rtl/>
          <w:lang w:eastAsia="he-IL"/>
        </w:rPr>
        <w:t>לא תשים דמים</w:t>
      </w:r>
      <w:r w:rsidRPr="00414995">
        <w:rPr>
          <w:rFonts w:hint="cs"/>
          <w:rtl/>
          <w:lang w:eastAsia="he-IL"/>
        </w:rPr>
        <w:t>'.</w:t>
      </w:r>
      <w:r w:rsidRPr="00414995">
        <w:rPr>
          <w:rStyle w:val="a7"/>
          <w:rtl/>
          <w:lang w:eastAsia="he-IL"/>
        </w:rPr>
        <w:footnoteReference w:id="96"/>
      </w:r>
    </w:p>
    <w:p w:rsidR="0072131F" w:rsidRPr="00414995" w:rsidRDefault="0072131F" w:rsidP="008F06F6">
      <w:pPr>
        <w:rPr>
          <w:rtl/>
          <w:lang w:eastAsia="he-IL"/>
        </w:rPr>
      </w:pPr>
      <w:r w:rsidRPr="00414995">
        <w:rPr>
          <w:rFonts w:hint="cs"/>
          <w:rtl/>
          <w:lang w:eastAsia="he-IL"/>
        </w:rPr>
        <w:lastRenderedPageBreak/>
        <w:t>יש שהסיקו מאיסור זה בקל וחומר, שתורת ישראל אוסרת על אדם ליצור סיכונים גם ברשות הרבים.</w:t>
      </w:r>
      <w:r w:rsidR="00E93B0D" w:rsidRPr="00414995">
        <w:rPr>
          <w:rStyle w:val="a7"/>
          <w:rtl/>
          <w:lang w:eastAsia="he-IL"/>
        </w:rPr>
        <w:footnoteReference w:id="97"/>
      </w:r>
      <w:r w:rsidRPr="00414995">
        <w:rPr>
          <w:rFonts w:hint="cs"/>
          <w:rtl/>
          <w:lang w:eastAsia="he-IL"/>
        </w:rPr>
        <w:t xml:space="preserve"> אחרים תלו את האיסור ליצור סיכונים ברשות הרבים במצוות "לפני עיוור לא תתן מכשול",</w:t>
      </w:r>
      <w:r w:rsidRPr="00414995">
        <w:rPr>
          <w:rStyle w:val="a7"/>
          <w:rtl/>
          <w:lang w:eastAsia="he-IL"/>
        </w:rPr>
        <w:footnoteReference w:id="98"/>
      </w:r>
      <w:r w:rsidRPr="00414995">
        <w:rPr>
          <w:rFonts w:hint="cs"/>
          <w:rtl/>
          <w:lang w:eastAsia="he-IL"/>
        </w:rPr>
        <w:t xml:space="preserve"> ויש שסברו ש</w:t>
      </w:r>
      <w:r w:rsidR="008F06F6" w:rsidRPr="00414995">
        <w:rPr>
          <w:rFonts w:hint="cs"/>
          <w:rtl/>
          <w:lang w:eastAsia="he-IL"/>
        </w:rPr>
        <w:t>ה</w:t>
      </w:r>
      <w:r w:rsidRPr="00414995">
        <w:rPr>
          <w:rFonts w:hint="cs"/>
          <w:rtl/>
          <w:lang w:eastAsia="he-IL"/>
        </w:rPr>
        <w:t xml:space="preserve">איסור </w:t>
      </w:r>
      <w:r w:rsidR="008F06F6" w:rsidRPr="00414995">
        <w:rPr>
          <w:rFonts w:hint="cs"/>
          <w:rtl/>
          <w:lang w:eastAsia="he-IL"/>
        </w:rPr>
        <w:t xml:space="preserve">ליצור </w:t>
      </w:r>
      <w:r w:rsidRPr="00414995">
        <w:rPr>
          <w:rFonts w:hint="cs"/>
          <w:rtl/>
          <w:lang w:eastAsia="he-IL"/>
        </w:rPr>
        <w:t>סיכונים ברשות הרבים הוא מד</w:t>
      </w:r>
      <w:r w:rsidR="00E93B0D" w:rsidRPr="00414995">
        <w:rPr>
          <w:rFonts w:hint="cs"/>
          <w:rtl/>
          <w:lang w:eastAsia="he-IL"/>
        </w:rPr>
        <w:t>ברי חכמים בלבד, ואין לו יסוד בתורה</w:t>
      </w:r>
      <w:r w:rsidRPr="00414995">
        <w:rPr>
          <w:rFonts w:hint="cs"/>
          <w:rtl/>
          <w:lang w:eastAsia="he-IL"/>
        </w:rPr>
        <w:t>.</w:t>
      </w:r>
      <w:r w:rsidRPr="00414995">
        <w:rPr>
          <w:rStyle w:val="a7"/>
          <w:rtl/>
          <w:lang w:eastAsia="he-IL"/>
        </w:rPr>
        <w:footnoteReference w:id="99"/>
      </w:r>
    </w:p>
    <w:p w:rsidR="008F06F6" w:rsidRPr="00414995" w:rsidRDefault="008F06F6" w:rsidP="008F06F6">
      <w:pPr>
        <w:rPr>
          <w:rtl/>
          <w:lang w:eastAsia="he-IL"/>
        </w:rPr>
      </w:pPr>
      <w:r w:rsidRPr="00414995">
        <w:rPr>
          <w:rFonts w:hint="cs"/>
          <w:rtl/>
          <w:lang w:eastAsia="he-IL"/>
        </w:rPr>
        <w:t xml:space="preserve">כך או אחרת, </w:t>
      </w:r>
      <w:r w:rsidRPr="00414995">
        <w:rPr>
          <w:rFonts w:hint="cs"/>
          <w:b/>
          <w:bCs/>
          <w:rtl/>
          <w:lang w:eastAsia="he-IL"/>
        </w:rPr>
        <w:t xml:space="preserve">מובן שאשמת מי שבמעשה הרצח שביצע יצר גם סיכון ממשי </w:t>
      </w:r>
      <w:r w:rsidRPr="00414995">
        <w:rPr>
          <w:b/>
          <w:bCs/>
          <w:rtl/>
          <w:lang w:eastAsia="he-IL"/>
        </w:rPr>
        <w:t>לפגיעה</w:t>
      </w:r>
      <w:r w:rsidRPr="00414995">
        <w:rPr>
          <w:rFonts w:hint="cs"/>
          <w:b/>
          <w:bCs/>
          <w:rtl/>
          <w:lang w:eastAsia="he-IL"/>
        </w:rPr>
        <w:t xml:space="preserve"> </w:t>
      </w:r>
      <w:r w:rsidRPr="00414995">
        <w:rPr>
          <w:b/>
          <w:bCs/>
          <w:rtl/>
          <w:lang w:eastAsia="he-IL"/>
        </w:rPr>
        <w:t>חמורה בגופו של</w:t>
      </w:r>
      <w:r w:rsidRPr="00414995">
        <w:rPr>
          <w:rFonts w:hint="cs"/>
          <w:b/>
          <w:bCs/>
          <w:rtl/>
          <w:lang w:eastAsia="he-IL"/>
        </w:rPr>
        <w:t xml:space="preserve"> אדם אחר חמורה מאשמתו של מי שביצע מעשה רצח מבלי לסכן אדם אחר, זולת הקרבן, ויש טעם בהחמרת העונש המוטל עליו</w:t>
      </w:r>
      <w:r w:rsidRPr="00414995">
        <w:rPr>
          <w:rFonts w:hint="cs"/>
          <w:rtl/>
          <w:lang w:eastAsia="he-IL"/>
        </w:rPr>
        <w:t xml:space="preserve">. </w:t>
      </w:r>
    </w:p>
    <w:p w:rsidR="008F06F6" w:rsidRPr="00414995" w:rsidRDefault="008F06F6" w:rsidP="008F06F6">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המתת הורה או סב</w:t>
      </w:r>
    </w:p>
    <w:p w:rsidR="00D052A9" w:rsidRPr="00414995" w:rsidRDefault="008F06F6" w:rsidP="007E6685">
      <w:pPr>
        <w:rPr>
          <w:rtl/>
          <w:lang w:eastAsia="he-IL"/>
        </w:rPr>
      </w:pPr>
      <w:r w:rsidRPr="007E6685">
        <w:rPr>
          <w:rFonts w:hint="cs"/>
          <w:spacing w:val="-6"/>
          <w:rtl/>
          <w:lang w:eastAsia="he-IL"/>
        </w:rPr>
        <w:t xml:space="preserve">כאמור לעיל, </w:t>
      </w:r>
      <w:r w:rsidR="00D052A9" w:rsidRPr="007E6685">
        <w:rPr>
          <w:rFonts w:hint="cs"/>
          <w:spacing w:val="-6"/>
          <w:rtl/>
          <w:lang w:eastAsia="he-IL"/>
        </w:rPr>
        <w:t>הצעת החוק מבקשת להשמיט מחוק העונשין את הנסיבה המחמירה של המתת הורה</w:t>
      </w:r>
      <w:r w:rsidR="007E6685" w:rsidRPr="007E6685">
        <w:rPr>
          <w:rFonts w:hint="cs"/>
          <w:spacing w:val="-6"/>
          <w:rtl/>
          <w:lang w:eastAsia="he-IL"/>
        </w:rPr>
        <w:t xml:space="preserve">, </w:t>
      </w:r>
      <w:r w:rsidR="00D052A9" w:rsidRPr="007E6685">
        <w:rPr>
          <w:rFonts w:hint="cs"/>
          <w:spacing w:val="-6"/>
          <w:rtl/>
          <w:lang w:eastAsia="he-IL"/>
        </w:rPr>
        <w:t>סב</w:t>
      </w:r>
      <w:r w:rsidR="007E6685" w:rsidRPr="007E6685">
        <w:rPr>
          <w:rFonts w:hint="cs"/>
          <w:spacing w:val="-6"/>
          <w:rtl/>
          <w:lang w:eastAsia="he-IL"/>
        </w:rPr>
        <w:t xml:space="preserve"> או סבתא</w:t>
      </w:r>
      <w:r w:rsidR="00D052A9" w:rsidRPr="007E6685">
        <w:rPr>
          <w:rFonts w:hint="cs"/>
          <w:spacing w:val="-6"/>
          <w:rtl/>
          <w:lang w:eastAsia="he-IL"/>
        </w:rPr>
        <w:t>. הנימוק להשמטה זו, כעולה מדברי ההסבר להצעת החוק הוא, ש"</w:t>
      </w:r>
      <w:r w:rsidR="00D052A9" w:rsidRPr="007E6685">
        <w:rPr>
          <w:spacing w:val="-6"/>
          <w:rtl/>
          <w:lang w:eastAsia="he-IL"/>
        </w:rPr>
        <w:t>על אף שהמתת הורה או סב מהווה מעשה</w:t>
      </w:r>
      <w:r w:rsidR="00D052A9" w:rsidRPr="007E6685">
        <w:rPr>
          <w:rFonts w:hint="cs"/>
          <w:spacing w:val="-6"/>
          <w:rtl/>
          <w:lang w:eastAsia="he-IL"/>
        </w:rPr>
        <w:t xml:space="preserve"> </w:t>
      </w:r>
      <w:r w:rsidR="00D052A9" w:rsidRPr="007E6685">
        <w:rPr>
          <w:spacing w:val="-6"/>
          <w:rtl/>
          <w:lang w:eastAsia="he-IL"/>
        </w:rPr>
        <w:t>מגונה במיוחד של המתת אדם נוכח התנכרות הממית</w:t>
      </w:r>
      <w:r w:rsidR="00D052A9" w:rsidRPr="007E6685">
        <w:rPr>
          <w:rFonts w:hint="cs"/>
          <w:spacing w:val="-6"/>
          <w:rtl/>
          <w:lang w:eastAsia="he-IL"/>
        </w:rPr>
        <w:t xml:space="preserve"> </w:t>
      </w:r>
      <w:r w:rsidR="00D052A9" w:rsidRPr="007E6685">
        <w:rPr>
          <w:spacing w:val="-6"/>
          <w:rtl/>
          <w:lang w:eastAsia="he-IL"/>
        </w:rPr>
        <w:t>לחובת כיבוד הורים, הרי שהמתת בן משפחה יכולה</w:t>
      </w:r>
      <w:r w:rsidR="00D052A9" w:rsidRPr="007E6685">
        <w:rPr>
          <w:rFonts w:hint="cs"/>
          <w:spacing w:val="-6"/>
          <w:rtl/>
          <w:lang w:eastAsia="he-IL"/>
        </w:rPr>
        <w:t xml:space="preserve"> </w:t>
      </w:r>
      <w:r w:rsidR="00D052A9" w:rsidRPr="007E6685">
        <w:rPr>
          <w:spacing w:val="-6"/>
          <w:rtl/>
          <w:lang w:eastAsia="he-IL"/>
        </w:rPr>
        <w:t>להתרחש בנסיבות שונות, ולא לכל מקרה ממין זה נלווית</w:t>
      </w:r>
      <w:r w:rsidR="00D052A9" w:rsidRPr="007E6685">
        <w:rPr>
          <w:rFonts w:hint="cs"/>
          <w:spacing w:val="-6"/>
          <w:rtl/>
          <w:lang w:eastAsia="he-IL"/>
        </w:rPr>
        <w:t xml:space="preserve"> </w:t>
      </w:r>
      <w:r w:rsidR="00D052A9" w:rsidRPr="007E6685">
        <w:rPr>
          <w:spacing w:val="-6"/>
          <w:rtl/>
          <w:lang w:eastAsia="he-IL"/>
        </w:rPr>
        <w:t>בהכרח חומרה מיוחדת</w:t>
      </w:r>
      <w:r w:rsidR="00D052A9" w:rsidRPr="00414995">
        <w:rPr>
          <w:rFonts w:hint="cs"/>
          <w:rtl/>
          <w:lang w:eastAsia="he-IL"/>
        </w:rPr>
        <w:t xml:space="preserve">". </w:t>
      </w:r>
    </w:p>
    <w:p w:rsidR="008F06F6" w:rsidRPr="00414995" w:rsidRDefault="00D052A9" w:rsidP="00120E3F">
      <w:pPr>
        <w:rPr>
          <w:rtl/>
          <w:lang w:eastAsia="he-IL"/>
        </w:rPr>
      </w:pPr>
      <w:r w:rsidRPr="00414995">
        <w:rPr>
          <w:rFonts w:hint="cs"/>
          <w:rtl/>
          <w:lang w:eastAsia="he-IL"/>
        </w:rPr>
        <w:t>במשפט העברי, העונש המוטל על אדם בשל פגיעה בהורה הוא חמור מן העונש המוטל על אדם בשל פגיעה באדם אחר. כך למשל, בעוד ש</w:t>
      </w:r>
      <w:r w:rsidR="00120E3F" w:rsidRPr="00414995">
        <w:rPr>
          <w:rFonts w:hint="cs"/>
          <w:rtl/>
          <w:lang w:eastAsia="he-IL"/>
        </w:rPr>
        <w:t xml:space="preserve">על פי דין התורה, </w:t>
      </w:r>
      <w:r w:rsidRPr="00414995">
        <w:rPr>
          <w:rFonts w:hint="cs"/>
          <w:rtl/>
          <w:lang w:eastAsia="he-IL"/>
        </w:rPr>
        <w:t xml:space="preserve">המכה את חברו </w:t>
      </w:r>
      <w:r w:rsidR="00120E3F" w:rsidRPr="00414995">
        <w:rPr>
          <w:rFonts w:hint="cs"/>
          <w:rtl/>
          <w:lang w:eastAsia="he-IL"/>
        </w:rPr>
        <w:t xml:space="preserve">חייב </w:t>
      </w:r>
      <w:r w:rsidRPr="00414995">
        <w:rPr>
          <w:rFonts w:hint="cs"/>
          <w:rtl/>
          <w:lang w:eastAsia="he-IL"/>
        </w:rPr>
        <w:t xml:space="preserve">לפצותו </w:t>
      </w:r>
      <w:r w:rsidR="00120E3F" w:rsidRPr="00414995">
        <w:rPr>
          <w:rFonts w:hint="cs"/>
          <w:rtl/>
          <w:lang w:eastAsia="he-IL"/>
        </w:rPr>
        <w:t>ע</w:t>
      </w:r>
      <w:r w:rsidRPr="00414995">
        <w:rPr>
          <w:rFonts w:hint="cs"/>
          <w:rtl/>
          <w:lang w:eastAsia="he-IL"/>
        </w:rPr>
        <w:t>ל נזק שנגרם לו בשל ההכאה אך אינו נושא בעונש פלילי בדיני אדם,</w:t>
      </w:r>
      <w:r w:rsidR="00120E3F" w:rsidRPr="00414995">
        <w:rPr>
          <w:rStyle w:val="a7"/>
          <w:rtl/>
          <w:lang w:eastAsia="he-IL"/>
        </w:rPr>
        <w:footnoteReference w:id="100"/>
      </w:r>
      <w:r w:rsidRPr="00414995">
        <w:rPr>
          <w:rFonts w:hint="cs"/>
          <w:rtl/>
          <w:lang w:eastAsia="he-IL"/>
        </w:rPr>
        <w:t xml:space="preserve"> </w:t>
      </w:r>
      <w:r w:rsidR="00120E3F" w:rsidRPr="00414995">
        <w:rPr>
          <w:rFonts w:hint="cs"/>
          <w:rtl/>
          <w:lang w:eastAsia="he-IL"/>
        </w:rPr>
        <w:t xml:space="preserve">"מכה אביו ואמו </w:t>
      </w:r>
      <w:r w:rsidR="00120E3F" w:rsidRPr="00414995">
        <w:rPr>
          <w:rtl/>
          <w:lang w:eastAsia="he-IL"/>
        </w:rPr>
        <w:t>–</w:t>
      </w:r>
      <w:r w:rsidR="00120E3F" w:rsidRPr="00414995">
        <w:rPr>
          <w:rFonts w:hint="cs"/>
          <w:rtl/>
          <w:lang w:eastAsia="he-IL"/>
        </w:rPr>
        <w:t xml:space="preserve"> מות יומת".</w:t>
      </w:r>
      <w:r w:rsidR="00120E3F" w:rsidRPr="00414995">
        <w:rPr>
          <w:rStyle w:val="a7"/>
          <w:rtl/>
          <w:lang w:eastAsia="he-IL"/>
        </w:rPr>
        <w:footnoteReference w:id="101"/>
      </w:r>
    </w:p>
    <w:p w:rsidR="001F5DE9" w:rsidRPr="00414995" w:rsidRDefault="001F5DE9" w:rsidP="00EE5646">
      <w:pPr>
        <w:rPr>
          <w:rtl/>
          <w:lang w:eastAsia="he-IL"/>
        </w:rPr>
      </w:pPr>
      <w:r w:rsidRPr="00414995">
        <w:rPr>
          <w:rFonts w:hint="cs"/>
          <w:rtl/>
          <w:lang w:eastAsia="he-IL"/>
        </w:rPr>
        <w:t>העונש החמור המוטל על הכאת הורה אינו מוטל אמנם על מי שהכה את סבו או סבתו,</w:t>
      </w:r>
      <w:r w:rsidRPr="00414995">
        <w:rPr>
          <w:rStyle w:val="a7"/>
          <w:rtl/>
          <w:lang w:eastAsia="he-IL"/>
        </w:rPr>
        <w:footnoteReference w:id="102"/>
      </w:r>
      <w:r w:rsidRPr="00414995">
        <w:rPr>
          <w:rFonts w:hint="cs"/>
          <w:rtl/>
          <w:lang w:eastAsia="he-IL"/>
        </w:rPr>
        <w:t xml:space="preserve"> אך </w:t>
      </w:r>
      <w:r w:rsidR="00EE5646" w:rsidRPr="00414995">
        <w:rPr>
          <w:rFonts w:hint="cs"/>
          <w:rtl/>
          <w:lang w:eastAsia="he-IL"/>
        </w:rPr>
        <w:t>מ</w:t>
      </w:r>
      <w:r w:rsidRPr="00414995">
        <w:rPr>
          <w:rFonts w:hint="cs"/>
          <w:rtl/>
          <w:lang w:eastAsia="he-IL"/>
        </w:rPr>
        <w:t xml:space="preserve">מקורות רבים </w:t>
      </w:r>
      <w:r w:rsidR="00EE5646" w:rsidRPr="00414995">
        <w:rPr>
          <w:rFonts w:hint="cs"/>
          <w:rtl/>
          <w:lang w:eastAsia="he-IL"/>
        </w:rPr>
        <w:t xml:space="preserve">ניתן להסיק </w:t>
      </w:r>
      <w:r w:rsidRPr="00414995">
        <w:rPr>
          <w:rFonts w:hint="cs"/>
          <w:rtl/>
          <w:lang w:eastAsia="he-IL"/>
        </w:rPr>
        <w:t>שחובת כיבוד ההורים חלה אף על הוריהם של ההורים.</w:t>
      </w:r>
      <w:r w:rsidRPr="00414995">
        <w:rPr>
          <w:rStyle w:val="a7"/>
          <w:rtl/>
          <w:lang w:eastAsia="he-IL"/>
        </w:rPr>
        <w:footnoteReference w:id="103"/>
      </w:r>
    </w:p>
    <w:p w:rsidR="00EE5646" w:rsidRPr="00414995" w:rsidRDefault="00EE5646" w:rsidP="007E6685">
      <w:pPr>
        <w:rPr>
          <w:rtl/>
          <w:lang w:eastAsia="he-IL"/>
        </w:rPr>
      </w:pPr>
      <w:r w:rsidRPr="00414995">
        <w:rPr>
          <w:rFonts w:hint="cs"/>
          <w:rtl/>
          <w:lang w:eastAsia="he-IL"/>
        </w:rPr>
        <w:t xml:space="preserve">על רקע זה, נראה </w:t>
      </w:r>
      <w:r w:rsidR="00487F52" w:rsidRPr="00414995">
        <w:rPr>
          <w:rFonts w:hint="cs"/>
          <w:rtl/>
          <w:lang w:eastAsia="he-IL"/>
        </w:rPr>
        <w:t>ש</w:t>
      </w:r>
      <w:r w:rsidRPr="00414995">
        <w:rPr>
          <w:rFonts w:hint="cs"/>
          <w:rtl/>
          <w:lang w:eastAsia="he-IL"/>
        </w:rPr>
        <w:t xml:space="preserve">מנקודת המבט של המשפט העברי, </w:t>
      </w:r>
      <w:r w:rsidR="007E6685" w:rsidRPr="007E6685">
        <w:rPr>
          <w:rFonts w:hint="cs"/>
          <w:b/>
          <w:bCs/>
          <w:rtl/>
          <w:lang w:eastAsia="he-IL"/>
        </w:rPr>
        <w:t xml:space="preserve">מן הראוי לקבוע שרצח של </w:t>
      </w:r>
      <w:r w:rsidRPr="007E6685">
        <w:rPr>
          <w:rFonts w:hint="cs"/>
          <w:b/>
          <w:bCs/>
          <w:rtl/>
          <w:lang w:eastAsia="he-IL"/>
        </w:rPr>
        <w:t>הורה</w:t>
      </w:r>
      <w:r w:rsidR="007E6685">
        <w:rPr>
          <w:rFonts w:hint="cs"/>
          <w:b/>
          <w:bCs/>
          <w:rtl/>
          <w:lang w:eastAsia="he-IL"/>
        </w:rPr>
        <w:t>,</w:t>
      </w:r>
      <w:r w:rsidRPr="00414995">
        <w:rPr>
          <w:rFonts w:hint="cs"/>
          <w:b/>
          <w:bCs/>
          <w:rtl/>
          <w:lang w:eastAsia="he-IL"/>
        </w:rPr>
        <w:t xml:space="preserve"> סב</w:t>
      </w:r>
      <w:r w:rsidR="00173537" w:rsidRPr="00414995">
        <w:rPr>
          <w:rFonts w:hint="cs"/>
          <w:b/>
          <w:bCs/>
          <w:rtl/>
          <w:lang w:eastAsia="he-IL"/>
        </w:rPr>
        <w:t xml:space="preserve"> </w:t>
      </w:r>
      <w:r w:rsidR="007E6685">
        <w:rPr>
          <w:rFonts w:hint="cs"/>
          <w:b/>
          <w:bCs/>
          <w:rtl/>
          <w:lang w:eastAsia="he-IL"/>
        </w:rPr>
        <w:t>או סבתא הינו רצח בנסיבות מחמירות,</w:t>
      </w:r>
      <w:r w:rsidR="007E6685">
        <w:rPr>
          <w:rStyle w:val="a7"/>
          <w:b/>
          <w:bCs/>
          <w:rtl/>
          <w:lang w:eastAsia="he-IL"/>
        </w:rPr>
        <w:footnoteReference w:id="104"/>
      </w:r>
      <w:r w:rsidR="007E6685">
        <w:rPr>
          <w:rFonts w:hint="cs"/>
          <w:b/>
          <w:bCs/>
          <w:rtl/>
          <w:lang w:eastAsia="he-IL"/>
        </w:rPr>
        <w:t xml:space="preserve"> שעונשו מאסר עולם חובה.</w:t>
      </w:r>
      <w:r w:rsidRPr="00414995">
        <w:rPr>
          <w:rFonts w:hint="cs"/>
          <w:rtl/>
          <w:lang w:eastAsia="he-IL"/>
        </w:rPr>
        <w:t xml:space="preserve"> </w:t>
      </w:r>
    </w:p>
    <w:p w:rsidR="0059728C" w:rsidRPr="00414995" w:rsidRDefault="00C839DE" w:rsidP="0059728C">
      <w:pPr>
        <w:pStyle w:val="1"/>
        <w:numPr>
          <w:ilvl w:val="0"/>
          <w:numId w:val="17"/>
        </w:numPr>
        <w:bidi/>
        <w:spacing w:after="120"/>
        <w:ind w:left="357" w:hanging="357"/>
        <w:rPr>
          <w:rFonts w:ascii="Times New Roman" w:hAnsi="Times New Roman"/>
          <w:b/>
          <w:kern w:val="0"/>
          <w:sz w:val="24"/>
          <w:rtl/>
          <w:lang w:eastAsia="he-IL"/>
        </w:rPr>
      </w:pPr>
      <w:r w:rsidRPr="00414995">
        <w:rPr>
          <w:rFonts w:ascii="Times New Roman" w:hAnsi="Times New Roman" w:hint="cs"/>
          <w:b/>
          <w:kern w:val="0"/>
          <w:sz w:val="24"/>
          <w:rtl/>
          <w:lang w:eastAsia="he-IL"/>
        </w:rPr>
        <w:lastRenderedPageBreak/>
        <w:t>המתה ב</w:t>
      </w:r>
      <w:r w:rsidR="0059728C" w:rsidRPr="00414995">
        <w:rPr>
          <w:rFonts w:ascii="Times New Roman" w:hAnsi="Times New Roman" w:hint="cs"/>
          <w:b/>
          <w:kern w:val="0"/>
          <w:sz w:val="24"/>
          <w:rtl/>
          <w:lang w:eastAsia="he-IL"/>
        </w:rPr>
        <w:t>אחריות מופחתת</w:t>
      </w:r>
    </w:p>
    <w:p w:rsidR="0059728C" w:rsidRPr="00414995" w:rsidRDefault="00C839DE" w:rsidP="00C839DE">
      <w:pPr>
        <w:rPr>
          <w:rtl/>
          <w:lang w:eastAsia="he-IL"/>
        </w:rPr>
      </w:pPr>
      <w:r w:rsidRPr="00414995">
        <w:rPr>
          <w:rFonts w:hint="cs"/>
          <w:rtl/>
          <w:lang w:eastAsia="he-IL"/>
        </w:rPr>
        <w:t>סעיף 6 ל</w:t>
      </w:r>
      <w:r w:rsidR="00842AC2" w:rsidRPr="00414995">
        <w:rPr>
          <w:rFonts w:hint="cs"/>
          <w:rtl/>
          <w:lang w:eastAsia="he-IL"/>
        </w:rPr>
        <w:t xml:space="preserve">הצעת החוק מבקש לקבוע עבירה חדשה של המתה בנסיבות של אחריות מופחתת, שבגדרה יבואו מעשי רצח שבשל נסיבות ביצועם מצדיקים הפחתה בעונשו של הרוצח. העונש המרבי שיוטל על מי שיורשע ברצח בנסיבות אלה הוא </w:t>
      </w:r>
      <w:r w:rsidR="00842AC2" w:rsidRPr="00414995">
        <w:rPr>
          <w:rtl/>
          <w:lang w:eastAsia="he-IL"/>
        </w:rPr>
        <w:t>–</w:t>
      </w:r>
      <w:r w:rsidR="00842AC2" w:rsidRPr="00414995">
        <w:rPr>
          <w:rFonts w:hint="cs"/>
          <w:rtl/>
          <w:lang w:eastAsia="he-IL"/>
        </w:rPr>
        <w:t xml:space="preserve"> עשרים שנות מאסר.</w:t>
      </w:r>
    </w:p>
    <w:p w:rsidR="00173537" w:rsidRPr="00414995" w:rsidRDefault="009158FC" w:rsidP="007E6685">
      <w:pPr>
        <w:rPr>
          <w:rtl/>
          <w:lang w:eastAsia="he-IL"/>
        </w:rPr>
      </w:pPr>
      <w:r w:rsidRPr="00414995">
        <w:rPr>
          <w:rFonts w:hint="cs"/>
          <w:rtl/>
          <w:lang w:eastAsia="he-IL"/>
        </w:rPr>
        <w:t>ככלל, "</w:t>
      </w:r>
      <w:r w:rsidRPr="00414995">
        <w:rPr>
          <w:rtl/>
          <w:lang w:eastAsia="he-IL"/>
        </w:rPr>
        <w:t>רוב</w:t>
      </w:r>
      <w:r w:rsidRPr="00414995">
        <w:rPr>
          <w:rFonts w:hint="cs"/>
          <w:rtl/>
          <w:lang w:eastAsia="he-IL"/>
        </w:rPr>
        <w:t xml:space="preserve"> </w:t>
      </w:r>
      <w:r w:rsidRPr="00414995">
        <w:rPr>
          <w:rtl/>
          <w:lang w:eastAsia="he-IL"/>
        </w:rPr>
        <w:t>המקרים שמוצע לכלול בגדר עבירה זו באים היום בגדר</w:t>
      </w:r>
      <w:r w:rsidRPr="00414995">
        <w:rPr>
          <w:rFonts w:hint="cs"/>
          <w:rtl/>
          <w:lang w:eastAsia="he-IL"/>
        </w:rPr>
        <w:t xml:space="preserve"> </w:t>
      </w:r>
      <w:r w:rsidRPr="00414995">
        <w:rPr>
          <w:rtl/>
          <w:lang w:eastAsia="he-IL"/>
        </w:rPr>
        <w:t>סעיף 300א לחוק העונשין</w:t>
      </w:r>
      <w:r w:rsidRPr="00414995">
        <w:rPr>
          <w:rFonts w:hint="cs"/>
          <w:rtl/>
          <w:lang w:eastAsia="he-IL"/>
        </w:rPr>
        <w:t>"</w:t>
      </w:r>
      <w:r w:rsidRPr="00414995">
        <w:rPr>
          <w:rtl/>
          <w:lang w:eastAsia="he-IL"/>
        </w:rPr>
        <w:t>,</w:t>
      </w:r>
      <w:r w:rsidRPr="00414995">
        <w:rPr>
          <w:rStyle w:val="a7"/>
          <w:rtl/>
          <w:lang w:eastAsia="he-IL"/>
        </w:rPr>
        <w:footnoteReference w:id="105"/>
      </w:r>
      <w:r w:rsidRPr="00414995">
        <w:rPr>
          <w:rFonts w:hint="cs"/>
          <w:rtl/>
          <w:lang w:eastAsia="he-IL"/>
        </w:rPr>
        <w:t xml:space="preserve"> </w:t>
      </w:r>
      <w:r w:rsidR="00173537" w:rsidRPr="00414995">
        <w:rPr>
          <w:rFonts w:hint="cs"/>
          <w:rtl/>
          <w:lang w:eastAsia="he-IL"/>
        </w:rPr>
        <w:t>הקובע שניתן להטיל על רוצח עונש קל מזה הקב</w:t>
      </w:r>
      <w:r w:rsidR="007E6685">
        <w:rPr>
          <w:rFonts w:hint="cs"/>
          <w:rtl/>
          <w:lang w:eastAsia="he-IL"/>
        </w:rPr>
        <w:t>ו</w:t>
      </w:r>
      <w:r w:rsidR="00173537" w:rsidRPr="00414995">
        <w:rPr>
          <w:rFonts w:hint="cs"/>
          <w:rtl/>
          <w:lang w:eastAsia="he-IL"/>
        </w:rPr>
        <w:t xml:space="preserve">ע בסעיף 300 לחוק </w:t>
      </w:r>
      <w:r w:rsidR="00173537" w:rsidRPr="00414995">
        <w:rPr>
          <w:rtl/>
          <w:lang w:eastAsia="he-IL"/>
        </w:rPr>
        <w:t>–</w:t>
      </w:r>
      <w:r w:rsidR="00173537" w:rsidRPr="00414995">
        <w:rPr>
          <w:rFonts w:hint="cs"/>
          <w:rtl/>
          <w:lang w:eastAsia="he-IL"/>
        </w:rPr>
        <w:t xml:space="preserve"> </w:t>
      </w:r>
    </w:p>
    <w:tbl>
      <w:tblPr>
        <w:tblStyle w:val="af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1"/>
        <w:gridCol w:w="567"/>
        <w:gridCol w:w="7088"/>
      </w:tblGrid>
      <w:tr w:rsidR="00173537" w:rsidRPr="00414995" w:rsidTr="00E46258">
        <w:tc>
          <w:tcPr>
            <w:tcW w:w="641" w:type="dxa"/>
          </w:tcPr>
          <w:p w:rsidR="00173537" w:rsidRPr="00414995" w:rsidRDefault="00173537" w:rsidP="00E46258">
            <w:pPr>
              <w:spacing w:before="0" w:after="0"/>
              <w:rPr>
                <w:rtl/>
                <w:lang w:eastAsia="he-IL"/>
              </w:rPr>
            </w:pPr>
            <w:r w:rsidRPr="00414995">
              <w:rPr>
                <w:rFonts w:hint="cs"/>
                <w:rtl/>
                <w:lang w:eastAsia="he-IL"/>
              </w:rPr>
              <w:t>(א)</w:t>
            </w:r>
          </w:p>
        </w:tc>
        <w:tc>
          <w:tcPr>
            <w:tcW w:w="7655" w:type="dxa"/>
            <w:gridSpan w:val="2"/>
          </w:tcPr>
          <w:p w:rsidR="00173537" w:rsidRPr="00414995" w:rsidRDefault="00173537" w:rsidP="00E46258">
            <w:pPr>
              <w:spacing w:before="0" w:after="0"/>
              <w:rPr>
                <w:rtl/>
                <w:lang w:eastAsia="he-IL"/>
              </w:rPr>
            </w:pPr>
            <w:r w:rsidRPr="00414995">
              <w:rPr>
                <w:rFonts w:eastAsia="Times New Roman" w:hint="eastAsia"/>
                <w:color w:val="000000"/>
                <w:rtl/>
              </w:rPr>
              <w:t>במצב</w:t>
            </w:r>
            <w:r w:rsidRPr="00414995">
              <w:rPr>
                <w:rFonts w:eastAsia="Times New Roman"/>
                <w:color w:val="000000"/>
                <w:rtl/>
              </w:rPr>
              <w:t xml:space="preserve"> </w:t>
            </w:r>
            <w:r w:rsidRPr="00414995">
              <w:rPr>
                <w:rFonts w:eastAsia="Times New Roman" w:hint="eastAsia"/>
                <w:color w:val="000000"/>
                <w:rtl/>
              </w:rPr>
              <w:t>שבו</w:t>
            </w:r>
            <w:r w:rsidRPr="00414995">
              <w:rPr>
                <w:rFonts w:eastAsia="Times New Roman"/>
                <w:color w:val="000000"/>
                <w:rtl/>
              </w:rPr>
              <w:t xml:space="preserve">, </w:t>
            </w:r>
            <w:r w:rsidRPr="00414995">
              <w:rPr>
                <w:rFonts w:eastAsia="Times New Roman" w:hint="eastAsia"/>
                <w:color w:val="000000"/>
                <w:rtl/>
              </w:rPr>
              <w:t>בשל</w:t>
            </w:r>
            <w:r w:rsidRPr="00414995">
              <w:rPr>
                <w:rFonts w:eastAsia="Times New Roman"/>
                <w:color w:val="000000"/>
                <w:rtl/>
              </w:rPr>
              <w:t xml:space="preserve"> </w:t>
            </w:r>
            <w:r w:rsidRPr="00414995">
              <w:rPr>
                <w:rFonts w:eastAsia="Times New Roman" w:hint="eastAsia"/>
                <w:color w:val="000000"/>
                <w:rtl/>
              </w:rPr>
              <w:t>הפרעה</w:t>
            </w:r>
            <w:r w:rsidRPr="00414995">
              <w:rPr>
                <w:rFonts w:eastAsia="Times New Roman"/>
                <w:color w:val="000000"/>
                <w:rtl/>
              </w:rPr>
              <w:t xml:space="preserve"> </w:t>
            </w:r>
            <w:r w:rsidRPr="00414995">
              <w:rPr>
                <w:rFonts w:eastAsia="Times New Roman" w:hint="eastAsia"/>
                <w:color w:val="000000"/>
                <w:rtl/>
              </w:rPr>
              <w:t>נפשית</w:t>
            </w:r>
            <w:r w:rsidRPr="00414995">
              <w:rPr>
                <w:rFonts w:eastAsia="Times New Roman"/>
                <w:color w:val="000000"/>
                <w:rtl/>
              </w:rPr>
              <w:t xml:space="preserve"> </w:t>
            </w:r>
            <w:r w:rsidRPr="00414995">
              <w:rPr>
                <w:rFonts w:eastAsia="Times New Roman" w:hint="eastAsia"/>
                <w:color w:val="000000"/>
                <w:rtl/>
              </w:rPr>
              <w:t>חמורה</w:t>
            </w:r>
            <w:r w:rsidRPr="00414995">
              <w:rPr>
                <w:rFonts w:eastAsia="Times New Roman"/>
                <w:color w:val="000000"/>
                <w:rtl/>
              </w:rPr>
              <w:t xml:space="preserve"> </w:t>
            </w:r>
            <w:r w:rsidRPr="00414995">
              <w:rPr>
                <w:rFonts w:eastAsia="Times New Roman" w:hint="eastAsia"/>
                <w:color w:val="000000"/>
                <w:rtl/>
              </w:rPr>
              <w:t>או</w:t>
            </w:r>
            <w:r w:rsidRPr="00414995">
              <w:rPr>
                <w:rFonts w:eastAsia="Times New Roman"/>
                <w:color w:val="000000"/>
                <w:rtl/>
              </w:rPr>
              <w:t xml:space="preserve"> </w:t>
            </w:r>
            <w:r w:rsidRPr="00414995">
              <w:rPr>
                <w:rFonts w:eastAsia="Times New Roman" w:hint="eastAsia"/>
                <w:color w:val="000000"/>
                <w:rtl/>
              </w:rPr>
              <w:t>בשל</w:t>
            </w:r>
            <w:r w:rsidRPr="00414995">
              <w:rPr>
                <w:rFonts w:eastAsia="Times New Roman"/>
                <w:color w:val="000000"/>
                <w:rtl/>
              </w:rPr>
              <w:t xml:space="preserve"> </w:t>
            </w:r>
            <w:r w:rsidRPr="00414995">
              <w:rPr>
                <w:rFonts w:eastAsia="Times New Roman" w:hint="eastAsia"/>
                <w:color w:val="000000"/>
                <w:rtl/>
              </w:rPr>
              <w:t>ליקוי</w:t>
            </w:r>
            <w:r w:rsidRPr="00414995">
              <w:rPr>
                <w:rFonts w:eastAsia="Times New Roman"/>
                <w:color w:val="000000"/>
                <w:rtl/>
              </w:rPr>
              <w:t xml:space="preserve"> </w:t>
            </w:r>
            <w:r w:rsidRPr="00414995">
              <w:rPr>
                <w:rFonts w:eastAsia="Times New Roman" w:hint="eastAsia"/>
                <w:color w:val="000000"/>
                <w:rtl/>
              </w:rPr>
              <w:t>בכושרו</w:t>
            </w:r>
            <w:r w:rsidRPr="00414995">
              <w:rPr>
                <w:rFonts w:eastAsia="Times New Roman"/>
                <w:color w:val="000000"/>
                <w:rtl/>
              </w:rPr>
              <w:t xml:space="preserve"> </w:t>
            </w:r>
            <w:r w:rsidRPr="00414995">
              <w:rPr>
                <w:rFonts w:eastAsia="Times New Roman" w:hint="eastAsia"/>
                <w:color w:val="000000"/>
                <w:rtl/>
              </w:rPr>
              <w:t>השכלי</w:t>
            </w:r>
            <w:r w:rsidRPr="00414995">
              <w:rPr>
                <w:rFonts w:eastAsia="Times New Roman"/>
                <w:color w:val="000000"/>
                <w:rtl/>
              </w:rPr>
              <w:t xml:space="preserve">, </w:t>
            </w:r>
            <w:r w:rsidRPr="00414995">
              <w:rPr>
                <w:rFonts w:eastAsia="Times New Roman" w:hint="eastAsia"/>
                <w:color w:val="000000"/>
                <w:rtl/>
              </w:rPr>
              <w:t>הוגבלה</w:t>
            </w:r>
            <w:r w:rsidRPr="00414995">
              <w:rPr>
                <w:rFonts w:eastAsia="Times New Roman"/>
                <w:color w:val="000000"/>
                <w:rtl/>
              </w:rPr>
              <w:t xml:space="preserve"> </w:t>
            </w:r>
            <w:r w:rsidRPr="00414995">
              <w:rPr>
                <w:rFonts w:eastAsia="Times New Roman" w:hint="eastAsia"/>
                <w:color w:val="000000"/>
                <w:rtl/>
              </w:rPr>
              <w:t>יכולתו</w:t>
            </w:r>
            <w:r w:rsidRPr="00414995">
              <w:rPr>
                <w:rFonts w:eastAsia="Times New Roman"/>
                <w:color w:val="000000"/>
                <w:rtl/>
              </w:rPr>
              <w:t xml:space="preserve"> </w:t>
            </w:r>
            <w:r w:rsidRPr="00414995">
              <w:rPr>
                <w:rFonts w:eastAsia="Times New Roman" w:hint="eastAsia"/>
                <w:color w:val="000000"/>
                <w:rtl/>
              </w:rPr>
              <w:t>של</w:t>
            </w:r>
            <w:r w:rsidRPr="00414995">
              <w:rPr>
                <w:rFonts w:eastAsia="Times New Roman"/>
                <w:color w:val="000000"/>
                <w:rtl/>
              </w:rPr>
              <w:t xml:space="preserve"> </w:t>
            </w:r>
            <w:r w:rsidRPr="00414995">
              <w:rPr>
                <w:rFonts w:eastAsia="Times New Roman" w:hint="eastAsia"/>
                <w:color w:val="000000"/>
                <w:rtl/>
              </w:rPr>
              <w:t>הנאשם</w:t>
            </w:r>
            <w:r w:rsidRPr="00414995">
              <w:rPr>
                <w:rFonts w:eastAsia="Times New Roman"/>
                <w:color w:val="000000"/>
                <w:rtl/>
              </w:rPr>
              <w:t xml:space="preserve"> </w:t>
            </w:r>
            <w:r w:rsidRPr="00414995">
              <w:rPr>
                <w:rFonts w:eastAsia="Times New Roman" w:hint="eastAsia"/>
                <w:color w:val="000000"/>
                <w:rtl/>
              </w:rPr>
              <w:t>במידה</w:t>
            </w:r>
            <w:r w:rsidRPr="00414995">
              <w:rPr>
                <w:rFonts w:eastAsia="Times New Roman"/>
                <w:color w:val="000000"/>
                <w:rtl/>
              </w:rPr>
              <w:t xml:space="preserve"> </w:t>
            </w:r>
            <w:r w:rsidRPr="00414995">
              <w:rPr>
                <w:rFonts w:eastAsia="Times New Roman" w:hint="eastAsia"/>
                <w:color w:val="000000"/>
                <w:rtl/>
              </w:rPr>
              <w:t>ניכרת</w:t>
            </w:r>
            <w:r w:rsidRPr="00414995">
              <w:rPr>
                <w:rFonts w:eastAsia="Times New Roman"/>
                <w:color w:val="000000"/>
                <w:rtl/>
              </w:rPr>
              <w:t xml:space="preserve">, </w:t>
            </w:r>
            <w:r w:rsidRPr="00414995">
              <w:rPr>
                <w:rFonts w:eastAsia="Times New Roman" w:hint="eastAsia"/>
                <w:color w:val="000000"/>
                <w:rtl/>
              </w:rPr>
              <w:t>אך</w:t>
            </w:r>
            <w:r w:rsidRPr="00414995">
              <w:rPr>
                <w:rFonts w:eastAsia="Times New Roman"/>
                <w:color w:val="000000"/>
                <w:rtl/>
              </w:rPr>
              <w:t xml:space="preserve"> </w:t>
            </w:r>
            <w:r w:rsidRPr="00414995">
              <w:rPr>
                <w:rFonts w:eastAsia="Times New Roman" w:hint="eastAsia"/>
                <w:color w:val="000000"/>
                <w:rtl/>
              </w:rPr>
              <w:t>לא</w:t>
            </w:r>
            <w:r w:rsidRPr="00414995">
              <w:rPr>
                <w:rFonts w:eastAsia="Times New Roman"/>
                <w:color w:val="000000"/>
                <w:rtl/>
              </w:rPr>
              <w:t xml:space="preserve"> </w:t>
            </w:r>
            <w:r w:rsidRPr="00414995">
              <w:rPr>
                <w:rFonts w:eastAsia="Times New Roman" w:hint="eastAsia"/>
                <w:color w:val="000000"/>
                <w:rtl/>
              </w:rPr>
              <w:t>עד</w:t>
            </w:r>
            <w:r w:rsidRPr="00414995">
              <w:rPr>
                <w:rFonts w:eastAsia="Times New Roman"/>
                <w:color w:val="000000"/>
                <w:rtl/>
              </w:rPr>
              <w:t xml:space="preserve"> </w:t>
            </w:r>
            <w:r w:rsidRPr="00414995">
              <w:rPr>
                <w:rFonts w:eastAsia="Times New Roman" w:hint="eastAsia"/>
                <w:color w:val="000000"/>
                <w:rtl/>
              </w:rPr>
              <w:t>כדי</w:t>
            </w:r>
            <w:r w:rsidRPr="00414995">
              <w:rPr>
                <w:rFonts w:eastAsia="Times New Roman"/>
                <w:color w:val="000000"/>
                <w:rtl/>
              </w:rPr>
              <w:t xml:space="preserve"> </w:t>
            </w:r>
            <w:r w:rsidRPr="00414995">
              <w:rPr>
                <w:rFonts w:eastAsia="Times New Roman" w:hint="eastAsia"/>
                <w:color w:val="000000"/>
                <w:rtl/>
              </w:rPr>
              <w:t>חוסר</w:t>
            </w:r>
            <w:r w:rsidRPr="00414995">
              <w:rPr>
                <w:rFonts w:eastAsia="Times New Roman"/>
                <w:color w:val="000000"/>
                <w:rtl/>
              </w:rPr>
              <w:t xml:space="preserve"> </w:t>
            </w:r>
            <w:r w:rsidRPr="00414995">
              <w:rPr>
                <w:rFonts w:eastAsia="Times New Roman" w:hint="eastAsia"/>
                <w:color w:val="000000"/>
                <w:rtl/>
              </w:rPr>
              <w:t>יכולת</w:t>
            </w:r>
            <w:r w:rsidRPr="00414995">
              <w:rPr>
                <w:rFonts w:eastAsia="Times New Roman"/>
                <w:color w:val="000000"/>
                <w:rtl/>
              </w:rPr>
              <w:t xml:space="preserve"> </w:t>
            </w:r>
            <w:r w:rsidRPr="00414995">
              <w:rPr>
                <w:rFonts w:eastAsia="Times New Roman" w:hint="eastAsia"/>
                <w:color w:val="000000"/>
                <w:rtl/>
              </w:rPr>
              <w:t>של</w:t>
            </w:r>
            <w:r w:rsidRPr="00414995">
              <w:rPr>
                <w:rFonts w:eastAsia="Times New Roman"/>
                <w:color w:val="000000"/>
                <w:rtl/>
              </w:rPr>
              <w:t xml:space="preserve"> </w:t>
            </w:r>
            <w:r w:rsidRPr="00414995">
              <w:rPr>
                <w:rFonts w:eastAsia="Times New Roman" w:hint="eastAsia"/>
                <w:color w:val="000000"/>
                <w:rtl/>
              </w:rPr>
              <w:t>ממש</w:t>
            </w:r>
            <w:r w:rsidRPr="00414995">
              <w:rPr>
                <w:rFonts w:eastAsia="Times New Roman"/>
                <w:color w:val="000000"/>
                <w:rtl/>
              </w:rPr>
              <w:t xml:space="preserve"> </w:t>
            </w:r>
            <w:r w:rsidRPr="00414995">
              <w:rPr>
                <w:rFonts w:eastAsia="Times New Roman" w:hint="eastAsia"/>
                <w:color w:val="000000"/>
                <w:rtl/>
              </w:rPr>
              <w:t>כאמור</w:t>
            </w:r>
            <w:r w:rsidRPr="00414995">
              <w:rPr>
                <w:rFonts w:eastAsia="Times New Roman"/>
                <w:color w:val="000000"/>
                <w:rtl/>
              </w:rPr>
              <w:t xml:space="preserve"> </w:t>
            </w:r>
            <w:r w:rsidRPr="00414995">
              <w:rPr>
                <w:rFonts w:eastAsia="Times New Roman" w:hint="eastAsia"/>
                <w:color w:val="000000"/>
                <w:rtl/>
              </w:rPr>
              <w:t>בסעיף</w:t>
            </w:r>
            <w:r w:rsidRPr="00414995">
              <w:rPr>
                <w:rFonts w:eastAsia="Times New Roman"/>
                <w:color w:val="000000"/>
                <w:rtl/>
              </w:rPr>
              <w:t xml:space="preserve"> 34ח</w:t>
            </w:r>
            <w:r w:rsidRPr="00414995">
              <w:rPr>
                <w:rFonts w:hint="cs"/>
                <w:rtl/>
                <w:lang w:eastAsia="he-IL"/>
              </w:rPr>
              <w:t xml:space="preserve"> </w:t>
            </w:r>
            <w:r w:rsidRPr="00414995">
              <w:rPr>
                <w:rtl/>
                <w:lang w:eastAsia="he-IL"/>
              </w:rPr>
              <w:t>–</w:t>
            </w:r>
            <w:r w:rsidRPr="00414995">
              <w:rPr>
                <w:rFonts w:hint="cs"/>
                <w:rtl/>
                <w:lang w:eastAsia="he-IL"/>
              </w:rPr>
              <w:t xml:space="preserve"> </w:t>
            </w:r>
          </w:p>
        </w:tc>
      </w:tr>
      <w:tr w:rsidR="00173537" w:rsidRPr="00414995" w:rsidTr="00E46258">
        <w:tc>
          <w:tcPr>
            <w:tcW w:w="641" w:type="dxa"/>
          </w:tcPr>
          <w:p w:rsidR="00173537" w:rsidRPr="00414995" w:rsidRDefault="00173537" w:rsidP="00E46258">
            <w:pPr>
              <w:spacing w:before="0" w:after="0"/>
              <w:rPr>
                <w:rtl/>
                <w:lang w:eastAsia="he-IL"/>
              </w:rPr>
            </w:pPr>
          </w:p>
        </w:tc>
        <w:tc>
          <w:tcPr>
            <w:tcW w:w="567" w:type="dxa"/>
          </w:tcPr>
          <w:p w:rsidR="00173537" w:rsidRPr="00414995" w:rsidRDefault="006014EE" w:rsidP="00E46258">
            <w:pPr>
              <w:spacing w:before="0" w:after="0"/>
              <w:rPr>
                <w:rtl/>
                <w:lang w:eastAsia="he-IL"/>
              </w:rPr>
            </w:pPr>
            <w:r w:rsidRPr="00414995">
              <w:rPr>
                <w:rFonts w:hint="cs"/>
                <w:rtl/>
                <w:lang w:eastAsia="he-IL"/>
              </w:rPr>
              <w:t>(1)</w:t>
            </w:r>
          </w:p>
        </w:tc>
        <w:tc>
          <w:tcPr>
            <w:tcW w:w="7088" w:type="dxa"/>
          </w:tcPr>
          <w:p w:rsidR="00173537" w:rsidRPr="00414995" w:rsidRDefault="006014EE" w:rsidP="00E46258">
            <w:pPr>
              <w:spacing w:before="0" w:after="0"/>
              <w:rPr>
                <w:rFonts w:eastAsia="Times New Roman"/>
                <w:color w:val="000000"/>
                <w:rtl/>
              </w:rPr>
            </w:pPr>
            <w:r w:rsidRPr="00414995">
              <w:rPr>
                <w:rFonts w:eastAsia="Times New Roman" w:hint="eastAsia"/>
                <w:color w:val="000000"/>
                <w:rtl/>
              </w:rPr>
              <w:t>להבין</w:t>
            </w:r>
            <w:r w:rsidRPr="00414995">
              <w:rPr>
                <w:rFonts w:eastAsia="Times New Roman"/>
                <w:color w:val="000000"/>
                <w:rtl/>
              </w:rPr>
              <w:t xml:space="preserve"> </w:t>
            </w:r>
            <w:r w:rsidRPr="00414995">
              <w:rPr>
                <w:rFonts w:eastAsia="Times New Roman" w:hint="eastAsia"/>
                <w:color w:val="000000"/>
                <w:rtl/>
              </w:rPr>
              <w:t>את</w:t>
            </w:r>
            <w:r w:rsidRPr="00414995">
              <w:rPr>
                <w:rFonts w:eastAsia="Times New Roman"/>
                <w:color w:val="000000"/>
                <w:rtl/>
              </w:rPr>
              <w:t xml:space="preserve"> </w:t>
            </w:r>
            <w:r w:rsidRPr="00414995">
              <w:rPr>
                <w:rFonts w:eastAsia="Times New Roman" w:hint="eastAsia"/>
                <w:color w:val="000000"/>
                <w:rtl/>
              </w:rPr>
              <w:t>אשר</w:t>
            </w:r>
            <w:r w:rsidRPr="00414995">
              <w:rPr>
                <w:rFonts w:eastAsia="Times New Roman"/>
                <w:color w:val="000000"/>
                <w:rtl/>
              </w:rPr>
              <w:t xml:space="preserve"> </w:t>
            </w:r>
            <w:r w:rsidRPr="00414995">
              <w:rPr>
                <w:rFonts w:eastAsia="Times New Roman" w:hint="eastAsia"/>
                <w:color w:val="000000"/>
                <w:rtl/>
              </w:rPr>
              <w:t>הוא</w:t>
            </w:r>
            <w:r w:rsidRPr="00414995">
              <w:rPr>
                <w:rFonts w:eastAsia="Times New Roman"/>
                <w:color w:val="000000"/>
                <w:rtl/>
              </w:rPr>
              <w:t xml:space="preserve"> </w:t>
            </w:r>
            <w:r w:rsidRPr="00414995">
              <w:rPr>
                <w:rFonts w:eastAsia="Times New Roman" w:hint="eastAsia"/>
                <w:color w:val="000000"/>
                <w:rtl/>
              </w:rPr>
              <w:t>עושה</w:t>
            </w:r>
            <w:r w:rsidRPr="00414995">
              <w:rPr>
                <w:rFonts w:eastAsia="Times New Roman"/>
                <w:color w:val="000000"/>
                <w:rtl/>
              </w:rPr>
              <w:t xml:space="preserve"> </w:t>
            </w:r>
            <w:r w:rsidRPr="00414995">
              <w:rPr>
                <w:rFonts w:eastAsia="Times New Roman" w:hint="eastAsia"/>
                <w:color w:val="000000"/>
                <w:rtl/>
              </w:rPr>
              <w:t>או</w:t>
            </w:r>
            <w:r w:rsidRPr="00414995">
              <w:rPr>
                <w:rFonts w:eastAsia="Times New Roman"/>
                <w:color w:val="000000"/>
                <w:rtl/>
              </w:rPr>
              <w:t xml:space="preserve"> </w:t>
            </w:r>
            <w:r w:rsidRPr="00414995">
              <w:rPr>
                <w:rFonts w:eastAsia="Times New Roman" w:hint="eastAsia"/>
                <w:color w:val="000000"/>
                <w:rtl/>
              </w:rPr>
              <w:t>את</w:t>
            </w:r>
            <w:r w:rsidRPr="00414995">
              <w:rPr>
                <w:rFonts w:eastAsia="Times New Roman"/>
                <w:color w:val="000000"/>
                <w:rtl/>
              </w:rPr>
              <w:t xml:space="preserve"> </w:t>
            </w:r>
            <w:r w:rsidRPr="00414995">
              <w:rPr>
                <w:rFonts w:eastAsia="Times New Roman" w:hint="eastAsia"/>
                <w:color w:val="000000"/>
                <w:rtl/>
              </w:rPr>
              <w:t>הפסול</w:t>
            </w:r>
            <w:r w:rsidRPr="00414995">
              <w:rPr>
                <w:rFonts w:eastAsia="Times New Roman"/>
                <w:color w:val="000000"/>
                <w:rtl/>
              </w:rPr>
              <w:t xml:space="preserve"> </w:t>
            </w:r>
            <w:r w:rsidRPr="00414995">
              <w:rPr>
                <w:rFonts w:eastAsia="Times New Roman" w:hint="eastAsia"/>
                <w:color w:val="000000"/>
                <w:rtl/>
              </w:rPr>
              <w:t>שבמעשהו</w:t>
            </w:r>
            <w:r w:rsidRPr="00414995">
              <w:rPr>
                <w:rFonts w:eastAsia="Times New Roman"/>
                <w:color w:val="000000"/>
                <w:rtl/>
              </w:rPr>
              <w:t xml:space="preserve">; </w:t>
            </w:r>
            <w:r w:rsidRPr="00414995">
              <w:rPr>
                <w:rFonts w:eastAsia="Times New Roman" w:hint="eastAsia"/>
                <w:color w:val="000000"/>
                <w:rtl/>
              </w:rPr>
              <w:t>או</w:t>
            </w:r>
          </w:p>
        </w:tc>
      </w:tr>
      <w:tr w:rsidR="00173537" w:rsidRPr="00414995" w:rsidTr="00E46258">
        <w:tc>
          <w:tcPr>
            <w:tcW w:w="641" w:type="dxa"/>
          </w:tcPr>
          <w:p w:rsidR="00173537" w:rsidRPr="00414995" w:rsidRDefault="00173537" w:rsidP="00E46258">
            <w:pPr>
              <w:spacing w:before="0" w:after="0"/>
              <w:rPr>
                <w:rtl/>
                <w:lang w:eastAsia="he-IL"/>
              </w:rPr>
            </w:pPr>
          </w:p>
        </w:tc>
        <w:tc>
          <w:tcPr>
            <w:tcW w:w="567" w:type="dxa"/>
          </w:tcPr>
          <w:p w:rsidR="00173537" w:rsidRPr="00414995" w:rsidRDefault="006014EE" w:rsidP="00E46258">
            <w:pPr>
              <w:spacing w:before="0" w:after="0"/>
              <w:rPr>
                <w:rFonts w:eastAsia="Times New Roman"/>
                <w:color w:val="000000"/>
                <w:rtl/>
              </w:rPr>
            </w:pPr>
            <w:r w:rsidRPr="00414995">
              <w:rPr>
                <w:rFonts w:eastAsia="Times New Roman"/>
                <w:color w:val="000000"/>
                <w:rtl/>
              </w:rPr>
              <w:t>(2)</w:t>
            </w:r>
          </w:p>
        </w:tc>
        <w:tc>
          <w:tcPr>
            <w:tcW w:w="7088" w:type="dxa"/>
          </w:tcPr>
          <w:p w:rsidR="00173537" w:rsidRPr="00414995" w:rsidRDefault="006014EE" w:rsidP="00E46258">
            <w:pPr>
              <w:spacing w:before="0" w:after="0"/>
              <w:rPr>
                <w:rFonts w:eastAsia="Times New Roman"/>
                <w:color w:val="000000"/>
                <w:rtl/>
              </w:rPr>
            </w:pPr>
            <w:r w:rsidRPr="00414995">
              <w:rPr>
                <w:rFonts w:eastAsia="Times New Roman" w:hint="eastAsia"/>
                <w:color w:val="000000"/>
                <w:rtl/>
              </w:rPr>
              <w:t>להימנע</w:t>
            </w:r>
            <w:r w:rsidRPr="00414995">
              <w:rPr>
                <w:rFonts w:eastAsia="Times New Roman"/>
                <w:color w:val="000000"/>
                <w:rtl/>
              </w:rPr>
              <w:t xml:space="preserve"> </w:t>
            </w:r>
            <w:r w:rsidRPr="00414995">
              <w:rPr>
                <w:rFonts w:eastAsia="Times New Roman" w:hint="eastAsia"/>
                <w:color w:val="000000"/>
                <w:rtl/>
              </w:rPr>
              <w:t>מעשיית</w:t>
            </w:r>
            <w:r w:rsidRPr="00414995">
              <w:rPr>
                <w:rFonts w:eastAsia="Times New Roman"/>
                <w:color w:val="000000"/>
                <w:rtl/>
              </w:rPr>
              <w:t xml:space="preserve"> </w:t>
            </w:r>
            <w:r w:rsidRPr="00414995">
              <w:rPr>
                <w:rFonts w:eastAsia="Times New Roman" w:hint="eastAsia"/>
                <w:color w:val="000000"/>
                <w:rtl/>
              </w:rPr>
              <w:t>המעשה</w:t>
            </w:r>
            <w:r w:rsidRPr="00414995">
              <w:rPr>
                <w:rFonts w:eastAsia="Times New Roman"/>
                <w:color w:val="000000"/>
                <w:rtl/>
              </w:rPr>
              <w:t>.</w:t>
            </w:r>
          </w:p>
        </w:tc>
      </w:tr>
      <w:tr w:rsidR="006014EE" w:rsidRPr="00414995" w:rsidTr="00E46258">
        <w:tc>
          <w:tcPr>
            <w:tcW w:w="641" w:type="dxa"/>
          </w:tcPr>
          <w:p w:rsidR="006014EE" w:rsidRPr="00414995" w:rsidRDefault="006014EE" w:rsidP="00E46258">
            <w:pPr>
              <w:spacing w:before="0" w:after="0"/>
              <w:rPr>
                <w:rtl/>
                <w:lang w:eastAsia="he-IL"/>
              </w:rPr>
            </w:pPr>
            <w:r w:rsidRPr="00414995">
              <w:rPr>
                <w:rFonts w:hint="cs"/>
                <w:rtl/>
                <w:lang w:eastAsia="he-IL"/>
              </w:rPr>
              <w:t>(ב)</w:t>
            </w:r>
          </w:p>
        </w:tc>
        <w:tc>
          <w:tcPr>
            <w:tcW w:w="7655" w:type="dxa"/>
            <w:gridSpan w:val="2"/>
          </w:tcPr>
          <w:p w:rsidR="006014EE" w:rsidRPr="00414995" w:rsidRDefault="006014EE" w:rsidP="00E46258">
            <w:pPr>
              <w:spacing w:before="0" w:after="0"/>
              <w:rPr>
                <w:rFonts w:eastAsia="Times New Roman"/>
                <w:color w:val="000000"/>
                <w:rtl/>
              </w:rPr>
            </w:pPr>
            <w:r w:rsidRPr="00414995">
              <w:rPr>
                <w:rFonts w:eastAsia="Times New Roman" w:hint="eastAsia"/>
                <w:color w:val="000000"/>
                <w:rtl/>
              </w:rPr>
              <w:t>במצב</w:t>
            </w:r>
            <w:r w:rsidRPr="00414995">
              <w:rPr>
                <w:rFonts w:eastAsia="Times New Roman"/>
                <w:color w:val="000000"/>
                <w:rtl/>
              </w:rPr>
              <w:t xml:space="preserve"> שבו מעשהו של הנאשם חרג במידה מועטה, בנסיבות </w:t>
            </w:r>
            <w:r w:rsidRPr="00414995">
              <w:rPr>
                <w:rFonts w:eastAsia="Times New Roman" w:hint="eastAsia"/>
                <w:color w:val="000000"/>
                <w:rtl/>
              </w:rPr>
              <w:t>הענ</w:t>
            </w:r>
            <w:r w:rsidRPr="00414995">
              <w:rPr>
                <w:rFonts w:eastAsia="Times New Roman" w:hint="cs"/>
                <w:color w:val="000000"/>
                <w:rtl/>
              </w:rPr>
              <w:t>י</w:t>
            </w:r>
            <w:r w:rsidRPr="00414995">
              <w:rPr>
                <w:rFonts w:eastAsia="Times New Roman" w:hint="eastAsia"/>
                <w:color w:val="000000"/>
                <w:rtl/>
              </w:rPr>
              <w:t>ן</w:t>
            </w:r>
            <w:r w:rsidRPr="00414995">
              <w:rPr>
                <w:rFonts w:eastAsia="Times New Roman"/>
                <w:color w:val="000000"/>
                <w:rtl/>
              </w:rPr>
              <w:t xml:space="preserve">, </w:t>
            </w:r>
            <w:r w:rsidRPr="00414995">
              <w:rPr>
                <w:rFonts w:eastAsia="Times New Roman" w:hint="eastAsia"/>
                <w:color w:val="000000"/>
                <w:rtl/>
              </w:rPr>
              <w:t>מתחום</w:t>
            </w:r>
            <w:r w:rsidRPr="00414995">
              <w:rPr>
                <w:rFonts w:eastAsia="Times New Roman"/>
                <w:color w:val="000000"/>
                <w:rtl/>
              </w:rPr>
              <w:t xml:space="preserve"> </w:t>
            </w:r>
            <w:r w:rsidRPr="00414995">
              <w:rPr>
                <w:rFonts w:eastAsia="Times New Roman" w:hint="eastAsia"/>
                <w:color w:val="000000"/>
                <w:rtl/>
              </w:rPr>
              <w:t>הסבירות</w:t>
            </w:r>
            <w:r w:rsidRPr="00414995">
              <w:rPr>
                <w:rFonts w:eastAsia="Times New Roman"/>
                <w:color w:val="000000"/>
                <w:rtl/>
              </w:rPr>
              <w:t xml:space="preserve"> </w:t>
            </w:r>
            <w:r w:rsidRPr="00414995">
              <w:rPr>
                <w:rFonts w:eastAsia="Times New Roman" w:hint="eastAsia"/>
                <w:color w:val="000000"/>
                <w:rtl/>
              </w:rPr>
              <w:t>הנדרשת</w:t>
            </w:r>
            <w:r w:rsidRPr="00414995">
              <w:rPr>
                <w:rFonts w:eastAsia="Times New Roman" w:hint="cs"/>
                <w:color w:val="000000"/>
                <w:rtl/>
              </w:rPr>
              <w:t>...</w:t>
            </w:r>
            <w:r w:rsidRPr="00414995">
              <w:rPr>
                <w:rFonts w:eastAsia="Times New Roman"/>
                <w:color w:val="000000"/>
                <w:rtl/>
              </w:rPr>
              <w:t xml:space="preserve"> לשם תחולת הסייג של הגנה עצמית, צורך או כורח</w:t>
            </w:r>
            <w:r w:rsidRPr="00414995">
              <w:rPr>
                <w:rFonts w:eastAsia="Times New Roman" w:hint="cs"/>
                <w:color w:val="000000"/>
                <w:rtl/>
              </w:rPr>
              <w:t>...</w:t>
            </w:r>
          </w:p>
        </w:tc>
      </w:tr>
      <w:tr w:rsidR="006014EE" w:rsidRPr="00414995" w:rsidTr="00E46258">
        <w:tc>
          <w:tcPr>
            <w:tcW w:w="641" w:type="dxa"/>
          </w:tcPr>
          <w:p w:rsidR="006014EE" w:rsidRPr="00414995" w:rsidRDefault="006014EE" w:rsidP="006014EE">
            <w:pPr>
              <w:spacing w:before="0" w:after="0"/>
              <w:rPr>
                <w:rtl/>
                <w:lang w:eastAsia="he-IL"/>
              </w:rPr>
            </w:pPr>
            <w:r w:rsidRPr="00414995">
              <w:rPr>
                <w:rFonts w:hint="cs"/>
                <w:rtl/>
                <w:lang w:eastAsia="he-IL"/>
              </w:rPr>
              <w:t>(ג)</w:t>
            </w:r>
          </w:p>
        </w:tc>
        <w:tc>
          <w:tcPr>
            <w:tcW w:w="7655" w:type="dxa"/>
            <w:gridSpan w:val="2"/>
          </w:tcPr>
          <w:p w:rsidR="006014EE" w:rsidRPr="00414995" w:rsidRDefault="006014EE" w:rsidP="00260D86">
            <w:pPr>
              <w:spacing w:before="0" w:after="0"/>
              <w:rPr>
                <w:rFonts w:eastAsia="Times New Roman"/>
                <w:color w:val="000000"/>
                <w:rtl/>
              </w:rPr>
            </w:pPr>
            <w:r w:rsidRPr="00414995">
              <w:rPr>
                <w:rFonts w:eastAsia="Times New Roman" w:hint="eastAsia"/>
                <w:color w:val="000000"/>
                <w:rtl/>
              </w:rPr>
              <w:t>כשהנאשם</w:t>
            </w:r>
            <w:r w:rsidRPr="00414995">
              <w:rPr>
                <w:rFonts w:eastAsia="Times New Roman"/>
                <w:color w:val="000000"/>
                <w:rtl/>
              </w:rPr>
              <w:t xml:space="preserve"> </w:t>
            </w:r>
            <w:r w:rsidRPr="00414995">
              <w:rPr>
                <w:rFonts w:eastAsia="Times New Roman" w:hint="eastAsia"/>
                <w:color w:val="000000"/>
                <w:rtl/>
              </w:rPr>
              <w:t>היה</w:t>
            </w:r>
            <w:r w:rsidRPr="00414995">
              <w:rPr>
                <w:rFonts w:eastAsia="Times New Roman"/>
                <w:color w:val="000000"/>
                <w:rtl/>
              </w:rPr>
              <w:t xml:space="preserve"> </w:t>
            </w:r>
            <w:r w:rsidRPr="00414995">
              <w:rPr>
                <w:rFonts w:eastAsia="Times New Roman" w:hint="eastAsia"/>
                <w:color w:val="000000"/>
                <w:rtl/>
              </w:rPr>
              <w:t>נתון</w:t>
            </w:r>
            <w:r w:rsidRPr="00414995">
              <w:rPr>
                <w:rFonts w:eastAsia="Times New Roman"/>
                <w:color w:val="000000"/>
                <w:rtl/>
              </w:rPr>
              <w:t xml:space="preserve"> </w:t>
            </w:r>
            <w:r w:rsidRPr="00414995">
              <w:rPr>
                <w:rFonts w:eastAsia="Times New Roman" w:hint="eastAsia"/>
                <w:color w:val="000000"/>
                <w:rtl/>
              </w:rPr>
              <w:t>במצב</w:t>
            </w:r>
            <w:r w:rsidRPr="00414995">
              <w:rPr>
                <w:rFonts w:eastAsia="Times New Roman"/>
                <w:color w:val="000000"/>
                <w:rtl/>
              </w:rPr>
              <w:t xml:space="preserve"> </w:t>
            </w:r>
            <w:r w:rsidRPr="00414995">
              <w:rPr>
                <w:rFonts w:eastAsia="Times New Roman" w:hint="eastAsia"/>
                <w:color w:val="000000"/>
                <w:rtl/>
              </w:rPr>
              <w:t>של</w:t>
            </w:r>
            <w:r w:rsidRPr="00414995">
              <w:rPr>
                <w:rFonts w:eastAsia="Times New Roman"/>
                <w:color w:val="000000"/>
                <w:rtl/>
              </w:rPr>
              <w:t xml:space="preserve"> </w:t>
            </w:r>
            <w:r w:rsidRPr="00414995">
              <w:rPr>
                <w:rFonts w:eastAsia="Times New Roman" w:hint="eastAsia"/>
                <w:color w:val="000000"/>
                <w:rtl/>
              </w:rPr>
              <w:t>מצוקה</w:t>
            </w:r>
            <w:r w:rsidRPr="00414995">
              <w:rPr>
                <w:rFonts w:eastAsia="Times New Roman"/>
                <w:color w:val="000000"/>
                <w:rtl/>
              </w:rPr>
              <w:t xml:space="preserve"> </w:t>
            </w:r>
            <w:r w:rsidRPr="00414995">
              <w:rPr>
                <w:rFonts w:eastAsia="Times New Roman" w:hint="eastAsia"/>
                <w:color w:val="000000"/>
                <w:rtl/>
              </w:rPr>
              <w:t>נפשית</w:t>
            </w:r>
            <w:r w:rsidRPr="00414995">
              <w:rPr>
                <w:rFonts w:eastAsia="Times New Roman"/>
                <w:color w:val="000000"/>
                <w:rtl/>
              </w:rPr>
              <w:t xml:space="preserve"> </w:t>
            </w:r>
            <w:r w:rsidRPr="00414995">
              <w:rPr>
                <w:rFonts w:eastAsia="Times New Roman" w:hint="eastAsia"/>
                <w:color w:val="000000"/>
                <w:rtl/>
              </w:rPr>
              <w:t>קשה</w:t>
            </w:r>
            <w:r w:rsidRPr="00414995">
              <w:rPr>
                <w:rFonts w:eastAsia="Times New Roman"/>
                <w:color w:val="000000"/>
                <w:rtl/>
              </w:rPr>
              <w:t xml:space="preserve">, </w:t>
            </w:r>
            <w:r w:rsidRPr="00414995">
              <w:rPr>
                <w:rFonts w:eastAsia="Times New Roman" w:hint="eastAsia"/>
                <w:color w:val="000000"/>
                <w:rtl/>
              </w:rPr>
              <w:t>עקב</w:t>
            </w:r>
            <w:r w:rsidRPr="00414995">
              <w:rPr>
                <w:rFonts w:eastAsia="Times New Roman"/>
                <w:color w:val="000000"/>
                <w:rtl/>
              </w:rPr>
              <w:t xml:space="preserve"> </w:t>
            </w:r>
            <w:r w:rsidRPr="00414995">
              <w:rPr>
                <w:rFonts w:eastAsia="Times New Roman" w:hint="eastAsia"/>
                <w:color w:val="000000"/>
                <w:rtl/>
              </w:rPr>
              <w:t>התעללות</w:t>
            </w:r>
            <w:r w:rsidRPr="00414995">
              <w:rPr>
                <w:rFonts w:eastAsia="Times New Roman"/>
                <w:color w:val="000000"/>
                <w:rtl/>
              </w:rPr>
              <w:t xml:space="preserve"> </w:t>
            </w:r>
            <w:r w:rsidRPr="00414995">
              <w:rPr>
                <w:rFonts w:eastAsia="Times New Roman" w:hint="eastAsia"/>
                <w:color w:val="000000"/>
                <w:rtl/>
              </w:rPr>
              <w:t>חמורה</w:t>
            </w:r>
            <w:r w:rsidRPr="00414995">
              <w:rPr>
                <w:rFonts w:eastAsia="Times New Roman"/>
                <w:color w:val="000000"/>
                <w:rtl/>
              </w:rPr>
              <w:t xml:space="preserve"> </w:t>
            </w:r>
            <w:r w:rsidRPr="00414995">
              <w:rPr>
                <w:rFonts w:eastAsia="Times New Roman" w:hint="eastAsia"/>
                <w:color w:val="000000"/>
                <w:rtl/>
              </w:rPr>
              <w:t>ומתמשכת</w:t>
            </w:r>
            <w:r w:rsidRPr="00414995">
              <w:rPr>
                <w:rFonts w:eastAsia="Times New Roman"/>
                <w:color w:val="000000"/>
                <w:rtl/>
              </w:rPr>
              <w:t xml:space="preserve"> </w:t>
            </w:r>
            <w:r w:rsidRPr="00414995">
              <w:rPr>
                <w:rFonts w:eastAsia="Times New Roman" w:hint="eastAsia"/>
                <w:color w:val="000000"/>
                <w:rtl/>
              </w:rPr>
              <w:t>בו</w:t>
            </w:r>
            <w:r w:rsidRPr="00414995">
              <w:rPr>
                <w:rFonts w:eastAsia="Times New Roman"/>
                <w:color w:val="000000"/>
                <w:rtl/>
              </w:rPr>
              <w:t xml:space="preserve"> </w:t>
            </w:r>
            <w:r w:rsidRPr="00414995">
              <w:rPr>
                <w:rFonts w:eastAsia="Times New Roman" w:hint="eastAsia"/>
                <w:color w:val="000000"/>
                <w:rtl/>
              </w:rPr>
              <w:t>או</w:t>
            </w:r>
            <w:r w:rsidRPr="00414995">
              <w:rPr>
                <w:rFonts w:eastAsia="Times New Roman"/>
                <w:color w:val="000000"/>
                <w:rtl/>
              </w:rPr>
              <w:t xml:space="preserve"> </w:t>
            </w:r>
            <w:r w:rsidRPr="00414995">
              <w:rPr>
                <w:rFonts w:eastAsia="Times New Roman" w:hint="eastAsia"/>
                <w:color w:val="000000"/>
                <w:rtl/>
              </w:rPr>
              <w:t>בבן</w:t>
            </w:r>
            <w:r w:rsidRPr="00414995">
              <w:rPr>
                <w:rFonts w:eastAsia="Times New Roman"/>
                <w:color w:val="000000"/>
                <w:rtl/>
              </w:rPr>
              <w:t xml:space="preserve"> </w:t>
            </w:r>
            <w:r w:rsidRPr="00414995">
              <w:rPr>
                <w:rFonts w:eastAsia="Times New Roman" w:hint="eastAsia"/>
                <w:color w:val="000000"/>
                <w:rtl/>
              </w:rPr>
              <w:t>משפחתו</w:t>
            </w:r>
            <w:r w:rsidRPr="00414995">
              <w:rPr>
                <w:rFonts w:eastAsia="Times New Roman"/>
                <w:color w:val="000000"/>
                <w:rtl/>
              </w:rPr>
              <w:t xml:space="preserve">, </w:t>
            </w:r>
            <w:r w:rsidRPr="00414995">
              <w:rPr>
                <w:rFonts w:eastAsia="Times New Roman" w:hint="eastAsia"/>
                <w:color w:val="000000"/>
                <w:rtl/>
              </w:rPr>
              <w:t>בידי</w:t>
            </w:r>
            <w:r w:rsidRPr="00414995">
              <w:rPr>
                <w:rFonts w:eastAsia="Times New Roman"/>
                <w:color w:val="000000"/>
                <w:rtl/>
              </w:rPr>
              <w:t xml:space="preserve"> </w:t>
            </w:r>
            <w:r w:rsidRPr="00414995">
              <w:rPr>
                <w:rFonts w:eastAsia="Times New Roman" w:hint="eastAsia"/>
                <w:color w:val="000000"/>
                <w:rtl/>
              </w:rPr>
              <w:t>מי</w:t>
            </w:r>
            <w:r w:rsidRPr="00414995">
              <w:rPr>
                <w:rFonts w:eastAsia="Times New Roman"/>
                <w:color w:val="000000"/>
                <w:rtl/>
              </w:rPr>
              <w:t xml:space="preserve"> </w:t>
            </w:r>
            <w:r w:rsidRPr="00414995">
              <w:rPr>
                <w:rFonts w:eastAsia="Times New Roman" w:hint="eastAsia"/>
                <w:color w:val="000000"/>
                <w:rtl/>
              </w:rPr>
              <w:t>שהנאשם</w:t>
            </w:r>
            <w:r w:rsidRPr="00414995">
              <w:rPr>
                <w:rFonts w:eastAsia="Times New Roman"/>
                <w:color w:val="000000"/>
                <w:rtl/>
              </w:rPr>
              <w:t xml:space="preserve"> </w:t>
            </w:r>
            <w:r w:rsidRPr="00414995">
              <w:rPr>
                <w:rFonts w:eastAsia="Times New Roman" w:hint="eastAsia"/>
                <w:color w:val="000000"/>
                <w:rtl/>
              </w:rPr>
              <w:t>גרם</w:t>
            </w:r>
            <w:r w:rsidRPr="00414995">
              <w:rPr>
                <w:rFonts w:eastAsia="Times New Roman"/>
                <w:color w:val="000000"/>
                <w:rtl/>
              </w:rPr>
              <w:t xml:space="preserve"> </w:t>
            </w:r>
            <w:r w:rsidRPr="00414995">
              <w:rPr>
                <w:rFonts w:eastAsia="Times New Roman" w:hint="eastAsia"/>
                <w:color w:val="000000"/>
                <w:rtl/>
              </w:rPr>
              <w:t>למותו</w:t>
            </w:r>
            <w:r w:rsidRPr="00414995">
              <w:rPr>
                <w:rFonts w:eastAsia="Times New Roman"/>
                <w:color w:val="000000"/>
                <w:rtl/>
              </w:rPr>
              <w:t>.</w:t>
            </w:r>
          </w:p>
        </w:tc>
      </w:tr>
    </w:tbl>
    <w:p w:rsidR="00EE5646" w:rsidRPr="00414995" w:rsidRDefault="006014EE" w:rsidP="00260D86">
      <w:pPr>
        <w:rPr>
          <w:rtl/>
          <w:lang w:eastAsia="he-IL"/>
        </w:rPr>
      </w:pPr>
      <w:r w:rsidRPr="00414995">
        <w:rPr>
          <w:rFonts w:hint="cs"/>
          <w:rtl/>
          <w:lang w:eastAsia="he-IL"/>
        </w:rPr>
        <w:t xml:space="preserve">יחד עם זאת, יש בנסיבות להקלה בעונש על פי הצעת החוק שינויים אחדים, שמן הראוי לתת אליהם את הדעת. </w:t>
      </w:r>
    </w:p>
    <w:p w:rsidR="009158FC" w:rsidRPr="00414995" w:rsidRDefault="009158FC" w:rsidP="009158FC">
      <w:pPr>
        <w:pStyle w:val="1"/>
        <w:numPr>
          <w:ilvl w:val="1"/>
          <w:numId w:val="17"/>
        </w:numPr>
        <w:bidi/>
        <w:spacing w:after="120"/>
        <w:ind w:left="788" w:hanging="431"/>
        <w:rPr>
          <w:rFonts w:ascii="Times New Roman" w:hAnsi="Times New Roman"/>
          <w:b/>
          <w:kern w:val="0"/>
          <w:sz w:val="26"/>
          <w:szCs w:val="26"/>
          <w:rtl/>
          <w:lang w:eastAsia="he-IL"/>
        </w:rPr>
      </w:pPr>
      <w:r w:rsidRPr="00414995">
        <w:rPr>
          <w:rFonts w:ascii="Times New Roman" w:hAnsi="Times New Roman" w:hint="cs"/>
          <w:b/>
          <w:kern w:val="0"/>
          <w:sz w:val="26"/>
          <w:szCs w:val="26"/>
          <w:rtl/>
          <w:lang w:eastAsia="he-IL"/>
        </w:rPr>
        <w:t>קנטור</w:t>
      </w:r>
    </w:p>
    <w:p w:rsidR="009158FC" w:rsidRPr="00414995" w:rsidRDefault="009158FC" w:rsidP="008D70B2">
      <w:pPr>
        <w:rPr>
          <w:rtl/>
          <w:lang w:eastAsia="he-IL"/>
        </w:rPr>
      </w:pPr>
      <w:r w:rsidRPr="00414995">
        <w:rPr>
          <w:rFonts w:hint="cs"/>
          <w:rtl/>
          <w:lang w:eastAsia="he-IL"/>
        </w:rPr>
        <w:t>על פי ההצעה, בסעיף 301ב(א)(1) ייקבע, שהעונש המרבי שיוטל על מי שגרם בכוונה או באדישות למותו של אדם "בתכוף לאחר התגרות כלפי הנאשם</w:t>
      </w:r>
      <w:r w:rsidR="008D70B2" w:rsidRPr="00414995">
        <w:rPr>
          <w:rFonts w:hint="cs"/>
          <w:rtl/>
          <w:lang w:eastAsia="he-IL"/>
        </w:rPr>
        <w:t xml:space="preserve"> ובתגובה לאותה התגרות</w:t>
      </w:r>
      <w:r w:rsidRPr="00414995">
        <w:rPr>
          <w:rFonts w:hint="cs"/>
          <w:rtl/>
          <w:lang w:eastAsia="he-IL"/>
        </w:rPr>
        <w:t>" יהיה עשרים שנות מאסר, ובלבד ש</w:t>
      </w:r>
      <w:r w:rsidR="008D26B1" w:rsidRPr="00414995">
        <w:rPr>
          <w:rFonts w:hint="cs"/>
          <w:rtl/>
          <w:lang w:eastAsia="he-IL"/>
        </w:rPr>
        <w:t>"</w:t>
      </w:r>
      <w:r w:rsidRPr="00414995">
        <w:rPr>
          <w:rFonts w:hint="cs"/>
          <w:rtl/>
          <w:lang w:eastAsia="he-IL"/>
        </w:rPr>
        <w:t>בעקבות ההתגרות הנאשם התקשה במידה ניכרת לשלוט בעצמו", וש</w:t>
      </w:r>
      <w:r w:rsidR="008D70B2" w:rsidRPr="00414995">
        <w:rPr>
          <w:rFonts w:hint="cs"/>
          <w:rtl/>
          <w:lang w:eastAsia="he-IL"/>
        </w:rPr>
        <w:t xml:space="preserve">בקושי זה יש </w:t>
      </w:r>
      <w:r w:rsidR="008D70B2" w:rsidRPr="00414995">
        <w:rPr>
          <w:rtl/>
          <w:lang w:eastAsia="he-IL"/>
        </w:rPr>
        <w:t>כדי</w:t>
      </w:r>
      <w:r w:rsidR="008D70B2" w:rsidRPr="00414995">
        <w:rPr>
          <w:rFonts w:hint="cs"/>
          <w:rtl/>
          <w:lang w:eastAsia="he-IL"/>
        </w:rPr>
        <w:t xml:space="preserve"> </w:t>
      </w:r>
      <w:r w:rsidR="008D70B2" w:rsidRPr="00414995">
        <w:rPr>
          <w:rtl/>
          <w:lang w:eastAsia="he-IL"/>
        </w:rPr>
        <w:t>למתן את</w:t>
      </w:r>
      <w:r w:rsidR="008D70B2" w:rsidRPr="00414995">
        <w:rPr>
          <w:rFonts w:hint="cs"/>
          <w:rtl/>
          <w:lang w:eastAsia="he-IL"/>
        </w:rPr>
        <w:t xml:space="preserve"> </w:t>
      </w:r>
      <w:r w:rsidR="008D70B2" w:rsidRPr="00414995">
        <w:rPr>
          <w:rtl/>
          <w:lang w:eastAsia="he-IL"/>
        </w:rPr>
        <w:t>אשמתו של הנאשם, בשים לב למכלול נסיבות</w:t>
      </w:r>
      <w:r w:rsidR="008D70B2" w:rsidRPr="00414995">
        <w:rPr>
          <w:rFonts w:hint="cs"/>
          <w:rtl/>
          <w:lang w:eastAsia="he-IL"/>
        </w:rPr>
        <w:t xml:space="preserve"> </w:t>
      </w:r>
      <w:r w:rsidR="008D70B2" w:rsidRPr="00414995">
        <w:rPr>
          <w:rtl/>
          <w:lang w:eastAsia="he-IL"/>
        </w:rPr>
        <w:t>העניי</w:t>
      </w:r>
      <w:r w:rsidR="008D70B2" w:rsidRPr="00414995">
        <w:rPr>
          <w:rFonts w:hint="cs"/>
          <w:rtl/>
          <w:lang w:eastAsia="he-IL"/>
        </w:rPr>
        <w:t xml:space="preserve">ן". </w:t>
      </w:r>
    </w:p>
    <w:p w:rsidR="008D70B2" w:rsidRPr="00414995" w:rsidRDefault="008D70B2" w:rsidP="008D70B2">
      <w:pPr>
        <w:rPr>
          <w:rtl/>
          <w:lang w:eastAsia="he-IL"/>
        </w:rPr>
      </w:pPr>
      <w:r w:rsidRPr="00414995">
        <w:rPr>
          <w:rFonts w:hint="cs"/>
          <w:rtl/>
          <w:lang w:eastAsia="he-IL"/>
        </w:rPr>
        <w:t>ניסוח זה נועד ליצור מבחן משולב להקלה בעונשו של רוצח עקב קנטור. מבחן זה משלב בתוכו יסודות נורמטיביים-אובייקטיביים, ויסודות סובייקטיביים. תכליתו של מבחן זה להבהיר שקנטור ייחשב כנסיבה המצדיקה הפחתה בעונשו של רוצח, רק כאשר הרצח בוצע כ"</w:t>
      </w:r>
      <w:r w:rsidRPr="00414995">
        <w:rPr>
          <w:rtl/>
          <w:lang w:eastAsia="he-IL"/>
        </w:rPr>
        <w:t>תגובה אמוציונלית עזה להתגרות, אשר פגעה בצורה</w:t>
      </w:r>
      <w:r w:rsidRPr="00414995">
        <w:rPr>
          <w:rFonts w:hint="cs"/>
          <w:rtl/>
          <w:lang w:eastAsia="he-IL"/>
        </w:rPr>
        <w:t xml:space="preserve"> </w:t>
      </w:r>
      <w:r w:rsidRPr="00414995">
        <w:rPr>
          <w:rtl/>
          <w:lang w:eastAsia="he-IL"/>
        </w:rPr>
        <w:t>קשה ביכולת השליטה העצמית של הנאשם</w:t>
      </w:r>
      <w:r w:rsidRPr="00414995">
        <w:rPr>
          <w:rFonts w:hint="cs"/>
          <w:rtl/>
          <w:lang w:eastAsia="he-IL"/>
        </w:rPr>
        <w:t>", ו"</w:t>
      </w:r>
      <w:r w:rsidRPr="00414995">
        <w:rPr>
          <w:rtl/>
          <w:lang w:eastAsia="he-IL"/>
        </w:rPr>
        <w:t>יש ברגש העז שהתעורר בנאשם לנוכח</w:t>
      </w:r>
      <w:r w:rsidRPr="00414995">
        <w:rPr>
          <w:rFonts w:hint="cs"/>
          <w:rtl/>
          <w:lang w:eastAsia="he-IL"/>
        </w:rPr>
        <w:t xml:space="preserve"> </w:t>
      </w:r>
      <w:r w:rsidRPr="00414995">
        <w:rPr>
          <w:rtl/>
          <w:lang w:eastAsia="he-IL"/>
        </w:rPr>
        <w:t>ההתגרות והקושי הרב בשליטה העצמית כדי לגרוע</w:t>
      </w:r>
      <w:r w:rsidRPr="00414995">
        <w:rPr>
          <w:rFonts w:hint="cs"/>
          <w:rtl/>
          <w:lang w:eastAsia="he-IL"/>
        </w:rPr>
        <w:t xml:space="preserve"> </w:t>
      </w:r>
      <w:r w:rsidRPr="00414995">
        <w:rPr>
          <w:rtl/>
          <w:lang w:eastAsia="he-IL"/>
        </w:rPr>
        <w:t>מאשמתו של המקונטר</w:t>
      </w:r>
      <w:r w:rsidRPr="00414995">
        <w:rPr>
          <w:rFonts w:hint="cs"/>
          <w:rtl/>
          <w:lang w:eastAsia="he-IL"/>
        </w:rPr>
        <w:t xml:space="preserve">... </w:t>
      </w:r>
      <w:r w:rsidRPr="00414995">
        <w:rPr>
          <w:rtl/>
          <w:lang w:eastAsia="he-IL"/>
        </w:rPr>
        <w:t>מנקודת מבט</w:t>
      </w:r>
      <w:r w:rsidRPr="00414995">
        <w:rPr>
          <w:rFonts w:hint="cs"/>
          <w:rtl/>
          <w:lang w:eastAsia="he-IL"/>
        </w:rPr>
        <w:t xml:space="preserve"> </w:t>
      </w:r>
      <w:r w:rsidRPr="00414995">
        <w:rPr>
          <w:rtl/>
          <w:lang w:eastAsia="he-IL"/>
        </w:rPr>
        <w:t>חברתית ומוסרית</w:t>
      </w:r>
      <w:r w:rsidRPr="00414995">
        <w:rPr>
          <w:rFonts w:hint="cs"/>
          <w:rtl/>
          <w:lang w:eastAsia="he-IL"/>
        </w:rPr>
        <w:t>"</w:t>
      </w:r>
      <w:r w:rsidRPr="00414995">
        <w:rPr>
          <w:rtl/>
          <w:lang w:eastAsia="he-IL"/>
        </w:rPr>
        <w:t>.</w:t>
      </w:r>
    </w:p>
    <w:p w:rsidR="005F3FFC" w:rsidRPr="00414995" w:rsidRDefault="00752A66" w:rsidP="00752A66">
      <w:pPr>
        <w:rPr>
          <w:rtl/>
          <w:lang w:eastAsia="he-IL"/>
        </w:rPr>
      </w:pPr>
      <w:r w:rsidRPr="00414995">
        <w:rPr>
          <w:rFonts w:hint="cs"/>
          <w:rtl/>
          <w:lang w:eastAsia="he-IL"/>
        </w:rPr>
        <w:t xml:space="preserve">ככלל, על פי המשפט העברי, </w:t>
      </w:r>
      <w:r w:rsidR="005F3FFC" w:rsidRPr="00414995">
        <w:rPr>
          <w:rFonts w:hint="cs"/>
          <w:rtl/>
          <w:lang w:eastAsia="he-IL"/>
        </w:rPr>
        <w:t xml:space="preserve">קנטור </w:t>
      </w:r>
      <w:r w:rsidRPr="00414995">
        <w:rPr>
          <w:rFonts w:hint="cs"/>
          <w:rtl/>
          <w:lang w:eastAsia="he-IL"/>
        </w:rPr>
        <w:t xml:space="preserve">סובייקטיבי איננו עילה להקלה בעונשו של רוצח. גישה זו, כפי שהעירו </w:t>
      </w:r>
      <w:r w:rsidR="005F3FFC" w:rsidRPr="00414995">
        <w:rPr>
          <w:rFonts w:hint="cs"/>
          <w:rtl/>
          <w:lang w:eastAsia="he-IL"/>
        </w:rPr>
        <w:t xml:space="preserve">הכהן ואלמוג, רמוזה כבר בתיאור מעשה הרצח הראשון עלי אדמות </w:t>
      </w:r>
      <w:r w:rsidR="005F3FFC" w:rsidRPr="00414995">
        <w:rPr>
          <w:rtl/>
          <w:lang w:eastAsia="he-IL"/>
        </w:rPr>
        <w:t>–</w:t>
      </w:r>
      <w:r w:rsidR="005F3FFC" w:rsidRPr="00414995">
        <w:rPr>
          <w:rFonts w:hint="cs"/>
          <w:rtl/>
          <w:lang w:eastAsia="he-IL"/>
        </w:rPr>
        <w:t xml:space="preserve"> </w:t>
      </w:r>
    </w:p>
    <w:p w:rsidR="005F3FFC" w:rsidRPr="00414995" w:rsidRDefault="005F3FFC" w:rsidP="005F3FFC">
      <w:pPr>
        <w:ind w:left="567" w:right="567"/>
        <w:rPr>
          <w:rtl/>
          <w:lang w:eastAsia="he-IL"/>
        </w:rPr>
      </w:pPr>
      <w:r w:rsidRPr="00414995">
        <w:rPr>
          <w:rtl/>
        </w:rPr>
        <w:t xml:space="preserve">הרצח הראשון בהיסטוריה מתואר במילים קצרות, חסכניות, המגלות טפח ומסתירות טפחיים: </w:t>
      </w:r>
      <w:r w:rsidRPr="00414995">
        <w:rPr>
          <w:rFonts w:hint="cs"/>
          <w:rtl/>
        </w:rPr>
        <w:t>"</w:t>
      </w:r>
      <w:r w:rsidRPr="00414995">
        <w:rPr>
          <w:rtl/>
        </w:rPr>
        <w:t xml:space="preserve">ויאמר קין אל הבל אחיו, ויהי </w:t>
      </w:r>
      <w:r w:rsidRPr="00414995">
        <w:rPr>
          <w:rtl/>
          <w:lang w:eastAsia="he-IL"/>
        </w:rPr>
        <w:t>בהיותם</w:t>
      </w:r>
      <w:r w:rsidRPr="00414995">
        <w:rPr>
          <w:rtl/>
        </w:rPr>
        <w:t xml:space="preserve"> בשדה ויקם קין אל הבל אחיו </w:t>
      </w:r>
      <w:r w:rsidRPr="00414995">
        <w:rPr>
          <w:rtl/>
        </w:rPr>
        <w:lastRenderedPageBreak/>
        <w:t>ויהרגהו. ויאמר ה' אל קין</w:t>
      </w:r>
      <w:r w:rsidRPr="00414995">
        <w:rPr>
          <w:rFonts w:hint="cs"/>
          <w:rtl/>
        </w:rPr>
        <w:t>:</w:t>
      </w:r>
      <w:r w:rsidRPr="00414995">
        <w:rPr>
          <w:rtl/>
        </w:rPr>
        <w:t xml:space="preserve"> </w:t>
      </w:r>
      <w:r w:rsidRPr="00414995">
        <w:rPr>
          <w:rFonts w:hint="cs"/>
          <w:rtl/>
        </w:rPr>
        <w:t>'</w:t>
      </w:r>
      <w:r w:rsidRPr="00414995">
        <w:rPr>
          <w:rtl/>
        </w:rPr>
        <w:t>אי הבל אחיך</w:t>
      </w:r>
      <w:r w:rsidRPr="00414995">
        <w:rPr>
          <w:rFonts w:hint="cs"/>
          <w:rtl/>
        </w:rPr>
        <w:t>'?</w:t>
      </w:r>
      <w:r w:rsidRPr="00414995">
        <w:rPr>
          <w:rtl/>
        </w:rPr>
        <w:t xml:space="preserve"> ויאמר</w:t>
      </w:r>
      <w:r w:rsidRPr="00414995">
        <w:rPr>
          <w:rFonts w:hint="cs"/>
          <w:rtl/>
        </w:rPr>
        <w:t>:</w:t>
      </w:r>
      <w:r w:rsidRPr="00414995">
        <w:rPr>
          <w:rtl/>
        </w:rPr>
        <w:t xml:space="preserve"> </w:t>
      </w:r>
      <w:r w:rsidRPr="00414995">
        <w:rPr>
          <w:rFonts w:hint="cs"/>
          <w:rtl/>
        </w:rPr>
        <w:t>'</w:t>
      </w:r>
      <w:r w:rsidRPr="00414995">
        <w:rPr>
          <w:rtl/>
        </w:rPr>
        <w:t>לא ידעתי</w:t>
      </w:r>
      <w:r w:rsidRPr="00414995">
        <w:rPr>
          <w:rFonts w:hint="cs"/>
          <w:rtl/>
        </w:rPr>
        <w:t>,</w:t>
      </w:r>
      <w:r w:rsidRPr="00414995">
        <w:rPr>
          <w:rtl/>
        </w:rPr>
        <w:t xml:space="preserve"> השׁמר אחי אנכי</w:t>
      </w:r>
      <w:r w:rsidRPr="00414995">
        <w:rPr>
          <w:rFonts w:hint="cs"/>
          <w:rtl/>
        </w:rPr>
        <w:t xml:space="preserve">?...". </w:t>
      </w:r>
      <w:r w:rsidRPr="00414995">
        <w:rPr>
          <w:rtl/>
        </w:rPr>
        <w:t xml:space="preserve">אמנם הכתוב מעיד שקדמה למעשה הרצח אמירה, "ויאמר קין אל הבל אחיו", אך אינו מפרשה, וגם קול הנרצח, קולו של הבל, אינו נשמע. חלק מן הפרשנים (דוגמת רב סעדיה גאון) אומרים שהתורה העלימה בכוונה תחילה את הדברים, שכן הייתה זו עילה בעלמא לקין לכרות את המלכודת לאחיו הבל, ופירוט תוכן השיחה עלול היה לעמעם את משמעות הרצח שלאחריה. לפיכך נמנעה תורה מלפרטו, שלא יבקש אדם לטעון בזכות קין, וכדרכם של עבריינים, יבקש לתלות את סיבת הרצח בקורבן הרצח או בסיבות שכביכול אינן בשליטתו - "הוא קִנטר אותי תחילה", "פעלתי מתוך הגנה עצמית", "פעלתי מתוך דחף שאינו בר כיבוש", "פעלתי מתוך אי שפיות זמנית לאחר שה' דחה את מנחתי" וכיוצא באלה. </w:t>
      </w:r>
      <w:r w:rsidRPr="00414995">
        <w:rPr>
          <w:b/>
          <w:bCs/>
          <w:rtl/>
        </w:rPr>
        <w:t>בהשמיטה את תוכן הדברים, מבהירה לנו התורה שאין ולא יכול להיות צידוק כלשהו למעשה רצח</w:t>
      </w:r>
      <w:r w:rsidRPr="00414995">
        <w:rPr>
          <w:rtl/>
        </w:rPr>
        <w:t>.</w:t>
      </w:r>
      <w:r w:rsidRPr="00414995">
        <w:rPr>
          <w:rStyle w:val="a7"/>
          <w:rtl/>
        </w:rPr>
        <w:footnoteReference w:id="106"/>
      </w:r>
      <w:r w:rsidRPr="00414995">
        <w:rPr>
          <w:rFonts w:hint="cs"/>
          <w:rtl/>
          <w:lang w:eastAsia="he-IL"/>
        </w:rPr>
        <w:t xml:space="preserve"> </w:t>
      </w:r>
    </w:p>
    <w:p w:rsidR="005F3FFC" w:rsidRPr="00414995" w:rsidRDefault="005F3FFC" w:rsidP="005F3FFC">
      <w:pPr>
        <w:rPr>
          <w:rtl/>
          <w:lang w:eastAsia="he-IL"/>
        </w:rPr>
      </w:pPr>
      <w:r w:rsidRPr="00414995">
        <w:rPr>
          <w:rFonts w:hint="cs"/>
          <w:rtl/>
          <w:lang w:eastAsia="he-IL"/>
        </w:rPr>
        <w:t>עיקרון זה עולה גם מתשובת הריב"ש</w:t>
      </w:r>
      <w:r w:rsidRPr="00414995">
        <w:rPr>
          <w:rStyle w:val="a7"/>
          <w:rtl/>
          <w:lang w:eastAsia="he-IL"/>
        </w:rPr>
        <w:footnoteReference w:id="107"/>
      </w:r>
      <w:r w:rsidRPr="00414995">
        <w:rPr>
          <w:rFonts w:hint="cs"/>
          <w:rtl/>
          <w:lang w:eastAsia="he-IL"/>
        </w:rPr>
        <w:t xml:space="preserve"> (</w:t>
      </w:r>
      <w:r w:rsidRPr="00414995">
        <w:rPr>
          <w:rtl/>
          <w:lang w:eastAsia="he-IL"/>
        </w:rPr>
        <w:t xml:space="preserve">ר' יצחק ב"ר ששת, ספרד-אלג'יר, המאה ה-י"ד) </w:t>
      </w:r>
      <w:r w:rsidRPr="00414995">
        <w:rPr>
          <w:rFonts w:hint="cs"/>
          <w:rtl/>
          <w:lang w:eastAsia="he-IL"/>
        </w:rPr>
        <w:t>בעניינו של דיין שעודד את בנו ואדם נוסף להרוג אדם שאיים לפגוע בו, ובעקבות כך נרצח אדם זה. הריב"ש קובע שיש להעניש את הדיין בחומרה רבה, ואין לקבל טענתו ש</w:t>
      </w:r>
      <w:r w:rsidRPr="00414995">
        <w:rPr>
          <w:rtl/>
          <w:lang w:eastAsia="he-IL"/>
        </w:rPr>
        <w:t xml:space="preserve">"הנהרג התחיל בקטטה, ובא להכות הדיין", </w:t>
      </w:r>
      <w:r w:rsidRPr="00414995">
        <w:rPr>
          <w:rFonts w:hint="cs"/>
          <w:rtl/>
          <w:lang w:eastAsia="he-IL"/>
        </w:rPr>
        <w:t>ואף אין להתחשב בעדים שהביא הדיין להגנתו, שהעידו שדברי העידוד לרצח שהשמיע הדיין נאמרו "</w:t>
      </w:r>
      <w:r w:rsidRPr="00414995">
        <w:rPr>
          <w:rtl/>
          <w:lang w:eastAsia="he-IL"/>
        </w:rPr>
        <w:t>מרוב כעסו</w:t>
      </w:r>
      <w:r w:rsidRPr="00414995">
        <w:rPr>
          <w:rFonts w:hint="cs"/>
          <w:rtl/>
          <w:lang w:eastAsia="he-IL"/>
        </w:rPr>
        <w:t>", משום ש"</w:t>
      </w:r>
      <w:r w:rsidRPr="00414995">
        <w:rPr>
          <w:b/>
          <w:bCs/>
          <w:rtl/>
          <w:lang w:eastAsia="he-IL"/>
        </w:rPr>
        <w:t>כל הרוצחים כן דרכם, להרוג מתוך הכעס ומתוך מריבה</w:t>
      </w:r>
      <w:r w:rsidRPr="00414995">
        <w:rPr>
          <w:rFonts w:hint="cs"/>
          <w:rtl/>
          <w:lang w:eastAsia="he-IL"/>
        </w:rPr>
        <w:t>".</w:t>
      </w:r>
      <w:r w:rsidRPr="00414995">
        <w:rPr>
          <w:rStyle w:val="a7"/>
          <w:rtl/>
          <w:lang w:eastAsia="he-IL"/>
        </w:rPr>
        <w:footnoteReference w:id="108"/>
      </w:r>
    </w:p>
    <w:p w:rsidR="005F3FFC" w:rsidRPr="00414995" w:rsidRDefault="005F3FFC" w:rsidP="005F3FFC">
      <w:pPr>
        <w:rPr>
          <w:rtl/>
          <w:lang w:eastAsia="he-IL"/>
        </w:rPr>
      </w:pPr>
      <w:r w:rsidRPr="00414995">
        <w:rPr>
          <w:rFonts w:hint="cs"/>
          <w:rtl/>
          <w:lang w:eastAsia="he-IL"/>
        </w:rPr>
        <w:t xml:space="preserve">חריג יחיד לעיקרון זה הוא רצח של אדם שרצח בשגגה את קרוב משפחתו של הרוצח </w:t>
      </w:r>
      <w:r w:rsidRPr="00414995">
        <w:rPr>
          <w:rtl/>
          <w:lang w:eastAsia="he-IL"/>
        </w:rPr>
        <w:t>–</w:t>
      </w:r>
      <w:r w:rsidRPr="00414995">
        <w:rPr>
          <w:rFonts w:hint="cs"/>
          <w:rtl/>
          <w:lang w:eastAsia="he-IL"/>
        </w:rPr>
        <w:t xml:space="preserve"> </w:t>
      </w:r>
    </w:p>
    <w:p w:rsidR="005F3FFC" w:rsidRPr="00414995" w:rsidRDefault="005F3FFC" w:rsidP="005F3FFC">
      <w:pPr>
        <w:ind w:left="567" w:right="567"/>
        <w:rPr>
          <w:rtl/>
        </w:rPr>
      </w:pPr>
      <w:r w:rsidRPr="00414995">
        <w:rPr>
          <w:rtl/>
        </w:rPr>
        <w:t>רוצח בשגגה שהרגו גואל הדם חוץ לתחום עיר מקלטו, פטור. שנאמר: "ולו אין משפט מות" (דברים יט, ו). אחד הה</w:t>
      </w:r>
      <w:r w:rsidRPr="00414995">
        <w:rPr>
          <w:rFonts w:hint="cs"/>
          <w:rtl/>
        </w:rPr>
        <w:t>ו</w:t>
      </w:r>
      <w:r w:rsidRPr="00414995">
        <w:rPr>
          <w:rtl/>
        </w:rPr>
        <w:t>רגו בדרך קודם שיכנס לעיר מקלטו או שהרגו בחזירתו [מבית הדין אחרי שנפסק דינו לגלות] עם השנים ששומרין אותו.</w:t>
      </w:r>
      <w:r w:rsidRPr="00414995">
        <w:rPr>
          <w:rStyle w:val="a7"/>
          <w:rtl/>
        </w:rPr>
        <w:footnoteReference w:id="109"/>
      </w:r>
    </w:p>
    <w:p w:rsidR="005F3FFC" w:rsidRPr="00414995" w:rsidRDefault="005F3FFC" w:rsidP="005F3FFC">
      <w:pPr>
        <w:rPr>
          <w:b/>
          <w:bCs/>
          <w:rtl/>
        </w:rPr>
      </w:pPr>
      <w:r w:rsidRPr="00414995">
        <w:rPr>
          <w:rFonts w:hint="cs"/>
          <w:rtl/>
          <w:lang w:eastAsia="he-IL"/>
        </w:rPr>
        <w:t>הלכה זו מבוססת על הפסוקים המסבירים את חובתו של הרוצח בשגגה לנוס אל עיר המקלט, "</w:t>
      </w:r>
      <w:r w:rsidRPr="00414995">
        <w:rPr>
          <w:rFonts w:hint="cs"/>
          <w:rtl/>
        </w:rPr>
        <w:t xml:space="preserve">פן ירדף גאל הדם אחרי הרצח </w:t>
      </w:r>
      <w:r w:rsidRPr="00414995">
        <w:rPr>
          <w:rFonts w:hint="cs"/>
          <w:b/>
          <w:bCs/>
          <w:rtl/>
        </w:rPr>
        <w:t>כי יחם לבבו</w:t>
      </w:r>
      <w:r w:rsidRPr="00414995">
        <w:rPr>
          <w:rFonts w:hint="cs"/>
          <w:rtl/>
        </w:rPr>
        <w:t xml:space="preserve"> והשיגו כי ירבה הדרך והכהו נפש </w:t>
      </w:r>
      <w:r w:rsidRPr="00414995">
        <w:rPr>
          <w:rFonts w:hint="cs"/>
          <w:b/>
          <w:bCs/>
          <w:rtl/>
        </w:rPr>
        <w:t>ולו אין משפט מות כי לא שנא הוא לו מתמול שלשום".</w:t>
      </w:r>
      <w:r w:rsidRPr="00414995">
        <w:rPr>
          <w:rStyle w:val="a7"/>
          <w:b/>
          <w:bCs/>
          <w:rtl/>
        </w:rPr>
        <w:footnoteReference w:id="110"/>
      </w:r>
    </w:p>
    <w:p w:rsidR="00752A66" w:rsidRPr="00414995" w:rsidRDefault="005F3FFC" w:rsidP="00752A66">
      <w:pPr>
        <w:rPr>
          <w:rtl/>
          <w:lang w:eastAsia="he-IL"/>
        </w:rPr>
      </w:pPr>
      <w:r w:rsidRPr="00414995">
        <w:rPr>
          <w:rFonts w:hint="cs"/>
          <w:rtl/>
          <w:lang w:eastAsia="he-IL"/>
        </w:rPr>
        <w:t>מהלכה זו ניתן להסיק, לכל היותר, ש"</w:t>
      </w:r>
      <w:r w:rsidRPr="00414995">
        <w:rPr>
          <w:rtl/>
          <w:lang w:eastAsia="he-IL"/>
        </w:rPr>
        <w:t xml:space="preserve">המשפט העברי מכיר בקנטור </w:t>
      </w:r>
      <w:r w:rsidRPr="00414995">
        <w:rPr>
          <w:b/>
          <w:bCs/>
          <w:rtl/>
          <w:lang w:eastAsia="he-IL"/>
        </w:rPr>
        <w:t>חמור ואובייקטיבי</w:t>
      </w:r>
      <w:r w:rsidRPr="00414995">
        <w:rPr>
          <w:rtl/>
          <w:lang w:eastAsia="he-IL"/>
        </w:rPr>
        <w:t xml:space="preserve"> דוגמת </w:t>
      </w:r>
      <w:r w:rsidRPr="00414995">
        <w:rPr>
          <w:rtl/>
          <w:lang w:eastAsia="he-IL"/>
        </w:rPr>
        <w:lastRenderedPageBreak/>
        <w:t>הריגת קרוב משפחה מתוך רשלנות כהגנה מפני אישום פלילי</w:t>
      </w:r>
      <w:r w:rsidRPr="00414995">
        <w:rPr>
          <w:rFonts w:hint="cs"/>
          <w:rtl/>
          <w:lang w:eastAsia="he-IL"/>
        </w:rPr>
        <w:t>"</w:t>
      </w:r>
      <w:r w:rsidRPr="00414995">
        <w:rPr>
          <w:rtl/>
          <w:lang w:eastAsia="he-IL"/>
        </w:rPr>
        <w:t>.</w:t>
      </w:r>
      <w:bookmarkStart w:id="6" w:name="_Ref455936942"/>
      <w:r w:rsidRPr="00414995">
        <w:rPr>
          <w:rStyle w:val="a7"/>
          <w:rtl/>
          <w:lang w:eastAsia="he-IL"/>
        </w:rPr>
        <w:footnoteReference w:id="111"/>
      </w:r>
      <w:bookmarkEnd w:id="6"/>
      <w:r w:rsidRPr="00414995">
        <w:rPr>
          <w:rFonts w:hint="cs"/>
          <w:rtl/>
          <w:lang w:eastAsia="he-IL"/>
        </w:rPr>
        <w:t xml:space="preserve"> </w:t>
      </w:r>
      <w:r w:rsidR="008D26B1" w:rsidRPr="00414995">
        <w:rPr>
          <w:rFonts w:hint="cs"/>
          <w:rtl/>
          <w:lang w:eastAsia="he-IL"/>
        </w:rPr>
        <w:t xml:space="preserve"> </w:t>
      </w:r>
      <w:r w:rsidR="003460AA" w:rsidRPr="00414995">
        <w:rPr>
          <w:rFonts w:hint="cs"/>
          <w:rtl/>
          <w:lang w:eastAsia="he-IL"/>
        </w:rPr>
        <w:t xml:space="preserve"> </w:t>
      </w:r>
    </w:p>
    <w:p w:rsidR="005F3FFC" w:rsidRPr="00414995" w:rsidRDefault="00752A66" w:rsidP="004C17BE">
      <w:pPr>
        <w:rPr>
          <w:rtl/>
          <w:lang w:eastAsia="he-IL"/>
        </w:rPr>
      </w:pPr>
      <w:r w:rsidRPr="00414995">
        <w:rPr>
          <w:rFonts w:hint="cs"/>
          <w:rtl/>
          <w:lang w:eastAsia="he-IL"/>
        </w:rPr>
        <w:t>אמנם, כפי שכבר הוזכר לעיל,</w:t>
      </w:r>
      <w:r w:rsidRPr="00414995">
        <w:rPr>
          <w:rStyle w:val="a7"/>
          <w:rtl/>
          <w:lang w:eastAsia="he-IL"/>
        </w:rPr>
        <w:footnoteReference w:id="112"/>
      </w:r>
      <w:r w:rsidRPr="00414995">
        <w:rPr>
          <w:rFonts w:hint="cs"/>
          <w:rtl/>
          <w:lang w:eastAsia="he-IL"/>
        </w:rPr>
        <w:t xml:space="preserve"> לדעת רבי יצחק עראמה, נכון להקל בעונשו של מי ש"</w:t>
      </w:r>
      <w:r w:rsidRPr="00414995">
        <w:rPr>
          <w:rtl/>
          <w:lang w:eastAsia="he-IL"/>
        </w:rPr>
        <w:t>נזדמן לו העניין ההוא פתאום, ובחמתו אשר בערה בו קבל ההתראה, ובפתע הכה</w:t>
      </w:r>
      <w:r w:rsidRPr="00414995">
        <w:rPr>
          <w:rFonts w:hint="cs"/>
          <w:rtl/>
          <w:lang w:eastAsia="he-IL"/>
        </w:rPr>
        <w:t xml:space="preserve">". </w:t>
      </w:r>
      <w:r w:rsidR="004C17BE" w:rsidRPr="00414995">
        <w:rPr>
          <w:rFonts w:hint="cs"/>
          <w:rtl/>
          <w:lang w:eastAsia="he-IL"/>
        </w:rPr>
        <w:t xml:space="preserve">ואף שדבריו לא אומצו על ידי פוסקי ההלכה, </w:t>
      </w:r>
      <w:r w:rsidR="004C17BE" w:rsidRPr="00414995">
        <w:rPr>
          <w:rFonts w:hint="cs"/>
          <w:b/>
          <w:bCs/>
          <w:rtl/>
          <w:lang w:eastAsia="he-IL"/>
        </w:rPr>
        <w:t>במסגרת דין המלך נראה שנכון לתת משקל גם להיבט זה, ולהקל במידת מה בעונשו של מי שביצע את מעשה הרצח בעקבות קנטור סובייקטיבי, שבעקבותיו הוא בעקבות התקשה במידה ניכרת לשלוט בעצמו</w:t>
      </w:r>
      <w:r w:rsidR="004C17BE" w:rsidRPr="00414995">
        <w:rPr>
          <w:rFonts w:hint="cs"/>
          <w:rtl/>
          <w:lang w:eastAsia="he-IL"/>
        </w:rPr>
        <w:t xml:space="preserve">. </w:t>
      </w:r>
      <w:r w:rsidR="005F3FFC" w:rsidRPr="00414995">
        <w:rPr>
          <w:rFonts w:hint="cs"/>
          <w:rtl/>
          <w:lang w:eastAsia="he-IL"/>
        </w:rPr>
        <w:t xml:space="preserve"> </w:t>
      </w:r>
    </w:p>
    <w:p w:rsidR="008D0D77" w:rsidRPr="00414995" w:rsidRDefault="008D0D77" w:rsidP="008D0D77">
      <w:pPr>
        <w:pStyle w:val="1"/>
        <w:numPr>
          <w:ilvl w:val="1"/>
          <w:numId w:val="17"/>
        </w:numPr>
        <w:bidi/>
        <w:spacing w:after="120"/>
        <w:ind w:left="788" w:hanging="431"/>
        <w:rPr>
          <w:rFonts w:ascii="Times New Roman" w:hAnsi="Times New Roman"/>
          <w:b/>
          <w:kern w:val="0"/>
          <w:sz w:val="26"/>
          <w:szCs w:val="26"/>
          <w:lang w:eastAsia="he-IL"/>
        </w:rPr>
      </w:pPr>
      <w:r w:rsidRPr="00414995">
        <w:rPr>
          <w:rFonts w:ascii="Times New Roman" w:hAnsi="Times New Roman"/>
          <w:b/>
          <w:kern w:val="0"/>
          <w:sz w:val="26"/>
          <w:szCs w:val="26"/>
          <w:rtl/>
          <w:lang w:eastAsia="he-IL"/>
        </w:rPr>
        <w:t>חר</w:t>
      </w:r>
      <w:r w:rsidRPr="00414995">
        <w:rPr>
          <w:rFonts w:ascii="Times New Roman" w:hAnsi="Times New Roman" w:hint="cs"/>
          <w:b/>
          <w:kern w:val="0"/>
          <w:sz w:val="26"/>
          <w:szCs w:val="26"/>
          <w:rtl/>
          <w:lang w:eastAsia="he-IL"/>
        </w:rPr>
        <w:t>י</w:t>
      </w:r>
      <w:r w:rsidRPr="00414995">
        <w:rPr>
          <w:rFonts w:ascii="Times New Roman" w:hAnsi="Times New Roman"/>
          <w:b/>
          <w:kern w:val="0"/>
          <w:sz w:val="26"/>
          <w:szCs w:val="26"/>
          <w:rtl/>
          <w:lang w:eastAsia="he-IL"/>
        </w:rPr>
        <w:t>ג</w:t>
      </w:r>
      <w:r w:rsidRPr="00414995">
        <w:rPr>
          <w:rFonts w:ascii="Times New Roman" w:hAnsi="Times New Roman" w:hint="cs"/>
          <w:b/>
          <w:kern w:val="0"/>
          <w:sz w:val="26"/>
          <w:szCs w:val="26"/>
          <w:rtl/>
          <w:lang w:eastAsia="he-IL"/>
        </w:rPr>
        <w:t>ה</w:t>
      </w:r>
      <w:r w:rsidRPr="00414995">
        <w:rPr>
          <w:rFonts w:ascii="Times New Roman" w:hAnsi="Times New Roman"/>
          <w:b/>
          <w:kern w:val="0"/>
          <w:sz w:val="26"/>
          <w:szCs w:val="26"/>
          <w:rtl/>
          <w:lang w:eastAsia="he-IL"/>
        </w:rPr>
        <w:t xml:space="preserve"> מועטה מתחולת סייג לאחריות</w:t>
      </w:r>
    </w:p>
    <w:p w:rsidR="008D0D77" w:rsidRPr="00414995" w:rsidRDefault="008D0D77" w:rsidP="008D0D77">
      <w:pPr>
        <w:rPr>
          <w:rtl/>
          <w:lang w:eastAsia="he-IL"/>
        </w:rPr>
      </w:pPr>
      <w:r w:rsidRPr="00414995">
        <w:rPr>
          <w:rFonts w:hint="cs"/>
          <w:rtl/>
          <w:lang w:eastAsia="he-IL"/>
        </w:rPr>
        <w:t>סעיף 300א(ב) לחוק העונשין מאפשר לבית המשפט לסטות מעונש החובה בנסיבות שבהן מעשהו של</w:t>
      </w:r>
      <w:r w:rsidRPr="00414995">
        <w:rPr>
          <w:lang w:eastAsia="he-IL"/>
        </w:rPr>
        <w:t xml:space="preserve"> </w:t>
      </w:r>
      <w:r w:rsidRPr="00414995">
        <w:rPr>
          <w:rFonts w:hint="cs"/>
          <w:rtl/>
          <w:lang w:eastAsia="he-IL"/>
        </w:rPr>
        <w:t>הנאשם חרג במידה מועטה בנסיבות העניין מתחום</w:t>
      </w:r>
      <w:r w:rsidRPr="00414995">
        <w:rPr>
          <w:lang w:eastAsia="he-IL"/>
        </w:rPr>
        <w:t xml:space="preserve"> </w:t>
      </w:r>
      <w:r w:rsidRPr="00414995">
        <w:rPr>
          <w:rFonts w:hint="cs"/>
          <w:rtl/>
          <w:lang w:eastAsia="he-IL"/>
        </w:rPr>
        <w:t>הסבירות הנדרשת</w:t>
      </w:r>
      <w:r w:rsidRPr="00414995">
        <w:rPr>
          <w:lang w:eastAsia="he-IL"/>
        </w:rPr>
        <w:t xml:space="preserve"> </w:t>
      </w:r>
      <w:r w:rsidRPr="00414995">
        <w:rPr>
          <w:rFonts w:hint="cs"/>
          <w:rtl/>
          <w:lang w:eastAsia="he-IL"/>
        </w:rPr>
        <w:t>לפי</w:t>
      </w:r>
      <w:r w:rsidRPr="00414995">
        <w:rPr>
          <w:lang w:eastAsia="he-IL"/>
        </w:rPr>
        <w:t xml:space="preserve"> </w:t>
      </w:r>
      <w:r w:rsidRPr="00414995">
        <w:rPr>
          <w:rFonts w:hint="cs"/>
          <w:rtl/>
          <w:lang w:eastAsia="he-IL"/>
        </w:rPr>
        <w:t>סעיף 34טז לחוק, לשם</w:t>
      </w:r>
      <w:r w:rsidRPr="00414995">
        <w:rPr>
          <w:lang w:eastAsia="he-IL"/>
        </w:rPr>
        <w:t xml:space="preserve"> </w:t>
      </w:r>
      <w:r w:rsidRPr="00414995">
        <w:rPr>
          <w:rFonts w:hint="cs"/>
          <w:rtl/>
          <w:lang w:eastAsia="he-IL"/>
        </w:rPr>
        <w:t>תחולת הסייג של הגנה</w:t>
      </w:r>
      <w:r w:rsidRPr="00414995">
        <w:rPr>
          <w:lang w:eastAsia="he-IL"/>
        </w:rPr>
        <w:t xml:space="preserve"> </w:t>
      </w:r>
      <w:r w:rsidRPr="00414995">
        <w:rPr>
          <w:rFonts w:hint="cs"/>
          <w:rtl/>
          <w:lang w:eastAsia="he-IL"/>
        </w:rPr>
        <w:t>עצמית, צורך או כורח.</w:t>
      </w:r>
    </w:p>
    <w:p w:rsidR="008D0D77" w:rsidRPr="00414995" w:rsidRDefault="008D0D77" w:rsidP="008D0D77">
      <w:pPr>
        <w:rPr>
          <w:rtl/>
          <w:lang w:eastAsia="he-IL"/>
        </w:rPr>
      </w:pPr>
      <w:r w:rsidRPr="00414995">
        <w:rPr>
          <w:rFonts w:hint="cs"/>
          <w:rtl/>
          <w:lang w:eastAsia="he-IL"/>
        </w:rPr>
        <w:t>בהצעת החוק מוצע להרחיב את הנסיבה האמורה "</w:t>
      </w:r>
      <w:r w:rsidRPr="00414995">
        <w:rPr>
          <w:rtl/>
          <w:lang w:eastAsia="he-IL"/>
        </w:rPr>
        <w:t>גם למצבים שבהם החריגה לא היתה מתחום הסבירות</w:t>
      </w:r>
      <w:r w:rsidRPr="00414995">
        <w:rPr>
          <w:rFonts w:hint="cs"/>
          <w:rtl/>
          <w:lang w:eastAsia="he-IL"/>
        </w:rPr>
        <w:t xml:space="preserve"> </w:t>
      </w:r>
      <w:r w:rsidRPr="00414995">
        <w:rPr>
          <w:rtl/>
          <w:lang w:eastAsia="he-IL"/>
        </w:rPr>
        <w:t>של ההגנות הנזכרות, אלא מתנאי אחר בהן, כגון תנאי</w:t>
      </w:r>
      <w:r w:rsidRPr="00414995">
        <w:rPr>
          <w:rFonts w:hint="cs"/>
          <w:rtl/>
          <w:lang w:eastAsia="he-IL"/>
        </w:rPr>
        <w:t xml:space="preserve"> </w:t>
      </w:r>
      <w:r w:rsidRPr="00414995">
        <w:rPr>
          <w:rtl/>
          <w:lang w:eastAsia="he-IL"/>
        </w:rPr>
        <w:t>המיידיות, ובתנאי שיש בנסיבות כדי למתן את אשמתו</w:t>
      </w:r>
      <w:r w:rsidRPr="00414995">
        <w:rPr>
          <w:rFonts w:hint="cs"/>
          <w:rtl/>
          <w:lang w:eastAsia="he-IL"/>
        </w:rPr>
        <w:t xml:space="preserve"> </w:t>
      </w:r>
      <w:r w:rsidRPr="00414995">
        <w:rPr>
          <w:rtl/>
          <w:lang w:eastAsia="he-IL"/>
        </w:rPr>
        <w:t>של העושה</w:t>
      </w:r>
      <w:r w:rsidRPr="00414995">
        <w:rPr>
          <w:rFonts w:hint="cs"/>
          <w:rtl/>
          <w:lang w:eastAsia="he-IL"/>
        </w:rPr>
        <w:t>".</w:t>
      </w:r>
      <w:r w:rsidR="00F26319" w:rsidRPr="00414995">
        <w:rPr>
          <w:rStyle w:val="a7"/>
          <w:rtl/>
          <w:lang w:eastAsia="he-IL"/>
        </w:rPr>
        <w:footnoteReference w:id="113"/>
      </w:r>
    </w:p>
    <w:p w:rsidR="008D0D77" w:rsidRPr="00414995" w:rsidRDefault="00F26319" w:rsidP="00F26319">
      <w:pPr>
        <w:rPr>
          <w:rtl/>
          <w:lang w:eastAsia="he-IL"/>
        </w:rPr>
      </w:pPr>
      <w:r w:rsidRPr="00414995">
        <w:rPr>
          <w:rFonts w:hint="cs"/>
          <w:rtl/>
          <w:lang w:eastAsia="he-IL"/>
        </w:rPr>
        <w:t>בדברי ההסבר הובהר ש</w:t>
      </w:r>
      <w:r w:rsidR="008D0D77" w:rsidRPr="00414995">
        <w:rPr>
          <w:rFonts w:hint="cs"/>
          <w:rtl/>
          <w:lang w:eastAsia="he-IL"/>
        </w:rPr>
        <w:t xml:space="preserve">תיקון זה נועד </w:t>
      </w:r>
      <w:r w:rsidRPr="00414995">
        <w:rPr>
          <w:rFonts w:hint="cs"/>
          <w:rtl/>
          <w:lang w:eastAsia="he-IL"/>
        </w:rPr>
        <w:t xml:space="preserve">לאפשר לבית המשפט, למשל, להקל בעונשו של נאשם </w:t>
      </w:r>
      <w:r w:rsidRPr="00414995">
        <w:rPr>
          <w:rFonts w:hint="cs"/>
          <w:rtl/>
        </w:rPr>
        <w:t xml:space="preserve">בנסיבות של </w:t>
      </w:r>
      <w:r w:rsidRPr="00414995">
        <w:rPr>
          <w:rtl/>
          <w:lang w:eastAsia="he-IL"/>
        </w:rPr>
        <w:t xml:space="preserve">"הגנה עצמית פגומה" </w:t>
      </w:r>
      <w:r w:rsidRPr="00414995">
        <w:rPr>
          <w:rFonts w:hint="cs"/>
          <w:rtl/>
          <w:lang w:eastAsia="he-IL"/>
        </w:rPr>
        <w:t>(</w:t>
      </w:r>
      <w:r w:rsidRPr="00414995">
        <w:rPr>
          <w:lang w:eastAsia="he-IL"/>
        </w:rPr>
        <w:t>Imperfect Self-Defense</w:t>
      </w:r>
      <w:r w:rsidRPr="00414995">
        <w:rPr>
          <w:rtl/>
          <w:lang w:eastAsia="he-IL"/>
        </w:rPr>
        <w:t>)</w:t>
      </w:r>
      <w:r w:rsidRPr="00414995">
        <w:rPr>
          <w:rFonts w:hint="cs"/>
          <w:rtl/>
          <w:lang w:eastAsia="he-IL"/>
        </w:rPr>
        <w:t xml:space="preserve"> או של </w:t>
      </w:r>
      <w:r w:rsidRPr="00414995">
        <w:rPr>
          <w:rtl/>
          <w:lang w:eastAsia="he-IL"/>
        </w:rPr>
        <w:t xml:space="preserve">"הגנה עצמית מוגזמת" </w:t>
      </w:r>
      <w:r w:rsidRPr="00414995">
        <w:rPr>
          <w:rFonts w:hint="cs"/>
          <w:rtl/>
          <w:lang w:eastAsia="he-IL"/>
        </w:rPr>
        <w:t>(</w:t>
      </w:r>
      <w:r w:rsidRPr="00414995">
        <w:rPr>
          <w:lang w:eastAsia="he-IL"/>
        </w:rPr>
        <w:t>Excessive Self-Defense</w:t>
      </w:r>
      <w:r w:rsidRPr="00414995">
        <w:rPr>
          <w:rtl/>
          <w:lang w:eastAsia="he-IL"/>
        </w:rPr>
        <w:t>) שלפיהן נאשם אשר הגיב למעשה אלימות</w:t>
      </w:r>
      <w:r w:rsidRPr="00414995">
        <w:rPr>
          <w:rFonts w:hint="cs"/>
          <w:rtl/>
          <w:lang w:eastAsia="he-IL"/>
        </w:rPr>
        <w:t xml:space="preserve"> </w:t>
      </w:r>
      <w:r w:rsidRPr="00414995">
        <w:rPr>
          <w:rtl/>
          <w:lang w:eastAsia="he-IL"/>
        </w:rPr>
        <w:t>בכוח קטלני בלתי מידתי, אך האמין, בתום לב, שהיה צריך</w:t>
      </w:r>
      <w:r w:rsidRPr="00414995">
        <w:rPr>
          <w:rFonts w:hint="cs"/>
          <w:rtl/>
          <w:lang w:eastAsia="he-IL"/>
        </w:rPr>
        <w:t xml:space="preserve"> להשתמש בכוח קטלני.</w:t>
      </w:r>
      <w:r w:rsidRPr="00414995">
        <w:rPr>
          <w:rStyle w:val="a7"/>
          <w:rtl/>
          <w:lang w:eastAsia="he-IL"/>
        </w:rPr>
        <w:footnoteReference w:id="114"/>
      </w:r>
      <w:r w:rsidRPr="00414995">
        <w:rPr>
          <w:rFonts w:hint="cs"/>
          <w:rtl/>
          <w:lang w:eastAsia="he-IL"/>
        </w:rPr>
        <w:t xml:space="preserve"> </w:t>
      </w:r>
    </w:p>
    <w:p w:rsidR="00F26319" w:rsidRPr="00414995" w:rsidRDefault="008D0D77" w:rsidP="005C4E19">
      <w:pPr>
        <w:rPr>
          <w:rtl/>
          <w:lang w:eastAsia="he-IL"/>
        </w:rPr>
      </w:pPr>
      <w:r w:rsidRPr="0083077E">
        <w:rPr>
          <w:rFonts w:hint="cs"/>
          <w:spacing w:val="-4"/>
          <w:rtl/>
          <w:lang w:eastAsia="he-IL"/>
        </w:rPr>
        <w:t xml:space="preserve">נראה כי </w:t>
      </w:r>
      <w:r w:rsidR="00230BD7" w:rsidRPr="0083077E">
        <w:rPr>
          <w:rFonts w:hint="cs"/>
          <w:spacing w:val="-4"/>
          <w:rtl/>
          <w:lang w:eastAsia="he-IL"/>
        </w:rPr>
        <w:t>בעניין זה</w:t>
      </w:r>
      <w:r w:rsidR="00F26319" w:rsidRPr="0083077E">
        <w:rPr>
          <w:rFonts w:hint="cs"/>
          <w:spacing w:val="-4"/>
          <w:rtl/>
          <w:lang w:eastAsia="he-IL"/>
        </w:rPr>
        <w:t xml:space="preserve"> המשפט העברי מקל עם הרוצח אף יותר מן המוצע בהצעת החוק.</w:t>
      </w:r>
      <w:r w:rsidRPr="0083077E">
        <w:rPr>
          <w:rFonts w:hint="cs"/>
          <w:spacing w:val="-4"/>
          <w:rtl/>
          <w:lang w:eastAsia="he-IL"/>
        </w:rPr>
        <w:t xml:space="preserve"> כך עולה, למשל, מן ההלכה בעניין ענישתו של מי שהמית אדם שרדף אחריו להורגו</w:t>
      </w:r>
      <w:r w:rsidR="00F26319" w:rsidRPr="0083077E">
        <w:rPr>
          <w:rFonts w:hint="cs"/>
          <w:spacing w:val="-4"/>
          <w:rtl/>
          <w:lang w:eastAsia="he-IL"/>
        </w:rPr>
        <w:t>. כידוע, נפסקה הלכה ש"הרודף אחר חבירו להרגו... הרי כל ישראל מצווין להציל הנרדף מיד הרודף, ואפילו בנפשו של רוד</w:t>
      </w:r>
      <w:r w:rsidR="00F26319" w:rsidRPr="00414995">
        <w:rPr>
          <w:rFonts w:hint="cs"/>
          <w:rtl/>
          <w:lang w:eastAsia="he-IL"/>
        </w:rPr>
        <w:t>ף".</w:t>
      </w:r>
      <w:r w:rsidR="00F26319" w:rsidRPr="00414995">
        <w:rPr>
          <w:rStyle w:val="a7"/>
          <w:rtl/>
          <w:lang w:eastAsia="he-IL"/>
        </w:rPr>
        <w:footnoteReference w:id="115"/>
      </w:r>
      <w:r w:rsidR="00F26319" w:rsidRPr="00414995">
        <w:rPr>
          <w:rFonts w:hint="cs"/>
          <w:rtl/>
          <w:lang w:eastAsia="he-IL"/>
        </w:rPr>
        <w:t xml:space="preserve"> </w:t>
      </w:r>
    </w:p>
    <w:p w:rsidR="008D0D77" w:rsidRPr="00414995" w:rsidRDefault="00F26319" w:rsidP="00F26319">
      <w:pPr>
        <w:rPr>
          <w:rtl/>
          <w:lang w:eastAsia="he-IL"/>
        </w:rPr>
      </w:pPr>
      <w:r w:rsidRPr="00414995">
        <w:rPr>
          <w:rFonts w:hint="cs"/>
          <w:rtl/>
          <w:lang w:eastAsia="he-IL"/>
        </w:rPr>
        <w:lastRenderedPageBreak/>
        <w:t>ואולם, ההיתר לפגוע "בנפשו של רודף" מותנה בכך שהפגיעה תהיה מידתית, והפוגע ברודף יוודא שלא ניתן להציל את הנרדף מבלי להמית את הרודף, כגון, באמצעות פגיעה באחד מאיבריו.</w:t>
      </w:r>
      <w:r w:rsidRPr="00414995">
        <w:rPr>
          <w:rStyle w:val="a7"/>
          <w:rtl/>
          <w:lang w:eastAsia="he-IL"/>
        </w:rPr>
        <w:footnoteReference w:id="116"/>
      </w:r>
      <w:r w:rsidRPr="00414995">
        <w:rPr>
          <w:rFonts w:hint="cs"/>
          <w:rtl/>
          <w:lang w:eastAsia="he-IL"/>
        </w:rPr>
        <w:t xml:space="preserve">  </w:t>
      </w:r>
    </w:p>
    <w:p w:rsidR="00F26319" w:rsidRPr="00414995" w:rsidRDefault="00F26319" w:rsidP="00F26319">
      <w:pPr>
        <w:rPr>
          <w:rtl/>
          <w:lang w:eastAsia="he-IL"/>
        </w:rPr>
      </w:pPr>
      <w:r w:rsidRPr="00414995">
        <w:rPr>
          <w:rFonts w:hint="cs"/>
          <w:rtl/>
          <w:lang w:eastAsia="he-IL"/>
        </w:rPr>
        <w:t xml:space="preserve">בעניינו של מי שהמית את הרודף מבלי שבדק תחילה אם ניתן לפגוע באחד מאבריו כדי להציל את הנרדף, פסק הרמב"ם </w:t>
      </w:r>
      <w:r w:rsidRPr="00414995">
        <w:rPr>
          <w:rtl/>
          <w:lang w:eastAsia="he-IL"/>
        </w:rPr>
        <w:t>–</w:t>
      </w:r>
      <w:r w:rsidRPr="00414995">
        <w:rPr>
          <w:rFonts w:hint="cs"/>
          <w:rtl/>
          <w:lang w:eastAsia="he-IL"/>
        </w:rPr>
        <w:t xml:space="preserve"> </w:t>
      </w:r>
    </w:p>
    <w:p w:rsidR="00F26319" w:rsidRPr="00414995" w:rsidRDefault="00F26319" w:rsidP="00F26319">
      <w:pPr>
        <w:ind w:left="567" w:right="567"/>
        <w:rPr>
          <w:rtl/>
          <w:lang w:eastAsia="he-IL"/>
        </w:rPr>
      </w:pPr>
      <w:r w:rsidRPr="00414995">
        <w:rPr>
          <w:rFonts w:hint="cs"/>
          <w:rtl/>
          <w:lang w:eastAsia="he-IL"/>
        </w:rPr>
        <w:t xml:space="preserve">כל היכול להציל באבר מאיבריו, ולא טרח בכך, אלא הציל בנפשו של רודף והרגו, הרי זה שופך דמים, וחייב מיתה, </w:t>
      </w:r>
      <w:r w:rsidRPr="00414995">
        <w:rPr>
          <w:rFonts w:hint="cs"/>
          <w:b/>
          <w:bCs/>
          <w:rtl/>
          <w:lang w:eastAsia="he-IL"/>
        </w:rPr>
        <w:t>אבל אין בית דין ממיתין אותו</w:t>
      </w:r>
      <w:r w:rsidRPr="00414995">
        <w:rPr>
          <w:rFonts w:hint="cs"/>
          <w:rtl/>
          <w:lang w:eastAsia="he-IL"/>
        </w:rPr>
        <w:t>.</w:t>
      </w:r>
      <w:r w:rsidR="004B5FF8" w:rsidRPr="00414995">
        <w:rPr>
          <w:rStyle w:val="a7"/>
          <w:rtl/>
          <w:lang w:eastAsia="he-IL"/>
        </w:rPr>
        <w:footnoteReference w:id="117"/>
      </w:r>
    </w:p>
    <w:p w:rsidR="00F26319" w:rsidRPr="00414995" w:rsidRDefault="00F26319" w:rsidP="004B5FF8">
      <w:pPr>
        <w:rPr>
          <w:rtl/>
          <w:lang w:eastAsia="he-IL"/>
        </w:rPr>
      </w:pPr>
      <w:r w:rsidRPr="00414995">
        <w:rPr>
          <w:rFonts w:hint="cs"/>
          <w:rtl/>
          <w:lang w:eastAsia="he-IL"/>
        </w:rPr>
        <w:t>למדנו, שעל אף שבעיני הרמב"ם, מי ש</w:t>
      </w:r>
      <w:r w:rsidR="004B5FF8" w:rsidRPr="00414995">
        <w:rPr>
          <w:rFonts w:hint="cs"/>
          <w:rtl/>
          <w:lang w:eastAsia="he-IL"/>
        </w:rPr>
        <w:t>המית את הרודף בעוד שיכול היה להימנע מכך, אך לא טרח לבדוק האם הצלתו מחייבת את הריגת הרודף הוא "שופך דמים, וחייב מיתה", חיוב זה הוא חיוב מיתה בדיני שמים, ולא בדיני אדם.</w:t>
      </w:r>
      <w:r w:rsidR="004B5FF8" w:rsidRPr="00414995">
        <w:rPr>
          <w:rStyle w:val="a7"/>
          <w:rtl/>
          <w:lang w:eastAsia="he-IL"/>
        </w:rPr>
        <w:footnoteReference w:id="118"/>
      </w:r>
      <w:r w:rsidR="004B5FF8" w:rsidRPr="00414995">
        <w:rPr>
          <w:rFonts w:hint="cs"/>
          <w:rtl/>
          <w:lang w:eastAsia="he-IL"/>
        </w:rPr>
        <w:t xml:space="preserve"> </w:t>
      </w:r>
    </w:p>
    <w:p w:rsidR="009063D2" w:rsidRPr="00414995" w:rsidRDefault="004B5FF8" w:rsidP="00260D86">
      <w:pPr>
        <w:rPr>
          <w:rtl/>
        </w:rPr>
      </w:pPr>
      <w:r w:rsidRPr="00414995">
        <w:rPr>
          <w:rFonts w:hint="cs"/>
          <w:rtl/>
          <w:lang w:eastAsia="he-IL"/>
        </w:rPr>
        <w:t>מכאן ניתן ללמוד בקל וחומר, ש</w:t>
      </w:r>
      <w:r w:rsidRPr="00414995">
        <w:rPr>
          <w:rFonts w:hint="cs"/>
          <w:b/>
          <w:bCs/>
          <w:rtl/>
          <w:lang w:eastAsia="he-IL"/>
        </w:rPr>
        <w:t xml:space="preserve">עונשו של מי שעשה שימוש </w:t>
      </w:r>
      <w:r w:rsidRPr="00414995">
        <w:rPr>
          <w:b/>
          <w:bCs/>
          <w:rtl/>
          <w:lang w:eastAsia="he-IL"/>
        </w:rPr>
        <w:t>בכוח קטלני בלתי מידתי, אך האמין בתום לב שהיה צריך</w:t>
      </w:r>
      <w:r w:rsidRPr="00414995">
        <w:rPr>
          <w:rFonts w:hint="cs"/>
          <w:b/>
          <w:bCs/>
          <w:rtl/>
          <w:lang w:eastAsia="he-IL"/>
        </w:rPr>
        <w:t xml:space="preserve"> להשתמש בכוח שכזה</w:t>
      </w:r>
      <w:r w:rsidR="00AD332B" w:rsidRPr="00414995">
        <w:rPr>
          <w:rFonts w:hint="cs"/>
          <w:b/>
          <w:bCs/>
          <w:rtl/>
          <w:lang w:eastAsia="he-IL"/>
        </w:rPr>
        <w:t xml:space="preserve"> כדי להגן על עצמו</w:t>
      </w:r>
      <w:r w:rsidRPr="00414995">
        <w:rPr>
          <w:rFonts w:hint="cs"/>
          <w:b/>
          <w:bCs/>
          <w:rtl/>
          <w:lang w:eastAsia="he-IL"/>
        </w:rPr>
        <w:t>, אמור להיות קל מעונ</w:t>
      </w:r>
      <w:r w:rsidR="00443BD2" w:rsidRPr="00414995">
        <w:rPr>
          <w:rFonts w:hint="cs"/>
          <w:b/>
          <w:bCs/>
          <w:rtl/>
          <w:lang w:eastAsia="he-IL"/>
        </w:rPr>
        <w:t>שו של מי שרצח אדם בכוונה תחילה</w:t>
      </w:r>
      <w:r w:rsidR="00443BD2" w:rsidRPr="00414995">
        <w:rPr>
          <w:rFonts w:hint="cs"/>
          <w:rtl/>
          <w:lang w:eastAsia="he-IL"/>
        </w:rPr>
        <w:t>.</w:t>
      </w:r>
      <w:r w:rsidR="00443BD2" w:rsidRPr="00414995">
        <w:rPr>
          <w:rStyle w:val="a7"/>
          <w:rtl/>
          <w:lang w:eastAsia="he-IL"/>
        </w:rPr>
        <w:footnoteReference w:id="119"/>
      </w:r>
    </w:p>
    <w:sectPr w:rsidR="009063D2" w:rsidRPr="00414995" w:rsidSect="006D774E">
      <w:footerReference w:type="default" r:id="rId9"/>
      <w:footerReference w:type="first" r:id="rId10"/>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708" w:rsidRDefault="00A56708" w:rsidP="009D1062">
      <w:pPr>
        <w:spacing w:after="0" w:line="240" w:lineRule="auto"/>
      </w:pPr>
      <w:r>
        <w:separator/>
      </w:r>
    </w:p>
  </w:endnote>
  <w:endnote w:type="continuationSeparator" w:id="0">
    <w:p w:rsidR="00A56708" w:rsidRDefault="00A56708" w:rsidP="009D1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Halis R">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venim MT">
    <w:panose1 w:val="02010502060101010101"/>
    <w:charset w:val="B1"/>
    <w:family w:val="auto"/>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708" w:rsidRDefault="00A56708" w:rsidP="00910ECD">
    <w:pPr>
      <w:pStyle w:val="ab"/>
      <w:spacing w:before="240" w:after="0" w:line="240" w:lineRule="auto"/>
      <w:ind w:right="360"/>
      <w:jc w:val="center"/>
      <w:rPr>
        <w:color w:val="3366FF"/>
        <w:szCs w:val="16"/>
        <w:rtl/>
        <w:lang w:eastAsia="en-US"/>
      </w:rPr>
    </w:pPr>
  </w:p>
  <w:tbl>
    <w:tblPr>
      <w:bidiVisual/>
      <w:tblW w:w="8306" w:type="dxa"/>
      <w:tblInd w:w="116" w:type="dxa"/>
      <w:tblLook w:val="0000" w:firstRow="0" w:lastRow="0" w:firstColumn="0" w:lastColumn="0" w:noHBand="0" w:noVBand="0"/>
    </w:tblPr>
    <w:tblGrid>
      <w:gridCol w:w="3783"/>
      <w:gridCol w:w="710"/>
      <w:gridCol w:w="3813"/>
    </w:tblGrid>
    <w:tr w:rsidR="00A56708" w:rsidTr="00474698">
      <w:tc>
        <w:tcPr>
          <w:tcW w:w="3783" w:type="dxa"/>
          <w:tcBorders>
            <w:top w:val="single" w:sz="4" w:space="0" w:color="auto"/>
          </w:tcBorders>
        </w:tcPr>
        <w:p w:rsidR="00A56708" w:rsidRDefault="00A56708" w:rsidP="00474698">
          <w:pPr>
            <w:spacing w:after="0" w:line="240" w:lineRule="auto"/>
            <w:rPr>
              <w:sz w:val="16"/>
              <w:szCs w:val="16"/>
            </w:rPr>
          </w:pPr>
        </w:p>
      </w:tc>
      <w:tc>
        <w:tcPr>
          <w:tcW w:w="710" w:type="dxa"/>
        </w:tcPr>
        <w:p w:rsidR="00A56708" w:rsidRDefault="00A56708" w:rsidP="00474698">
          <w:pPr>
            <w:spacing w:after="0" w:line="240" w:lineRule="auto"/>
            <w:rPr>
              <w:sz w:val="16"/>
              <w:szCs w:val="16"/>
            </w:rPr>
          </w:pPr>
          <w:r>
            <w:rPr>
              <w:noProof/>
              <w:sz w:val="20"/>
            </w:rPr>
            <w:drawing>
              <wp:anchor distT="0" distB="0" distL="114300" distR="114300" simplePos="0" relativeHeight="251656704" behindDoc="0" locked="0" layoutInCell="1" allowOverlap="1" wp14:anchorId="33670792" wp14:editId="129A4355">
                <wp:simplePos x="0" y="0"/>
                <wp:positionH relativeFrom="margin">
                  <wp:posOffset>56794</wp:posOffset>
                </wp:positionH>
                <wp:positionV relativeFrom="paragraph">
                  <wp:posOffset>-102179</wp:posOffset>
                </wp:positionV>
                <wp:extent cx="196215" cy="243840"/>
                <wp:effectExtent l="0" t="0" r="0" b="3810"/>
                <wp:wrapNone/>
                <wp:docPr id="7" name="תמונה 7" descr="לוגו סמל המדינה כחול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לוגו סמל המדינה כחול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 cy="243840"/>
                        </a:xfrm>
                        <a:prstGeom prst="rect">
                          <a:avLst/>
                        </a:prstGeom>
                        <a:noFill/>
                        <a:ln>
                          <a:noFill/>
                        </a:ln>
                      </pic:spPr>
                    </pic:pic>
                  </a:graphicData>
                </a:graphic>
              </wp:anchor>
            </w:drawing>
          </w:r>
        </w:p>
      </w:tc>
      <w:tc>
        <w:tcPr>
          <w:tcW w:w="3813" w:type="dxa"/>
          <w:tcBorders>
            <w:top w:val="single" w:sz="4" w:space="0" w:color="auto"/>
          </w:tcBorders>
        </w:tcPr>
        <w:p w:rsidR="00A56708" w:rsidRDefault="00A56708" w:rsidP="00474698">
          <w:pPr>
            <w:spacing w:after="0" w:line="240" w:lineRule="auto"/>
            <w:jc w:val="right"/>
            <w:rPr>
              <w:sz w:val="16"/>
              <w:szCs w:val="16"/>
              <w:rtl/>
            </w:rPr>
          </w:pPr>
        </w:p>
      </w:tc>
    </w:tr>
    <w:tr w:rsidR="00A56708" w:rsidRPr="00910ECD" w:rsidTr="00474698">
      <w:tc>
        <w:tcPr>
          <w:tcW w:w="3783" w:type="dxa"/>
        </w:tcPr>
        <w:p w:rsidR="00A56708" w:rsidRPr="00910ECD" w:rsidRDefault="00A56708" w:rsidP="00474698">
          <w:pPr>
            <w:spacing w:after="0" w:line="240" w:lineRule="auto"/>
            <w:rPr>
              <w:sz w:val="16"/>
              <w:szCs w:val="16"/>
            </w:rPr>
          </w:pPr>
        </w:p>
      </w:tc>
      <w:tc>
        <w:tcPr>
          <w:tcW w:w="710" w:type="dxa"/>
        </w:tcPr>
        <w:p w:rsidR="00A56708" w:rsidRPr="00910ECD" w:rsidRDefault="00A56708" w:rsidP="00474698">
          <w:pPr>
            <w:spacing w:before="0" w:after="0" w:line="240" w:lineRule="auto"/>
            <w:jc w:val="center"/>
            <w:rPr>
              <w:sz w:val="16"/>
              <w:szCs w:val="16"/>
            </w:rPr>
          </w:pPr>
          <w:r w:rsidRPr="00910ECD">
            <w:rPr>
              <w:rFonts w:hint="cs"/>
              <w:sz w:val="16"/>
              <w:szCs w:val="16"/>
              <w:rtl/>
            </w:rPr>
            <w:t>הכנסת</w:t>
          </w:r>
        </w:p>
      </w:tc>
      <w:tc>
        <w:tcPr>
          <w:tcW w:w="3813" w:type="dxa"/>
        </w:tcPr>
        <w:p w:rsidR="00A56708" w:rsidRPr="00910ECD" w:rsidRDefault="00A56708" w:rsidP="00BD40BD">
          <w:pPr>
            <w:spacing w:after="0" w:line="240" w:lineRule="auto"/>
            <w:jc w:val="right"/>
            <w:rPr>
              <w:sz w:val="16"/>
              <w:szCs w:val="16"/>
              <w:rtl/>
            </w:rPr>
          </w:pPr>
          <w:r w:rsidRPr="00910ECD">
            <w:rPr>
              <w:sz w:val="16"/>
              <w:szCs w:val="16"/>
              <w:rtl/>
            </w:rPr>
            <w:t>עמוד</w:t>
          </w:r>
          <w:r w:rsidRPr="00910ECD">
            <w:rPr>
              <w:sz w:val="16"/>
              <w:szCs w:val="16"/>
            </w:rPr>
            <w:t xml:space="preserve"> </w:t>
          </w:r>
          <w:r w:rsidRPr="00910ECD">
            <w:rPr>
              <w:sz w:val="16"/>
              <w:szCs w:val="16"/>
            </w:rPr>
            <w:fldChar w:fldCharType="begin"/>
          </w:r>
          <w:r w:rsidRPr="00910ECD">
            <w:rPr>
              <w:sz w:val="16"/>
              <w:szCs w:val="16"/>
            </w:rPr>
            <w:instrText xml:space="preserve"> PAGE </w:instrText>
          </w:r>
          <w:r w:rsidRPr="00910ECD">
            <w:rPr>
              <w:sz w:val="16"/>
              <w:szCs w:val="16"/>
            </w:rPr>
            <w:fldChar w:fldCharType="separate"/>
          </w:r>
          <w:r w:rsidR="0083077E">
            <w:rPr>
              <w:noProof/>
              <w:sz w:val="16"/>
              <w:szCs w:val="16"/>
              <w:rtl/>
            </w:rPr>
            <w:t>3</w:t>
          </w:r>
          <w:r w:rsidRPr="00910ECD">
            <w:rPr>
              <w:sz w:val="16"/>
              <w:szCs w:val="16"/>
            </w:rPr>
            <w:fldChar w:fldCharType="end"/>
          </w:r>
          <w:r w:rsidRPr="00910ECD">
            <w:rPr>
              <w:sz w:val="16"/>
              <w:szCs w:val="16"/>
            </w:rPr>
            <w:t xml:space="preserve"> </w:t>
          </w:r>
          <w:r w:rsidRPr="00910ECD">
            <w:rPr>
              <w:sz w:val="16"/>
              <w:szCs w:val="16"/>
              <w:rtl/>
            </w:rPr>
            <w:t>מתוך</w:t>
          </w:r>
          <w:r>
            <w:rPr>
              <w:rFonts w:hint="cs"/>
              <w:sz w:val="16"/>
              <w:szCs w:val="16"/>
              <w:rtl/>
            </w:rPr>
            <w:t xml:space="preserve"> 25</w:t>
          </w:r>
          <w:r w:rsidRPr="00910ECD">
            <w:rPr>
              <w:rFonts w:hint="cs"/>
              <w:sz w:val="16"/>
              <w:szCs w:val="16"/>
              <w:rtl/>
            </w:rPr>
            <w:t xml:space="preserve"> </w:t>
          </w:r>
        </w:p>
      </w:tc>
    </w:tr>
  </w:tbl>
  <w:p w:rsidR="00A56708" w:rsidRPr="00910ECD" w:rsidRDefault="00A56708" w:rsidP="00474698">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708" w:rsidRPr="009024DD" w:rsidRDefault="00A56708" w:rsidP="009024DD">
    <w:pPr>
      <w:pStyle w:val="ae"/>
      <w:spacing w:befor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708" w:rsidRDefault="00A56708" w:rsidP="009D1062">
      <w:pPr>
        <w:spacing w:after="0" w:line="240" w:lineRule="auto"/>
      </w:pPr>
      <w:r>
        <w:separator/>
      </w:r>
    </w:p>
  </w:footnote>
  <w:footnote w:type="continuationSeparator" w:id="0">
    <w:p w:rsidR="00A56708" w:rsidRDefault="00A56708" w:rsidP="009D1062">
      <w:pPr>
        <w:spacing w:after="0" w:line="240" w:lineRule="auto"/>
      </w:pPr>
      <w:r>
        <w:continuationSeparator/>
      </w:r>
    </w:p>
  </w:footnote>
  <w:footnote w:id="1">
    <w:p w:rsidR="00A56708" w:rsidRDefault="00A56708" w:rsidP="0083077E">
      <w:pPr>
        <w:pStyle w:val="a5"/>
        <w:rPr>
          <w:rFonts w:hint="cs"/>
          <w:rtl/>
        </w:rPr>
      </w:pPr>
      <w:r>
        <w:rPr>
          <w:rStyle w:val="a7"/>
        </w:rPr>
        <w:footnoteRef/>
      </w:r>
      <w:r>
        <w:rPr>
          <w:rtl/>
        </w:rPr>
        <w:t xml:space="preserve"> </w:t>
      </w:r>
      <w:r>
        <w:rPr>
          <w:rtl/>
        </w:rPr>
        <w:tab/>
      </w:r>
      <w:r>
        <w:rPr>
          <w:rFonts w:hint="cs"/>
          <w:rtl/>
        </w:rPr>
        <w:t>ברצוני להודות לד"ר מיכאל ויגודה, ראש תחום משפט עברי במשרד המשפטים, אשר ניאות לקרוא טיוטה של מסמך זה ולהעיר את הערותיו המחכימות עלי</w:t>
      </w:r>
      <w:r w:rsidR="0083077E">
        <w:rPr>
          <w:rFonts w:hint="cs"/>
          <w:rtl/>
        </w:rPr>
        <w:t>ה</w:t>
      </w:r>
      <w:r>
        <w:rPr>
          <w:rFonts w:hint="cs"/>
          <w:rtl/>
        </w:rPr>
        <w:t>.</w:t>
      </w:r>
    </w:p>
  </w:footnote>
  <w:footnote w:id="2">
    <w:p w:rsidR="00A56708" w:rsidRDefault="00A56708" w:rsidP="00986F7A">
      <w:pPr>
        <w:pStyle w:val="a5"/>
      </w:pPr>
      <w:bookmarkStart w:id="1" w:name="_GoBack"/>
      <w:bookmarkEnd w:id="1"/>
      <w:r>
        <w:rPr>
          <w:rStyle w:val="a7"/>
        </w:rPr>
        <w:footnoteRef/>
      </w:r>
      <w:r>
        <w:rPr>
          <w:rtl/>
        </w:rPr>
        <w:t xml:space="preserve"> </w:t>
      </w:r>
      <w:r>
        <w:rPr>
          <w:rtl/>
        </w:rPr>
        <w:tab/>
      </w:r>
      <w:r>
        <w:rPr>
          <w:rtl/>
        </w:rPr>
        <w:t>דנפ 1042/04‏</w:t>
      </w:r>
      <w:r w:rsidRPr="002855B5">
        <w:rPr>
          <w:rtl/>
        </w:rPr>
        <w:t xml:space="preserve"> </w:t>
      </w:r>
      <w:r w:rsidRPr="00986F7A">
        <w:rPr>
          <w:b/>
          <w:bCs/>
          <w:rtl/>
        </w:rPr>
        <w:t>דוד ביטון נ' מדינת ישראל</w:t>
      </w:r>
      <w:r w:rsidRPr="002855B5">
        <w:rPr>
          <w:rtl/>
        </w:rPr>
        <w:t xml:space="preserve"> פ''ד סא(3) 646</w:t>
      </w:r>
      <w:r>
        <w:rPr>
          <w:rFonts w:hint="cs"/>
          <w:rtl/>
        </w:rPr>
        <w:t xml:space="preserve">, פסקה 68 לפסק דינו של השופט ברק.   </w:t>
      </w:r>
    </w:p>
  </w:footnote>
  <w:footnote w:id="3">
    <w:p w:rsidR="00A56708" w:rsidRDefault="00A56708" w:rsidP="00E93D19">
      <w:pPr>
        <w:pStyle w:val="a5"/>
        <w:rPr>
          <w:rtl/>
        </w:rPr>
      </w:pPr>
      <w:r>
        <w:rPr>
          <w:rStyle w:val="a7"/>
        </w:rPr>
        <w:footnoteRef/>
      </w:r>
      <w:r>
        <w:rPr>
          <w:rtl/>
        </w:rPr>
        <w:t xml:space="preserve"> </w:t>
      </w:r>
      <w:r>
        <w:rPr>
          <w:rtl/>
        </w:rPr>
        <w:tab/>
      </w:r>
      <w:r w:rsidRPr="00E93D19">
        <w:rPr>
          <w:b/>
          <w:bCs/>
          <w:rtl/>
        </w:rPr>
        <w:t>הצוות לבחינת יסודות עבירות ההמתה</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אב תשע"א </w:t>
      </w:r>
      <w:r>
        <w:rPr>
          <w:rtl/>
        </w:rPr>
        <w:t>–</w:t>
      </w:r>
      <w:r>
        <w:rPr>
          <w:rFonts w:hint="cs"/>
          <w:rtl/>
        </w:rPr>
        <w:t xml:space="preserve"> אוגוסט 2011, עמ' 4 (להלן: דוח הצוות לבחינת יסודות עבירות ההמתה).</w:t>
      </w:r>
    </w:p>
  </w:footnote>
  <w:footnote w:id="4">
    <w:p w:rsidR="00A56708" w:rsidRDefault="00A56708">
      <w:pPr>
        <w:pStyle w:val="a5"/>
        <w:rPr>
          <w:rtl/>
        </w:rPr>
      </w:pPr>
      <w:r>
        <w:rPr>
          <w:rStyle w:val="a7"/>
        </w:rPr>
        <w:footnoteRef/>
      </w:r>
      <w:r>
        <w:rPr>
          <w:rtl/>
        </w:rPr>
        <w:t xml:space="preserve"> </w:t>
      </w:r>
      <w:r>
        <w:rPr>
          <w:rtl/>
        </w:rPr>
        <w:tab/>
      </w:r>
      <w:r>
        <w:rPr>
          <w:rFonts w:hint="cs"/>
          <w:rtl/>
        </w:rPr>
        <w:t>שם.</w:t>
      </w:r>
    </w:p>
  </w:footnote>
  <w:footnote w:id="5">
    <w:p w:rsidR="00A56708" w:rsidRDefault="00A56708">
      <w:pPr>
        <w:pStyle w:val="a5"/>
      </w:pPr>
      <w:r>
        <w:rPr>
          <w:rStyle w:val="a7"/>
        </w:rPr>
        <w:footnoteRef/>
      </w:r>
      <w:r>
        <w:rPr>
          <w:rtl/>
        </w:rPr>
        <w:t xml:space="preserve"> </w:t>
      </w:r>
      <w:r>
        <w:rPr>
          <w:rtl/>
        </w:rPr>
        <w:tab/>
      </w:r>
      <w:r>
        <w:rPr>
          <w:rFonts w:hint="cs"/>
          <w:rtl/>
        </w:rPr>
        <w:t xml:space="preserve">שם. </w:t>
      </w:r>
    </w:p>
  </w:footnote>
  <w:footnote w:id="6">
    <w:p w:rsidR="00A56708" w:rsidRDefault="00A56708">
      <w:pPr>
        <w:pStyle w:val="a5"/>
        <w:rPr>
          <w:rtl/>
        </w:rPr>
      </w:pPr>
      <w:r>
        <w:rPr>
          <w:rStyle w:val="a7"/>
        </w:rPr>
        <w:footnoteRef/>
      </w:r>
      <w:r>
        <w:rPr>
          <w:rtl/>
        </w:rPr>
        <w:t xml:space="preserve"> </w:t>
      </w:r>
      <w:r>
        <w:rPr>
          <w:rtl/>
        </w:rPr>
        <w:tab/>
      </w:r>
      <w:r>
        <w:rPr>
          <w:rFonts w:hint="cs"/>
          <w:rtl/>
        </w:rPr>
        <w:t>החליף בתפקיד את פרופ' דניאל פרידמן, בחודש אפריל, 2009.</w:t>
      </w:r>
    </w:p>
  </w:footnote>
  <w:footnote w:id="7">
    <w:p w:rsidR="00A56708" w:rsidRDefault="00A56708">
      <w:pPr>
        <w:pStyle w:val="a5"/>
      </w:pPr>
      <w:r>
        <w:rPr>
          <w:rStyle w:val="a7"/>
        </w:rPr>
        <w:footnoteRef/>
      </w:r>
      <w:r>
        <w:rPr>
          <w:rtl/>
        </w:rPr>
        <w:t xml:space="preserve"> </w:t>
      </w:r>
      <w:r>
        <w:rPr>
          <w:rtl/>
        </w:rPr>
        <w:tab/>
      </w:r>
      <w:r>
        <w:rPr>
          <w:rFonts w:hint="cs"/>
          <w:rtl/>
          <w:lang w:eastAsia="he-IL"/>
        </w:rPr>
        <w:t>לא נעסוק ב</w:t>
      </w:r>
      <w:r w:rsidRPr="002C136F">
        <w:rPr>
          <w:rtl/>
          <w:lang w:eastAsia="he-IL"/>
        </w:rPr>
        <w:t>תיקון</w:t>
      </w:r>
      <w:r w:rsidRPr="002C136F">
        <w:rPr>
          <w:rFonts w:hint="cs"/>
          <w:rtl/>
          <w:lang w:eastAsia="he-IL"/>
        </w:rPr>
        <w:t xml:space="preserve"> </w:t>
      </w:r>
      <w:r>
        <w:rPr>
          <w:rFonts w:hint="cs"/>
          <w:rtl/>
          <w:lang w:eastAsia="he-IL"/>
        </w:rPr>
        <w:t>המוצע ל</w:t>
      </w:r>
      <w:r w:rsidRPr="002C136F">
        <w:rPr>
          <w:rtl/>
          <w:lang w:eastAsia="he-IL"/>
        </w:rPr>
        <w:t>סעיף 21 לחוק העונשין</w:t>
      </w:r>
      <w:r w:rsidRPr="002C136F">
        <w:rPr>
          <w:rFonts w:hint="cs"/>
          <w:rtl/>
          <w:lang w:eastAsia="he-IL"/>
        </w:rPr>
        <w:t xml:space="preserve">, העוסק </w:t>
      </w:r>
      <w:r w:rsidRPr="002C136F">
        <w:rPr>
          <w:rtl/>
          <w:lang w:eastAsia="he-IL"/>
        </w:rPr>
        <w:t xml:space="preserve">ביסוד הנפשי של </w:t>
      </w:r>
      <w:r w:rsidRPr="002C136F">
        <w:rPr>
          <w:rFonts w:hint="cs"/>
          <w:rtl/>
          <w:lang w:eastAsia="he-IL"/>
        </w:rPr>
        <w:t>ה</w:t>
      </w:r>
      <w:r w:rsidRPr="002C136F">
        <w:rPr>
          <w:rtl/>
          <w:lang w:eastAsia="he-IL"/>
        </w:rPr>
        <w:t>רשלנות</w:t>
      </w:r>
      <w:r>
        <w:rPr>
          <w:rFonts w:hint="cs"/>
          <w:rtl/>
          <w:lang w:eastAsia="he-IL"/>
        </w:rPr>
        <w:t>, ולא בהערכת חומרתו של העונש המוצע לכל אחת מעבירות ההמתה.</w:t>
      </w:r>
    </w:p>
  </w:footnote>
  <w:footnote w:id="8">
    <w:p w:rsidR="00A56708" w:rsidRDefault="00A56708" w:rsidP="00986F7A">
      <w:pPr>
        <w:pStyle w:val="a5"/>
        <w:rPr>
          <w:rtl/>
        </w:rPr>
      </w:pPr>
      <w:r>
        <w:rPr>
          <w:rStyle w:val="a7"/>
        </w:rPr>
        <w:footnoteRef/>
      </w:r>
      <w:r>
        <w:rPr>
          <w:rtl/>
        </w:rPr>
        <w:t xml:space="preserve"> </w:t>
      </w:r>
      <w:r>
        <w:rPr>
          <w:rtl/>
        </w:rPr>
        <w:tab/>
      </w:r>
      <w:r>
        <w:rPr>
          <w:rFonts w:hint="cs"/>
          <w:rtl/>
        </w:rPr>
        <w:t xml:space="preserve">להרחבה, ראו למשל: </w:t>
      </w:r>
      <w:r w:rsidRPr="001D25ED">
        <w:rPr>
          <w:rtl/>
        </w:rPr>
        <w:t>א</w:t>
      </w:r>
      <w:r>
        <w:rPr>
          <w:rFonts w:hint="cs"/>
          <w:rtl/>
        </w:rPr>
        <w:t>הרון</w:t>
      </w:r>
      <w:r w:rsidRPr="001D25ED">
        <w:rPr>
          <w:rtl/>
        </w:rPr>
        <w:t xml:space="preserve"> קירשנבאום</w:t>
      </w:r>
      <w:r>
        <w:rPr>
          <w:rFonts w:hint="cs"/>
          <w:rtl/>
        </w:rPr>
        <w:t>, "</w:t>
      </w:r>
      <w:r w:rsidRPr="001D25ED">
        <w:rPr>
          <w:rtl/>
        </w:rPr>
        <w:t>מקומה של הענישה במשפט העברי הפלילי - פרק בהשקפה הפ</w:t>
      </w:r>
      <w:r>
        <w:rPr>
          <w:rFonts w:hint="cs"/>
          <w:rtl/>
        </w:rPr>
        <w:t>י</w:t>
      </w:r>
      <w:r w:rsidRPr="001D25ED">
        <w:rPr>
          <w:rtl/>
        </w:rPr>
        <w:t>נולוגית של חז"ל ושל הראשונים</w:t>
      </w:r>
      <w:r>
        <w:rPr>
          <w:rFonts w:hint="cs"/>
          <w:rtl/>
        </w:rPr>
        <w:t>"</w:t>
      </w:r>
      <w:r w:rsidRPr="001D25ED">
        <w:rPr>
          <w:rtl/>
        </w:rPr>
        <w:t xml:space="preserve"> </w:t>
      </w:r>
      <w:r w:rsidRPr="002103BD">
        <w:rPr>
          <w:b/>
          <w:bCs/>
          <w:rtl/>
        </w:rPr>
        <w:t>עיוני משפט</w:t>
      </w:r>
      <w:r w:rsidRPr="001D25ED">
        <w:rPr>
          <w:rtl/>
        </w:rPr>
        <w:t xml:space="preserve"> </w:t>
      </w:r>
      <w:r>
        <w:rPr>
          <w:rFonts w:hint="cs"/>
          <w:rtl/>
        </w:rPr>
        <w:t>י</w:t>
      </w:r>
      <w:r w:rsidRPr="001D25ED">
        <w:rPr>
          <w:rtl/>
        </w:rPr>
        <w:t>ב (תשמ"ז), 253</w:t>
      </w:r>
      <w:r>
        <w:rPr>
          <w:rFonts w:hint="cs"/>
          <w:rtl/>
        </w:rPr>
        <w:t xml:space="preserve">; גרשון גרמן, </w:t>
      </w:r>
      <w:r w:rsidRPr="002103BD">
        <w:rPr>
          <w:rFonts w:hint="cs"/>
          <w:b/>
          <w:bCs/>
          <w:rtl/>
        </w:rPr>
        <w:t>מלך ישראל</w:t>
      </w:r>
      <w:r>
        <w:rPr>
          <w:rFonts w:hint="cs"/>
          <w:rtl/>
        </w:rPr>
        <w:t xml:space="preserve"> הוצאת מורשת, בני ברק תשס"ג עמ' 704-696; </w:t>
      </w:r>
      <w:r w:rsidRPr="001D25ED">
        <w:rPr>
          <w:rtl/>
        </w:rPr>
        <w:t>א</w:t>
      </w:r>
      <w:r>
        <w:rPr>
          <w:rFonts w:hint="cs"/>
          <w:rtl/>
        </w:rPr>
        <w:t xml:space="preserve">הרון </w:t>
      </w:r>
      <w:r w:rsidRPr="001D25ED">
        <w:rPr>
          <w:rtl/>
        </w:rPr>
        <w:t xml:space="preserve">אנקר, </w:t>
      </w:r>
      <w:r w:rsidRPr="002103BD">
        <w:rPr>
          <w:b/>
          <w:bCs/>
          <w:rtl/>
        </w:rPr>
        <w:t>עיקרים במשפט הפלילי העברי</w:t>
      </w:r>
      <w:r w:rsidRPr="001D25ED">
        <w:rPr>
          <w:rtl/>
        </w:rPr>
        <w:t xml:space="preserve"> רמת-גן תשס"ז</w:t>
      </w:r>
      <w:r>
        <w:rPr>
          <w:rFonts w:hint="cs"/>
          <w:rtl/>
        </w:rPr>
        <w:t xml:space="preserve">; יצחק בזק, </w:t>
      </w:r>
      <w:r w:rsidRPr="002103BD">
        <w:rPr>
          <w:rFonts w:hint="cs"/>
          <w:b/>
          <w:bCs/>
          <w:rtl/>
        </w:rPr>
        <w:t>הענישה הפלילית דרכיה ועקרונותיה</w:t>
      </w:r>
      <w:r>
        <w:rPr>
          <w:rFonts w:hint="cs"/>
          <w:rtl/>
        </w:rPr>
        <w:t xml:space="preserve"> ירושלים תשמ"א, פרק שני.</w:t>
      </w:r>
    </w:p>
  </w:footnote>
  <w:footnote w:id="9">
    <w:p w:rsidR="00A56708" w:rsidRDefault="00A56708">
      <w:pPr>
        <w:pStyle w:val="a5"/>
      </w:pPr>
      <w:r>
        <w:rPr>
          <w:rStyle w:val="a7"/>
        </w:rPr>
        <w:footnoteRef/>
      </w:r>
      <w:r>
        <w:rPr>
          <w:rtl/>
        </w:rPr>
        <w:t xml:space="preserve"> </w:t>
      </w:r>
      <w:r>
        <w:rPr>
          <w:rtl/>
        </w:rPr>
        <w:tab/>
      </w:r>
      <w:r w:rsidRPr="002103BD">
        <w:rPr>
          <w:rFonts w:hint="cs"/>
          <w:b/>
          <w:bCs/>
          <w:rtl/>
        </w:rPr>
        <w:t>משנה תורה</w:t>
      </w:r>
      <w:r>
        <w:rPr>
          <w:rFonts w:hint="cs"/>
          <w:rtl/>
        </w:rPr>
        <w:t xml:space="preserve"> הלכות רוצח ושמירת נפש ב, ב.</w:t>
      </w:r>
    </w:p>
  </w:footnote>
  <w:footnote w:id="10">
    <w:p w:rsidR="00A56708" w:rsidRDefault="00A56708">
      <w:pPr>
        <w:pStyle w:val="a5"/>
        <w:rPr>
          <w:rtl/>
        </w:rPr>
      </w:pPr>
      <w:r>
        <w:rPr>
          <w:rStyle w:val="a7"/>
        </w:rPr>
        <w:footnoteRef/>
      </w:r>
      <w:r>
        <w:rPr>
          <w:rtl/>
        </w:rPr>
        <w:t xml:space="preserve"> </w:t>
      </w:r>
      <w:r>
        <w:rPr>
          <w:rtl/>
        </w:rPr>
        <w:tab/>
      </w:r>
      <w:r>
        <w:rPr>
          <w:rFonts w:hint="cs"/>
          <w:rtl/>
        </w:rPr>
        <w:t>שם.</w:t>
      </w:r>
    </w:p>
  </w:footnote>
  <w:footnote w:id="11">
    <w:p w:rsidR="00A56708" w:rsidRDefault="00A56708" w:rsidP="00E44948">
      <w:pPr>
        <w:pStyle w:val="a5"/>
        <w:rPr>
          <w:rtl/>
        </w:rPr>
      </w:pPr>
      <w:r>
        <w:rPr>
          <w:rStyle w:val="a7"/>
        </w:rPr>
        <w:footnoteRef/>
      </w:r>
      <w:r>
        <w:rPr>
          <w:rtl/>
        </w:rPr>
        <w:t xml:space="preserve"> </w:t>
      </w:r>
      <w:r>
        <w:rPr>
          <w:rtl/>
        </w:rPr>
        <w:tab/>
      </w:r>
      <w:r w:rsidRPr="001720D4">
        <w:rPr>
          <w:rFonts w:hint="cs"/>
          <w:spacing w:val="-4"/>
          <w:rtl/>
        </w:rPr>
        <w:t xml:space="preserve">על כך ראו למשל, </w:t>
      </w:r>
      <w:r w:rsidRPr="001720D4">
        <w:rPr>
          <w:spacing w:val="-4"/>
          <w:rtl/>
        </w:rPr>
        <w:t xml:space="preserve">חנינה בן מנחם, "ענישה שלא מן הדין" </w:t>
      </w:r>
      <w:r w:rsidRPr="001720D4">
        <w:rPr>
          <w:rFonts w:hint="cs"/>
          <w:spacing w:val="-4"/>
          <w:rtl/>
        </w:rPr>
        <w:t xml:space="preserve">בתוך: </w:t>
      </w:r>
      <w:r w:rsidRPr="001720D4">
        <w:rPr>
          <w:b/>
          <w:bCs/>
          <w:spacing w:val="-4"/>
          <w:rtl/>
        </w:rPr>
        <w:t>משפטי ארץ א – דין, דיין ודיון</w:t>
      </w:r>
      <w:r w:rsidRPr="001720D4">
        <w:rPr>
          <w:spacing w:val="-4"/>
          <w:rtl/>
        </w:rPr>
        <w:t xml:space="preserve"> עפרה תשס"ב, עמ'</w:t>
      </w:r>
      <w:r w:rsidRPr="001720D4">
        <w:rPr>
          <w:rFonts w:hint="cs"/>
          <w:spacing w:val="-4"/>
          <w:rtl/>
        </w:rPr>
        <w:t xml:space="preserve"> 152</w:t>
      </w:r>
      <w:r>
        <w:rPr>
          <w:rFonts w:hint="cs"/>
          <w:rtl/>
        </w:rPr>
        <w:t xml:space="preserve">. </w:t>
      </w:r>
    </w:p>
  </w:footnote>
  <w:footnote w:id="12">
    <w:p w:rsidR="00A56708" w:rsidRDefault="00A56708" w:rsidP="00120E3F">
      <w:pPr>
        <w:pStyle w:val="a5"/>
      </w:pPr>
      <w:r>
        <w:rPr>
          <w:rStyle w:val="a7"/>
        </w:rPr>
        <w:footnoteRef/>
      </w:r>
      <w:r>
        <w:rPr>
          <w:rtl/>
        </w:rPr>
        <w:t xml:space="preserve"> </w:t>
      </w:r>
      <w:r>
        <w:rPr>
          <w:rtl/>
        </w:rPr>
        <w:tab/>
      </w:r>
      <w:r>
        <w:rPr>
          <w:rFonts w:hint="cs"/>
          <w:rtl/>
        </w:rPr>
        <w:t>מיכאל ויגודה, חוות דעת בעניין "</w:t>
      </w:r>
      <w:r w:rsidRPr="001D25ED">
        <w:rPr>
          <w:rtl/>
        </w:rPr>
        <w:t>אישום בהריגה של משתתף במרוץ מכוניות</w:t>
      </w:r>
      <w:r>
        <w:rPr>
          <w:rFonts w:hint="cs"/>
          <w:rtl/>
        </w:rPr>
        <w:t xml:space="preserve">", (חוות הדעת זמינה להורדה בכתובת </w:t>
      </w:r>
      <w:hyperlink r:id="rId1" w:history="1">
        <w:r w:rsidRPr="00814574">
          <w:rPr>
            <w:rStyle w:val="Hyperlink"/>
          </w:rPr>
          <w:t>http://www.justice.gov.il/Units/MishpatIvri/HavatDaatNew/104merots.doc</w:t>
        </w:r>
      </w:hyperlink>
      <w:r>
        <w:rPr>
          <w:rFonts w:hint="cs"/>
          <w:rtl/>
        </w:rPr>
        <w:t xml:space="preserve"> (כניסה אחרונה: 29 ביוני 2016).</w:t>
      </w:r>
    </w:p>
  </w:footnote>
  <w:footnote w:id="13">
    <w:p w:rsidR="00A56708" w:rsidRDefault="00A56708" w:rsidP="002103BD">
      <w:pPr>
        <w:pStyle w:val="a5"/>
      </w:pPr>
      <w:r>
        <w:rPr>
          <w:rStyle w:val="a7"/>
        </w:rPr>
        <w:footnoteRef/>
      </w:r>
      <w:r>
        <w:rPr>
          <w:rtl/>
        </w:rPr>
        <w:t xml:space="preserve"> </w:t>
      </w:r>
      <w:r>
        <w:rPr>
          <w:rtl/>
        </w:rPr>
        <w:tab/>
      </w:r>
      <w:r w:rsidRPr="002103BD">
        <w:rPr>
          <w:rFonts w:hint="cs"/>
          <w:b/>
          <w:bCs/>
          <w:rtl/>
        </w:rPr>
        <w:t>משנה תורה</w:t>
      </w:r>
      <w:r>
        <w:rPr>
          <w:rFonts w:hint="cs"/>
          <w:rtl/>
        </w:rPr>
        <w:t xml:space="preserve"> שם ב, ד.</w:t>
      </w:r>
    </w:p>
  </w:footnote>
  <w:footnote w:id="14">
    <w:p w:rsidR="00A56708" w:rsidRDefault="00A56708">
      <w:pPr>
        <w:pStyle w:val="a5"/>
        <w:rPr>
          <w:rtl/>
        </w:rPr>
      </w:pPr>
      <w:r>
        <w:rPr>
          <w:rStyle w:val="a7"/>
        </w:rPr>
        <w:footnoteRef/>
      </w:r>
      <w:r>
        <w:rPr>
          <w:rtl/>
        </w:rPr>
        <w:t xml:space="preserve"> </w:t>
      </w:r>
      <w:r>
        <w:rPr>
          <w:rtl/>
        </w:rPr>
        <w:tab/>
      </w:r>
      <w:r w:rsidRPr="002103BD">
        <w:rPr>
          <w:rFonts w:hint="cs"/>
          <w:b/>
          <w:bCs/>
          <w:rtl/>
        </w:rPr>
        <w:t>דרשות הר"ן</w:t>
      </w:r>
      <w:r>
        <w:rPr>
          <w:rFonts w:hint="cs"/>
          <w:rtl/>
        </w:rPr>
        <w:t xml:space="preserve"> דרוש י"א. </w:t>
      </w:r>
    </w:p>
  </w:footnote>
  <w:footnote w:id="15">
    <w:p w:rsidR="00A56708" w:rsidRDefault="00A56708" w:rsidP="002103BD">
      <w:pPr>
        <w:pStyle w:val="a5"/>
        <w:rPr>
          <w:rtl/>
        </w:rPr>
      </w:pPr>
      <w:r>
        <w:rPr>
          <w:rStyle w:val="a7"/>
        </w:rPr>
        <w:footnoteRef/>
      </w:r>
      <w:r>
        <w:rPr>
          <w:rtl/>
        </w:rPr>
        <w:t xml:space="preserve"> </w:t>
      </w:r>
      <w:r>
        <w:rPr>
          <w:rtl/>
        </w:rPr>
        <w:tab/>
      </w:r>
      <w:r w:rsidRPr="002103BD">
        <w:rPr>
          <w:rFonts w:hint="cs"/>
          <w:b/>
          <w:bCs/>
          <w:rtl/>
        </w:rPr>
        <w:t xml:space="preserve">דו"ח </w:t>
      </w:r>
      <w:r w:rsidRPr="002103BD">
        <w:rPr>
          <w:b/>
          <w:bCs/>
          <w:spacing w:val="-2"/>
          <w:rtl/>
          <w:lang w:eastAsia="he-IL"/>
        </w:rPr>
        <w:t>הצוות לבחינת יסודות עבירות ההמתה</w:t>
      </w:r>
      <w:r>
        <w:rPr>
          <w:rFonts w:hint="cs"/>
          <w:rtl/>
        </w:rPr>
        <w:t xml:space="preserve"> עמ' 4.</w:t>
      </w:r>
    </w:p>
  </w:footnote>
  <w:footnote w:id="16">
    <w:p w:rsidR="00A56708" w:rsidRDefault="00A56708" w:rsidP="00244149">
      <w:pPr>
        <w:pStyle w:val="a5"/>
      </w:pPr>
      <w:r>
        <w:rPr>
          <w:rStyle w:val="a7"/>
        </w:rPr>
        <w:footnoteRef/>
      </w:r>
      <w:r>
        <w:rPr>
          <w:rtl/>
        </w:rPr>
        <w:t xml:space="preserve"> </w:t>
      </w:r>
      <w:r>
        <w:rPr>
          <w:rtl/>
        </w:rPr>
        <w:tab/>
      </w:r>
      <w:r w:rsidRPr="00E46258">
        <w:rPr>
          <w:rtl/>
        </w:rPr>
        <w:t>ע</w:t>
      </w:r>
      <w:r w:rsidRPr="00E46258">
        <w:rPr>
          <w:rFonts w:hint="cs"/>
          <w:rtl/>
        </w:rPr>
        <w:t>"</w:t>
      </w:r>
      <w:r w:rsidRPr="00E46258">
        <w:rPr>
          <w:rtl/>
        </w:rPr>
        <w:t xml:space="preserve">א 506/88‏ </w:t>
      </w:r>
      <w:r w:rsidRPr="00E46258">
        <w:rPr>
          <w:cs/>
        </w:rPr>
        <w:t>‎</w:t>
      </w:r>
      <w:r w:rsidRPr="00E46258">
        <w:rPr>
          <w:b/>
          <w:bCs/>
        </w:rPr>
        <w:t xml:space="preserve"> </w:t>
      </w:r>
      <w:r w:rsidRPr="00E46258">
        <w:rPr>
          <w:b/>
          <w:bCs/>
          <w:cs/>
        </w:rPr>
        <w:t>‎</w:t>
      </w:r>
      <w:r w:rsidRPr="00E46258">
        <w:rPr>
          <w:b/>
          <w:bCs/>
          <w:rtl/>
        </w:rPr>
        <w:t xml:space="preserve">יעל שפר </w:t>
      </w:r>
      <w:r w:rsidRPr="00E46258">
        <w:rPr>
          <w:b/>
          <w:bCs/>
          <w:cs/>
        </w:rPr>
        <w:t>‎</w:t>
      </w:r>
      <w:r w:rsidRPr="00E46258">
        <w:rPr>
          <w:b/>
          <w:bCs/>
          <w:rtl/>
        </w:rPr>
        <w:t>נ' מדינת ישראל</w:t>
      </w:r>
      <w:r w:rsidRPr="00E46258">
        <w:rPr>
          <w:rtl/>
        </w:rPr>
        <w:t xml:space="preserve"> פ''ד מח(1) </w:t>
      </w:r>
      <w:r w:rsidRPr="00E46258">
        <w:rPr>
          <w:rFonts w:hint="cs"/>
          <w:rtl/>
        </w:rPr>
        <w:t xml:space="preserve">87, 168. וראו גם: </w:t>
      </w:r>
      <w:r w:rsidRPr="00E46258">
        <w:rPr>
          <w:rtl/>
        </w:rPr>
        <w:t>נתן רוטנשטרייך, ״על קדושת החיים״, ב</w:t>
      </w:r>
      <w:r w:rsidRPr="00E46258">
        <w:rPr>
          <w:rFonts w:hint="cs"/>
          <w:rtl/>
        </w:rPr>
        <w:t xml:space="preserve">תוך: </w:t>
      </w:r>
      <w:r w:rsidRPr="00E46258">
        <w:rPr>
          <w:rtl/>
        </w:rPr>
        <w:t>ישעיהו</w:t>
      </w:r>
      <w:r w:rsidRPr="00E46258">
        <w:rPr>
          <w:rFonts w:hint="cs"/>
          <w:rtl/>
        </w:rPr>
        <w:t xml:space="preserve"> </w:t>
      </w:r>
      <w:r w:rsidRPr="00E46258">
        <w:rPr>
          <w:rtl/>
        </w:rPr>
        <w:t>גפני ואביעזר רביצקי</w:t>
      </w:r>
      <w:r w:rsidRPr="00E46258">
        <w:rPr>
          <w:rFonts w:hint="cs"/>
          <w:rtl/>
        </w:rPr>
        <w:t xml:space="preserve"> </w:t>
      </w:r>
      <w:r w:rsidRPr="00E46258">
        <w:rPr>
          <w:rtl/>
        </w:rPr>
        <w:t xml:space="preserve">(עורכים), </w:t>
      </w:r>
      <w:r w:rsidRPr="00E46258">
        <w:rPr>
          <w:b/>
          <w:bCs/>
          <w:rtl/>
        </w:rPr>
        <w:t>קדושת החיים</w:t>
      </w:r>
      <w:r w:rsidRPr="00E46258">
        <w:rPr>
          <w:rFonts w:hint="cs"/>
          <w:b/>
          <w:bCs/>
          <w:rtl/>
        </w:rPr>
        <w:t xml:space="preserve"> </w:t>
      </w:r>
      <w:r w:rsidRPr="00E46258">
        <w:rPr>
          <w:b/>
          <w:bCs/>
          <w:rtl/>
        </w:rPr>
        <w:t>וחירוף הנפש</w:t>
      </w:r>
      <w:r w:rsidRPr="00E46258">
        <w:rPr>
          <w:rtl/>
        </w:rPr>
        <w:t xml:space="preserve"> (ירושלים: מרכז זלמן שזר לתולדות ישראל, תשנ״ג), 27</w:t>
      </w:r>
      <w:r w:rsidRPr="00E46258">
        <w:rPr>
          <w:rFonts w:hint="cs"/>
          <w:rtl/>
        </w:rPr>
        <w:t xml:space="preserve">; </w:t>
      </w:r>
      <w:r w:rsidRPr="00E46258">
        <w:rPr>
          <w:rtl/>
        </w:rPr>
        <w:t>15. רפאל כהן אלמגור</w:t>
      </w:r>
      <w:r w:rsidRPr="00E46258">
        <w:rPr>
          <w:rFonts w:hint="cs"/>
          <w:rtl/>
        </w:rPr>
        <w:t xml:space="preserve"> ו</w:t>
      </w:r>
      <w:r w:rsidRPr="00E46258">
        <w:rPr>
          <w:rtl/>
        </w:rPr>
        <w:t>מירב שמואלי</w:t>
      </w:r>
      <w:r w:rsidRPr="00E46258">
        <w:rPr>
          <w:rFonts w:hint="cs"/>
          <w:rtl/>
        </w:rPr>
        <w:t>, "</w:t>
      </w:r>
      <w:r w:rsidRPr="00E46258">
        <w:rPr>
          <w:rtl/>
        </w:rPr>
        <w:t>הזכות למות בכבוד וטיעון איכות החיים</w:t>
      </w:r>
      <w:r w:rsidRPr="00E46258">
        <w:rPr>
          <w:rFonts w:hint="cs"/>
          <w:rtl/>
        </w:rPr>
        <w:t xml:space="preserve">", </w:t>
      </w:r>
      <w:r w:rsidRPr="00E46258">
        <w:rPr>
          <w:b/>
          <w:bCs/>
          <w:rtl/>
        </w:rPr>
        <w:t>רפואה ומשפט</w:t>
      </w:r>
      <w:r w:rsidRPr="00E46258">
        <w:rPr>
          <w:rtl/>
        </w:rPr>
        <w:t xml:space="preserve"> 18 (1998), 66</w:t>
      </w:r>
      <w:r>
        <w:rPr>
          <w:rFonts w:hint="cs"/>
          <w:rtl/>
        </w:rPr>
        <w:t>.</w:t>
      </w:r>
    </w:p>
  </w:footnote>
  <w:footnote w:id="17">
    <w:p w:rsidR="00A56708" w:rsidRDefault="00A56708" w:rsidP="00077D3D">
      <w:pPr>
        <w:pStyle w:val="a5"/>
      </w:pPr>
      <w:r>
        <w:rPr>
          <w:rStyle w:val="a7"/>
        </w:rPr>
        <w:footnoteRef/>
      </w:r>
      <w:r>
        <w:rPr>
          <w:rtl/>
        </w:rPr>
        <w:t xml:space="preserve"> </w:t>
      </w:r>
      <w:r>
        <w:rPr>
          <w:rtl/>
        </w:rPr>
        <w:tab/>
      </w:r>
      <w:r w:rsidRPr="00077D3D">
        <w:rPr>
          <w:rFonts w:hint="cs"/>
          <w:b/>
          <w:bCs/>
          <w:rtl/>
        </w:rPr>
        <w:t>תלמוד בבלי</w:t>
      </w:r>
      <w:r>
        <w:rPr>
          <w:rFonts w:hint="cs"/>
          <w:rtl/>
        </w:rPr>
        <w:t xml:space="preserve"> </w:t>
      </w:r>
      <w:r>
        <w:rPr>
          <w:rtl/>
        </w:rPr>
        <w:t>סנהדרין לז</w:t>
      </w:r>
      <w:r>
        <w:rPr>
          <w:rFonts w:hint="cs"/>
          <w:rtl/>
        </w:rPr>
        <w:t>,</w:t>
      </w:r>
      <w:r>
        <w:rPr>
          <w:rtl/>
        </w:rPr>
        <w:t>א. ורא</w:t>
      </w:r>
      <w:r>
        <w:rPr>
          <w:rFonts w:hint="cs"/>
          <w:rtl/>
        </w:rPr>
        <w:t>ו</w:t>
      </w:r>
      <w:r>
        <w:rPr>
          <w:rtl/>
        </w:rPr>
        <w:t xml:space="preserve"> גם</w:t>
      </w:r>
      <w:r>
        <w:rPr>
          <w:rFonts w:hint="cs"/>
          <w:rtl/>
        </w:rPr>
        <w:t>:</w:t>
      </w:r>
      <w:r>
        <w:rPr>
          <w:rtl/>
        </w:rPr>
        <w:t xml:space="preserve"> </w:t>
      </w:r>
      <w:r w:rsidRPr="00077D3D">
        <w:rPr>
          <w:rFonts w:hint="cs"/>
          <w:b/>
          <w:bCs/>
          <w:rtl/>
        </w:rPr>
        <w:t>משנה תורה</w:t>
      </w:r>
      <w:r>
        <w:rPr>
          <w:rFonts w:hint="cs"/>
          <w:rtl/>
        </w:rPr>
        <w:t xml:space="preserve"> </w:t>
      </w:r>
      <w:r>
        <w:rPr>
          <w:rtl/>
        </w:rPr>
        <w:t>הלכות רוצח ושמירת הנפש א, טז; הלכות סנהדרין יב, ג.</w:t>
      </w:r>
      <w:r>
        <w:rPr>
          <w:rFonts w:hint="cs"/>
          <w:rtl/>
        </w:rPr>
        <w:t xml:space="preserve"> יש לציין ש</w:t>
      </w:r>
      <w:r>
        <w:rPr>
          <w:rtl/>
        </w:rPr>
        <w:t>בחלק מכתבי היד הוסף הביטוי "מישראל"</w:t>
      </w:r>
      <w:r>
        <w:rPr>
          <w:rFonts w:hint="cs"/>
          <w:rtl/>
        </w:rPr>
        <w:t xml:space="preserve"> אחר המילים "נפש אחת"</w:t>
      </w:r>
      <w:r>
        <w:rPr>
          <w:rtl/>
        </w:rPr>
        <w:t xml:space="preserve">. </w:t>
      </w:r>
      <w:r>
        <w:rPr>
          <w:rFonts w:hint="cs"/>
          <w:rtl/>
        </w:rPr>
        <w:t xml:space="preserve">וראו על כך אצל אפרים אלימלך </w:t>
      </w:r>
      <w:r>
        <w:rPr>
          <w:rtl/>
        </w:rPr>
        <w:t xml:space="preserve">אורבך, "'כל המקיים נפש אחת...' - גלגוליו של נוסח, תהפוכות צנזורה ועסקי מדפיסים", </w:t>
      </w:r>
      <w:r w:rsidRPr="00077D3D">
        <w:rPr>
          <w:b/>
          <w:bCs/>
          <w:rtl/>
        </w:rPr>
        <w:t>תרביץ</w:t>
      </w:r>
      <w:r>
        <w:rPr>
          <w:rtl/>
        </w:rPr>
        <w:t xml:space="preserve"> </w:t>
      </w:r>
      <w:r>
        <w:rPr>
          <w:rFonts w:hint="cs"/>
          <w:rtl/>
        </w:rPr>
        <w:t>מ (</w:t>
      </w:r>
      <w:r>
        <w:rPr>
          <w:rtl/>
        </w:rPr>
        <w:t>תשל"א</w:t>
      </w:r>
      <w:r>
        <w:rPr>
          <w:rFonts w:hint="cs"/>
          <w:rtl/>
        </w:rPr>
        <w:t xml:space="preserve">) 268. </w:t>
      </w:r>
    </w:p>
  </w:footnote>
  <w:footnote w:id="18">
    <w:p w:rsidR="00A56708" w:rsidRDefault="00A56708" w:rsidP="006D5B6A">
      <w:pPr>
        <w:pStyle w:val="a5"/>
        <w:rPr>
          <w:rtl/>
        </w:rPr>
      </w:pPr>
      <w:r>
        <w:rPr>
          <w:rStyle w:val="a7"/>
        </w:rPr>
        <w:footnoteRef/>
      </w:r>
      <w:r>
        <w:rPr>
          <w:rtl/>
        </w:rPr>
        <w:t xml:space="preserve"> </w:t>
      </w:r>
      <w:r>
        <w:rPr>
          <w:rtl/>
        </w:rPr>
        <w:tab/>
      </w:r>
      <w:r w:rsidRPr="002103BD">
        <w:rPr>
          <w:rFonts w:hint="cs"/>
          <w:b/>
          <w:bCs/>
          <w:rtl/>
        </w:rPr>
        <w:t>משנה תורה</w:t>
      </w:r>
      <w:r>
        <w:rPr>
          <w:rFonts w:hint="cs"/>
          <w:rtl/>
        </w:rPr>
        <w:t xml:space="preserve"> הלכות רוצח ושמירת נפש ד, ט.</w:t>
      </w:r>
    </w:p>
  </w:footnote>
  <w:footnote w:id="19">
    <w:p w:rsidR="00A56708" w:rsidRDefault="00A56708" w:rsidP="006D5B6A">
      <w:pPr>
        <w:pStyle w:val="a5"/>
        <w:rPr>
          <w:rtl/>
        </w:rPr>
      </w:pPr>
      <w:r>
        <w:rPr>
          <w:rStyle w:val="a7"/>
        </w:rPr>
        <w:footnoteRef/>
      </w:r>
      <w:r>
        <w:rPr>
          <w:rtl/>
        </w:rPr>
        <w:t xml:space="preserve"> </w:t>
      </w:r>
      <w:r>
        <w:rPr>
          <w:rtl/>
        </w:rPr>
        <w:tab/>
      </w:r>
      <w:r>
        <w:rPr>
          <w:rFonts w:hint="cs"/>
          <w:rtl/>
        </w:rPr>
        <w:t>שם.</w:t>
      </w:r>
    </w:p>
  </w:footnote>
  <w:footnote w:id="20">
    <w:p w:rsidR="00A56708" w:rsidRDefault="00A56708" w:rsidP="00062035">
      <w:pPr>
        <w:pStyle w:val="a5"/>
        <w:rPr>
          <w:rtl/>
        </w:rPr>
      </w:pPr>
      <w:r>
        <w:rPr>
          <w:rStyle w:val="a7"/>
        </w:rPr>
        <w:footnoteRef/>
      </w:r>
      <w:r>
        <w:rPr>
          <w:rtl/>
        </w:rPr>
        <w:t xml:space="preserve"> </w:t>
      </w:r>
      <w:r>
        <w:rPr>
          <w:rtl/>
        </w:rPr>
        <w:tab/>
      </w:r>
      <w:r>
        <w:rPr>
          <w:rFonts w:hint="cs"/>
          <w:rtl/>
        </w:rPr>
        <w:t xml:space="preserve">מעניין להשוות קביעה זו עם ההצעה של </w:t>
      </w:r>
      <w:r w:rsidRPr="00077D3D">
        <w:rPr>
          <w:rFonts w:hint="cs"/>
          <w:rtl/>
        </w:rPr>
        <w:t xml:space="preserve">הצוות </w:t>
      </w:r>
      <w:r w:rsidRPr="00077D3D">
        <w:rPr>
          <w:spacing w:val="-2"/>
          <w:rtl/>
          <w:lang w:eastAsia="he-IL"/>
        </w:rPr>
        <w:t>לבחינת יסודות עבירות ההמתה</w:t>
      </w:r>
      <w:r>
        <w:rPr>
          <w:rFonts w:hint="cs"/>
          <w:spacing w:val="-2"/>
          <w:rtl/>
          <w:lang w:eastAsia="he-IL"/>
        </w:rPr>
        <w:t xml:space="preserve"> להקל בעונשו של מי ש"</w:t>
      </w:r>
      <w:r w:rsidRPr="00077D3D">
        <w:rPr>
          <w:spacing w:val="-2"/>
          <w:rtl/>
          <w:lang w:eastAsia="he-IL"/>
        </w:rPr>
        <w:t>גורם למותו של אדם מתוך חמלה</w:t>
      </w:r>
      <w:r>
        <w:rPr>
          <w:rFonts w:hint="cs"/>
          <w:spacing w:val="-2"/>
          <w:rtl/>
          <w:lang w:eastAsia="he-IL"/>
        </w:rPr>
        <w:t>,</w:t>
      </w:r>
      <w:r w:rsidRPr="00077D3D">
        <w:rPr>
          <w:spacing w:val="-2"/>
          <w:rtl/>
          <w:lang w:eastAsia="he-IL"/>
        </w:rPr>
        <w:t xml:space="preserve"> עקב בקשה שהופנתה לנאשם על ידי</w:t>
      </w:r>
      <w:r>
        <w:rPr>
          <w:rFonts w:hint="cs"/>
          <w:spacing w:val="-2"/>
          <w:rtl/>
          <w:lang w:eastAsia="he-IL"/>
        </w:rPr>
        <w:t xml:space="preserve"> </w:t>
      </w:r>
      <w:r w:rsidRPr="00077D3D">
        <w:rPr>
          <w:spacing w:val="-2"/>
          <w:rtl/>
          <w:lang w:eastAsia="he-IL"/>
        </w:rPr>
        <w:t>אותו אדם</w:t>
      </w:r>
      <w:r>
        <w:rPr>
          <w:rFonts w:hint="cs"/>
          <w:spacing w:val="-2"/>
          <w:rtl/>
          <w:lang w:eastAsia="he-IL"/>
        </w:rPr>
        <w:t xml:space="preserve">" ולהעמיד את העונש המרבי על המתה בנסיבות אלו על חמש שנות מאסר בלבד. על הנימוקים להצעה זו, שלא שולבה בהצעת החוק, ראו </w:t>
      </w:r>
      <w:r w:rsidRPr="002103BD">
        <w:rPr>
          <w:rFonts w:hint="cs"/>
          <w:b/>
          <w:bCs/>
          <w:rtl/>
        </w:rPr>
        <w:t xml:space="preserve">דוח </w:t>
      </w:r>
      <w:r w:rsidRPr="002103BD">
        <w:rPr>
          <w:b/>
          <w:bCs/>
          <w:spacing w:val="-2"/>
          <w:rtl/>
          <w:lang w:eastAsia="he-IL"/>
        </w:rPr>
        <w:t>הצוות לבחינת יסודות עבירות ההמתה</w:t>
      </w:r>
      <w:r>
        <w:rPr>
          <w:rFonts w:hint="cs"/>
          <w:rtl/>
        </w:rPr>
        <w:t xml:space="preserve"> עמ' 42-41.</w:t>
      </w:r>
    </w:p>
  </w:footnote>
  <w:footnote w:id="21">
    <w:p w:rsidR="00A56708" w:rsidRDefault="00A56708" w:rsidP="006D5B6A">
      <w:pPr>
        <w:pStyle w:val="a5"/>
      </w:pPr>
      <w:r>
        <w:rPr>
          <w:rStyle w:val="a7"/>
        </w:rPr>
        <w:footnoteRef/>
      </w:r>
      <w:r>
        <w:rPr>
          <w:rtl/>
        </w:rPr>
        <w:t xml:space="preserve"> </w:t>
      </w:r>
      <w:r>
        <w:rPr>
          <w:rtl/>
        </w:rPr>
        <w:tab/>
      </w:r>
      <w:r w:rsidRPr="002103BD">
        <w:rPr>
          <w:rFonts w:hint="cs"/>
          <w:b/>
          <w:bCs/>
          <w:rtl/>
        </w:rPr>
        <w:t>מורה נבוכים</w:t>
      </w:r>
      <w:r>
        <w:rPr>
          <w:rFonts w:hint="cs"/>
          <w:rtl/>
        </w:rPr>
        <w:t xml:space="preserve"> ג, מא.</w:t>
      </w:r>
    </w:p>
  </w:footnote>
  <w:footnote w:id="22">
    <w:p w:rsidR="00A56708" w:rsidRDefault="00A56708" w:rsidP="009E42DA">
      <w:pPr>
        <w:pStyle w:val="a5"/>
        <w:rPr>
          <w:rtl/>
        </w:rPr>
      </w:pPr>
      <w:r>
        <w:rPr>
          <w:rStyle w:val="a7"/>
        </w:rPr>
        <w:footnoteRef/>
      </w:r>
      <w:r>
        <w:rPr>
          <w:rtl/>
        </w:rPr>
        <w:t xml:space="preserve"> </w:t>
      </w:r>
      <w:r>
        <w:rPr>
          <w:rtl/>
        </w:rPr>
        <w:tab/>
      </w:r>
      <w:r w:rsidRPr="00CE5751">
        <w:rPr>
          <w:rtl/>
        </w:rPr>
        <w:t>ע</w:t>
      </w:r>
      <w:r>
        <w:rPr>
          <w:rFonts w:hint="cs"/>
          <w:rtl/>
        </w:rPr>
        <w:t>"</w:t>
      </w:r>
      <w:r w:rsidRPr="00CE5751">
        <w:rPr>
          <w:rtl/>
        </w:rPr>
        <w:t xml:space="preserve">פ 8641/12 </w:t>
      </w:r>
      <w:r w:rsidRPr="00CE5751">
        <w:rPr>
          <w:b/>
          <w:bCs/>
          <w:rtl/>
        </w:rPr>
        <w:t>מוחמד סעד נ' מדינת ישראל</w:t>
      </w:r>
      <w:r>
        <w:rPr>
          <w:rFonts w:hint="cs"/>
          <w:rtl/>
        </w:rPr>
        <w:t xml:space="preserve"> (פורסם ב'נבו') עמ' 31-29 (ההדגשות אינן במקור).</w:t>
      </w:r>
    </w:p>
  </w:footnote>
  <w:footnote w:id="23">
    <w:p w:rsidR="00A56708" w:rsidRDefault="00A56708" w:rsidP="00597A7D">
      <w:pPr>
        <w:pStyle w:val="a5"/>
      </w:pPr>
      <w:r>
        <w:rPr>
          <w:rStyle w:val="a7"/>
        </w:rPr>
        <w:footnoteRef/>
      </w:r>
      <w:r>
        <w:rPr>
          <w:rtl/>
        </w:rPr>
        <w:t xml:space="preserve"> </w:t>
      </w:r>
      <w:r>
        <w:rPr>
          <w:rtl/>
        </w:rPr>
        <w:tab/>
      </w:r>
      <w:r w:rsidRPr="00370B18">
        <w:rPr>
          <w:rFonts w:hint="cs"/>
          <w:b/>
          <w:bCs/>
          <w:rtl/>
        </w:rPr>
        <w:t>מורה נבוכים</w:t>
      </w:r>
      <w:r>
        <w:rPr>
          <w:rFonts w:hint="cs"/>
          <w:rtl/>
        </w:rPr>
        <w:t xml:space="preserve"> שם. וראו גם דברי רבנו סעדיה גאון ב</w:t>
      </w:r>
      <w:r w:rsidRPr="00370B18">
        <w:rPr>
          <w:rFonts w:hint="cs"/>
          <w:b/>
          <w:bCs/>
          <w:rtl/>
        </w:rPr>
        <w:t xml:space="preserve">ספר העיקרים </w:t>
      </w:r>
      <w:r>
        <w:rPr>
          <w:rFonts w:hint="cs"/>
          <w:rtl/>
        </w:rPr>
        <w:t xml:space="preserve">מאמר ג, פרק כה, שייחודה של </w:t>
      </w:r>
      <w:r w:rsidRPr="00E77916">
        <w:rPr>
          <w:rtl/>
        </w:rPr>
        <w:t>תורת ישראל ה</w:t>
      </w:r>
      <w:r>
        <w:rPr>
          <w:rFonts w:hint="cs"/>
          <w:rtl/>
        </w:rPr>
        <w:t>וא בכך ש</w:t>
      </w:r>
      <w:r w:rsidRPr="00E77916">
        <w:rPr>
          <w:rtl/>
        </w:rPr>
        <w:t>"היא תשער העונשין הראוי</w:t>
      </w:r>
      <w:r>
        <w:rPr>
          <w:rFonts w:hint="cs"/>
          <w:rtl/>
        </w:rPr>
        <w:t>י</w:t>
      </w:r>
      <w:r w:rsidRPr="00E77916">
        <w:rPr>
          <w:rtl/>
        </w:rPr>
        <w:t>ן</w:t>
      </w:r>
      <w:r>
        <w:rPr>
          <w:rFonts w:hint="cs"/>
          <w:rtl/>
        </w:rPr>
        <w:t>,</w:t>
      </w:r>
      <w:r w:rsidRPr="00E77916">
        <w:rPr>
          <w:rtl/>
        </w:rPr>
        <w:t xml:space="preserve"> כפי המרי".</w:t>
      </w:r>
    </w:p>
  </w:footnote>
  <w:footnote w:id="24">
    <w:p w:rsidR="00A56708" w:rsidRDefault="00A56708" w:rsidP="00062035">
      <w:pPr>
        <w:pStyle w:val="a5"/>
        <w:rPr>
          <w:rtl/>
        </w:rPr>
      </w:pPr>
      <w:r>
        <w:rPr>
          <w:rStyle w:val="a7"/>
        </w:rPr>
        <w:footnoteRef/>
      </w:r>
      <w:r>
        <w:rPr>
          <w:rtl/>
        </w:rPr>
        <w:t xml:space="preserve"> </w:t>
      </w:r>
      <w:r>
        <w:rPr>
          <w:rtl/>
        </w:rPr>
        <w:tab/>
      </w:r>
      <w:r>
        <w:rPr>
          <w:rFonts w:hint="cs"/>
          <w:rtl/>
        </w:rPr>
        <w:t xml:space="preserve">בקהילות ישראל שבגולה, מנהיגי הקהילות שימשו כרשות מחוקקת, המוסמכת לתקן תקנות בכל ענפי המשפט. לעניין זה ראו, מנחם אלון, </w:t>
      </w:r>
      <w:r w:rsidRPr="00062035">
        <w:rPr>
          <w:rFonts w:hint="cs"/>
          <w:b/>
          <w:bCs/>
          <w:rtl/>
        </w:rPr>
        <w:t xml:space="preserve">המשפט העברי </w:t>
      </w:r>
      <w:r w:rsidRPr="00062035">
        <w:rPr>
          <w:b/>
          <w:bCs/>
          <w:rtl/>
        </w:rPr>
        <w:t>–</w:t>
      </w:r>
      <w:r w:rsidRPr="00062035">
        <w:rPr>
          <w:rFonts w:hint="cs"/>
          <w:b/>
          <w:bCs/>
          <w:rtl/>
        </w:rPr>
        <w:t xml:space="preserve"> תולדותיו, מקורותיו</w:t>
      </w:r>
      <w:r w:rsidR="00062035">
        <w:rPr>
          <w:rFonts w:hint="cs"/>
          <w:b/>
          <w:bCs/>
          <w:rtl/>
        </w:rPr>
        <w:t>,</w:t>
      </w:r>
      <w:r w:rsidRPr="00062035">
        <w:rPr>
          <w:rFonts w:hint="cs"/>
          <w:b/>
          <w:bCs/>
          <w:rtl/>
        </w:rPr>
        <w:t xml:space="preserve"> עקרונותיו</w:t>
      </w:r>
      <w:r>
        <w:rPr>
          <w:rFonts w:hint="cs"/>
          <w:rtl/>
        </w:rPr>
        <w:t xml:space="preserve"> הוצאת מאגנס, האוניברסיטה העברי</w:t>
      </w:r>
      <w:r w:rsidR="00062035">
        <w:rPr>
          <w:rFonts w:hint="cs"/>
          <w:rtl/>
        </w:rPr>
        <w:t>ת</w:t>
      </w:r>
      <w:r>
        <w:rPr>
          <w:rFonts w:hint="cs"/>
          <w:rtl/>
        </w:rPr>
        <w:t xml:space="preserve"> בירושלים, ירושלים תשנ"ח, עמ' 558 ואילך.</w:t>
      </w:r>
    </w:p>
  </w:footnote>
  <w:footnote w:id="25">
    <w:p w:rsidR="00A56708" w:rsidRDefault="00A56708" w:rsidP="009E42DA">
      <w:pPr>
        <w:pStyle w:val="a5"/>
        <w:rPr>
          <w:rtl/>
        </w:rPr>
      </w:pPr>
      <w:r>
        <w:rPr>
          <w:rStyle w:val="a7"/>
        </w:rPr>
        <w:footnoteRef/>
      </w:r>
      <w:r>
        <w:rPr>
          <w:rtl/>
        </w:rPr>
        <w:t xml:space="preserve"> </w:t>
      </w:r>
      <w:r>
        <w:rPr>
          <w:rtl/>
        </w:rPr>
        <w:tab/>
      </w:r>
      <w:r w:rsidRPr="00370B18">
        <w:rPr>
          <w:rFonts w:hint="cs"/>
          <w:b/>
          <w:bCs/>
          <w:rtl/>
        </w:rPr>
        <w:t>פלא יועץ</w:t>
      </w:r>
      <w:r>
        <w:rPr>
          <w:rFonts w:hint="cs"/>
          <w:rtl/>
        </w:rPr>
        <w:t xml:space="preserve"> ערך 'קנס' (ההדגשות אינן במקור).</w:t>
      </w:r>
      <w:r w:rsidRPr="00CF4CDA">
        <w:rPr>
          <w:rFonts w:hint="cs"/>
          <w:rtl/>
        </w:rPr>
        <w:t xml:space="preserve"> </w:t>
      </w:r>
      <w:r w:rsidRPr="00CA372E">
        <w:rPr>
          <w:rFonts w:hint="cs"/>
          <w:rtl/>
        </w:rPr>
        <w:t xml:space="preserve">אמנם, ראו </w:t>
      </w:r>
      <w:r w:rsidRPr="00CA372E">
        <w:rPr>
          <w:rFonts w:hint="cs"/>
          <w:b/>
          <w:bCs/>
          <w:rtl/>
        </w:rPr>
        <w:t xml:space="preserve">עמק הנצי"ב </w:t>
      </w:r>
      <w:r w:rsidRPr="00CA372E">
        <w:rPr>
          <w:rFonts w:hint="cs"/>
          <w:rtl/>
        </w:rPr>
        <w:t>על ספרי דברים א, ט, המבאר את דברי שלמה המלך במלכים א' ג, ט: "מי יוכל לשפוט את עמך הכבד", ומפקפק ביכולתם של בני אנוש ליצור התאמה מדויקת בין חומרת העונש לחומרתה של העבירה ("דלשפוט באמת... לכוון לצמצם כפי הצורך, לא יותר, ולהטיל אימה רק לפי הצורך לא יותר ולא מעט, זהו מהנמנע מאנוש עלי תבל").</w:t>
      </w:r>
    </w:p>
  </w:footnote>
  <w:footnote w:id="26">
    <w:p w:rsidR="00A56708" w:rsidRDefault="00A56708" w:rsidP="00F21C73">
      <w:pPr>
        <w:pStyle w:val="a5"/>
        <w:rPr>
          <w:rFonts w:hint="cs"/>
        </w:rPr>
      </w:pPr>
      <w:r>
        <w:rPr>
          <w:rStyle w:val="a7"/>
        </w:rPr>
        <w:footnoteRef/>
      </w:r>
      <w:r>
        <w:rPr>
          <w:rtl/>
        </w:rPr>
        <w:t xml:space="preserve"> </w:t>
      </w:r>
      <w:r>
        <w:rPr>
          <w:rtl/>
        </w:rPr>
        <w:tab/>
      </w:r>
      <w:r>
        <w:rPr>
          <w:rtl/>
        </w:rPr>
        <w:t>סעיף 300(א)(2) לחוק העונשין קובע שמי ש"גורם בכוונה תחילה למותו של אדם" דינו "מאסר עולם, ועונש זה בלבד".</w:t>
      </w:r>
      <w:r>
        <w:rPr>
          <w:rFonts w:hint="cs"/>
          <w:rtl/>
        </w:rPr>
        <w:t xml:space="preserve"> </w:t>
      </w:r>
      <w:r>
        <w:rPr>
          <w:rtl/>
        </w:rPr>
        <w:t>יסוד ה"כוונה תחילה" מתגבש, לפי סעיף 301(א) לחוק, אם הייתה החלטה להמית את הקרבן, והמתתו "בדם קר, בלי שקדמה התגרות בתכוף למעשה", בנסיבות שבהן הרוצח יכול היה "לחשוב ולהבין את תוצאות מעשיו, ולאחר שהכין עצמו להמית" את הקרבן, "או שהכין מכשיר שבו המית אותו".</w:t>
      </w:r>
    </w:p>
  </w:footnote>
  <w:footnote w:id="27">
    <w:p w:rsidR="00A56708" w:rsidRDefault="00A56708" w:rsidP="00A30FF1">
      <w:pPr>
        <w:pStyle w:val="a5"/>
        <w:rPr>
          <w:rtl/>
        </w:rPr>
      </w:pPr>
      <w:r>
        <w:rPr>
          <w:rStyle w:val="a7"/>
        </w:rPr>
        <w:footnoteRef/>
      </w:r>
      <w:r>
        <w:rPr>
          <w:rtl/>
        </w:rPr>
        <w:t xml:space="preserve"> </w:t>
      </w:r>
      <w:r>
        <w:rPr>
          <w:rtl/>
        </w:rPr>
        <w:tab/>
      </w:r>
      <w:r w:rsidRPr="00F21C73">
        <w:rPr>
          <w:rtl/>
        </w:rPr>
        <w:t xml:space="preserve">האדישות מוגדרת בסעיף 20(א)(2)(א) לחוק העונשין כשוויון נפש לאפשרות גרימת התוצאות.  </w:t>
      </w:r>
    </w:p>
    <w:p w:rsidR="00A56708" w:rsidRDefault="00A56708" w:rsidP="00CF4CDA">
      <w:pPr>
        <w:pStyle w:val="a5"/>
        <w:ind w:firstLine="0"/>
      </w:pPr>
      <w:r>
        <w:rPr>
          <w:rFonts w:hint="cs"/>
          <w:rtl/>
        </w:rPr>
        <w:t>במאמר מוסגר, ניתן לתהות האם מבחינה לוגית, תתכן אדישות מוחלטת בכל הנוגע לאפשרות שמעשיו של אדם יגרמו למותו של אדם, משום שברור שלעולם יעדיף אדם להימנע מהליכים פליליים ואזרחיים הקשורים בהמתתו של אדם. לביקורת ברוח זו ראו, מרים גור אריה, "</w:t>
      </w:r>
      <w:r w:rsidRPr="009F352C">
        <w:rPr>
          <w:rtl/>
        </w:rPr>
        <w:t>הרפורמה המוצעת לעבירות ההמתה במשפט הישראלי לאור עקרון האשמה</w:t>
      </w:r>
      <w:r>
        <w:rPr>
          <w:rFonts w:hint="cs"/>
          <w:rtl/>
        </w:rPr>
        <w:t xml:space="preserve">", </w:t>
      </w:r>
      <w:r w:rsidRPr="00A245CA">
        <w:rPr>
          <w:rFonts w:hint="cs"/>
          <w:b/>
          <w:bCs/>
          <w:rtl/>
        </w:rPr>
        <w:t>משפטים על אתר</w:t>
      </w:r>
      <w:r>
        <w:rPr>
          <w:rFonts w:hint="cs"/>
          <w:rtl/>
        </w:rPr>
        <w:t xml:space="preserve"> ה (תשע"ג) 1, 6-4.</w:t>
      </w:r>
    </w:p>
  </w:footnote>
  <w:footnote w:id="28">
    <w:p w:rsidR="00A56708" w:rsidRDefault="00A56708" w:rsidP="00CF4CDA">
      <w:pPr>
        <w:pStyle w:val="a5"/>
        <w:rPr>
          <w:rFonts w:hint="cs"/>
        </w:rPr>
      </w:pPr>
      <w:r>
        <w:rPr>
          <w:rStyle w:val="a7"/>
        </w:rPr>
        <w:footnoteRef/>
      </w:r>
      <w:r>
        <w:rPr>
          <w:rtl/>
        </w:rPr>
        <w:t xml:space="preserve"> </w:t>
      </w:r>
      <w:r>
        <w:rPr>
          <w:rtl/>
        </w:rPr>
        <w:tab/>
      </w:r>
      <w:r>
        <w:rPr>
          <w:rFonts w:hint="cs"/>
          <w:rtl/>
        </w:rPr>
        <w:t>קלות דעת מוגדרת בסעיף 20(א)(2)(ב) לחוק העונשין כ"</w:t>
      </w:r>
      <w:r w:rsidRPr="00CF4CDA">
        <w:rPr>
          <w:rtl/>
        </w:rPr>
        <w:t>נטילת סיכון בלתי סביר לאפשרות גרימת התוצאות</w:t>
      </w:r>
      <w:r>
        <w:rPr>
          <w:rFonts w:hint="cs"/>
          <w:rtl/>
        </w:rPr>
        <w:t>...</w:t>
      </w:r>
      <w:r w:rsidRPr="00CF4CDA">
        <w:rPr>
          <w:rtl/>
        </w:rPr>
        <w:t xml:space="preserve"> מתוך תקווה להצליח למנען</w:t>
      </w:r>
      <w:r>
        <w:rPr>
          <w:rFonts w:hint="cs"/>
          <w:rtl/>
        </w:rPr>
        <w:t>". לא למותר לציין, שיסוד נפשי זה איננו מוזכר כיום כלל, בהקשר של עבירות ההמתה.</w:t>
      </w:r>
    </w:p>
  </w:footnote>
  <w:footnote w:id="29">
    <w:p w:rsidR="00A56708" w:rsidRDefault="00A56708" w:rsidP="00A31427">
      <w:pPr>
        <w:pStyle w:val="a5"/>
        <w:rPr>
          <w:rtl/>
        </w:rPr>
      </w:pPr>
      <w:r>
        <w:rPr>
          <w:rStyle w:val="a7"/>
        </w:rPr>
        <w:footnoteRef/>
      </w:r>
      <w:r>
        <w:rPr>
          <w:rtl/>
        </w:rPr>
        <w:t xml:space="preserve"> </w:t>
      </w:r>
      <w:r>
        <w:rPr>
          <w:rtl/>
        </w:rPr>
        <w:tab/>
      </w:r>
      <w:r w:rsidRPr="00856304">
        <w:rPr>
          <w:rFonts w:hint="cs"/>
          <w:b/>
          <w:bCs/>
          <w:rtl/>
        </w:rPr>
        <w:t>משנה תורה</w:t>
      </w:r>
      <w:r>
        <w:rPr>
          <w:rFonts w:hint="cs"/>
          <w:rtl/>
        </w:rPr>
        <w:t xml:space="preserve"> הלכות רוצח ושמירת נפש ג, א-ג. </w:t>
      </w:r>
    </w:p>
  </w:footnote>
  <w:footnote w:id="30">
    <w:p w:rsidR="00A56708" w:rsidRDefault="00A56708" w:rsidP="006A6A98">
      <w:pPr>
        <w:pStyle w:val="a5"/>
        <w:rPr>
          <w:rFonts w:hint="cs"/>
        </w:rPr>
      </w:pPr>
      <w:r>
        <w:rPr>
          <w:rStyle w:val="a7"/>
        </w:rPr>
        <w:footnoteRef/>
      </w:r>
      <w:r>
        <w:rPr>
          <w:rtl/>
        </w:rPr>
        <w:t xml:space="preserve"> </w:t>
      </w:r>
      <w:r>
        <w:rPr>
          <w:rtl/>
        </w:rPr>
        <w:tab/>
      </w:r>
      <w:r>
        <w:rPr>
          <w:rFonts w:hint="cs"/>
          <w:rtl/>
        </w:rPr>
        <w:t xml:space="preserve">ראו אצל י"ד אייזנשטיין, </w:t>
      </w:r>
      <w:r w:rsidRPr="006A6A98">
        <w:rPr>
          <w:rFonts w:hint="cs"/>
          <w:b/>
          <w:bCs/>
          <w:rtl/>
        </w:rPr>
        <w:t xml:space="preserve">אוצר ישראל </w:t>
      </w:r>
      <w:r>
        <w:rPr>
          <w:rFonts w:hint="cs"/>
          <w:rtl/>
        </w:rPr>
        <w:t>י, ערך 'שוגג; מזיד', עמ' 59.</w:t>
      </w:r>
    </w:p>
  </w:footnote>
  <w:footnote w:id="31">
    <w:p w:rsidR="00A56708" w:rsidRDefault="00A56708">
      <w:pPr>
        <w:pStyle w:val="a5"/>
        <w:rPr>
          <w:rFonts w:hint="cs"/>
        </w:rPr>
      </w:pPr>
      <w:r>
        <w:rPr>
          <w:rStyle w:val="a7"/>
        </w:rPr>
        <w:footnoteRef/>
      </w:r>
      <w:r>
        <w:rPr>
          <w:rtl/>
        </w:rPr>
        <w:t xml:space="preserve"> </w:t>
      </w:r>
      <w:r>
        <w:rPr>
          <w:rtl/>
        </w:rPr>
        <w:tab/>
      </w:r>
      <w:r w:rsidRPr="00DD0D6E">
        <w:rPr>
          <w:rFonts w:hint="cs"/>
          <w:b/>
          <w:bCs/>
          <w:rtl/>
        </w:rPr>
        <w:t xml:space="preserve">שו"ת הריב"ש </w:t>
      </w:r>
      <w:r>
        <w:rPr>
          <w:rFonts w:hint="cs"/>
          <w:rtl/>
        </w:rPr>
        <w:t>שלח.</w:t>
      </w:r>
      <w:r w:rsidRPr="001F77A0">
        <w:rPr>
          <w:rFonts w:hint="cs"/>
          <w:rtl/>
        </w:rPr>
        <w:t xml:space="preserve"> </w:t>
      </w:r>
      <w:r>
        <w:rPr>
          <w:rFonts w:hint="cs"/>
          <w:rtl/>
        </w:rPr>
        <w:t xml:space="preserve">אבל השוו לדברי רי"ד סולובייצ'יק, </w:t>
      </w:r>
      <w:r w:rsidRPr="00FA3BB9">
        <w:rPr>
          <w:rFonts w:hint="cs"/>
          <w:b/>
          <w:bCs/>
          <w:rtl/>
        </w:rPr>
        <w:t xml:space="preserve">רשימות שיעורים </w:t>
      </w:r>
      <w:r>
        <w:rPr>
          <w:rFonts w:hint="cs"/>
          <w:rtl/>
        </w:rPr>
        <w:t>בבא קמא ג,א, שלומד מדברי הרמב"ם ש"</w:t>
      </w:r>
      <w:r>
        <w:rPr>
          <w:rtl/>
        </w:rPr>
        <w:t>דין יש בו כדי להמית אינו ענין דמציאות - האם מת באמת מחמת המכה או לא</w:t>
      </w:r>
      <w:r>
        <w:rPr>
          <w:rFonts w:hint="cs"/>
          <w:rtl/>
        </w:rPr>
        <w:t>,</w:t>
      </w:r>
      <w:r>
        <w:rPr>
          <w:rtl/>
        </w:rPr>
        <w:t xml:space="preserve"> כי בודאי מת מחמת המכה - אלא שפטור </w:t>
      </w:r>
      <w:r>
        <w:rPr>
          <w:rFonts w:hint="cs"/>
          <w:rtl/>
        </w:rPr>
        <w:t xml:space="preserve">(בשל כך שהוכח שאין בו כדי להמית) </w:t>
      </w:r>
      <w:r>
        <w:rPr>
          <w:rtl/>
        </w:rPr>
        <w:t>חל כדין מיוחד בחיוב הרוצח דעלמא שהמית במזיד</w:t>
      </w:r>
      <w:r>
        <w:rPr>
          <w:rFonts w:hint="cs"/>
          <w:rtl/>
        </w:rPr>
        <w:t>".</w:t>
      </w:r>
    </w:p>
  </w:footnote>
  <w:footnote w:id="32">
    <w:p w:rsidR="00A56708" w:rsidRDefault="00A56708" w:rsidP="00613162">
      <w:pPr>
        <w:pStyle w:val="a5"/>
        <w:rPr>
          <w:rFonts w:hint="cs"/>
        </w:rPr>
      </w:pPr>
      <w:r>
        <w:rPr>
          <w:rStyle w:val="a7"/>
        </w:rPr>
        <w:footnoteRef/>
      </w:r>
      <w:r>
        <w:rPr>
          <w:rtl/>
        </w:rPr>
        <w:t xml:space="preserve"> </w:t>
      </w:r>
      <w:r>
        <w:rPr>
          <w:rtl/>
        </w:rPr>
        <w:tab/>
      </w:r>
      <w:r>
        <w:rPr>
          <w:rFonts w:hint="cs"/>
          <w:rtl/>
        </w:rPr>
        <w:t xml:space="preserve">ניתן להסביר עמדה זו בשתי דרכים חלופיות. לפי דרך אחת, היסוד הנפשי של עבירת הרצח הוא כוונה לחבול באדם, ולא נדרשת כלל צפייה של התרחשות התוצאה הקטלנית. משעה שהוכח קיומה של כוונת חבלה ("זדון"), והוכח שהחבלה גרמה למותו של אדם, די בכך כדי להרשיע אדם ברצח. לחילופין, ניתן להסביר שהיסוד הנפשי הוא כוונה לחבול וצפייה של אפשרות ההמתה (אף אם ההסתברות לכך נמוכה ביותר!). כאשר מוכח שבדרך הטבע אין סיכוי שמעשיו של החובל יגרמו למותו של אדם, יכול החובל לטעון להגנתו שלא היה עליו לצפות את התוצאה הקטלנית, ו"אונס הוא". וראו </w:t>
      </w:r>
      <w:r w:rsidRPr="00613162">
        <w:rPr>
          <w:rFonts w:hint="cs"/>
          <w:b/>
          <w:bCs/>
          <w:rtl/>
        </w:rPr>
        <w:t>משאת המלך</w:t>
      </w:r>
      <w:r>
        <w:rPr>
          <w:rFonts w:hint="cs"/>
          <w:rtl/>
        </w:rPr>
        <w:t xml:space="preserve"> (דיסקין) סימן קיד עמ' קצד ("</w:t>
      </w:r>
      <w:r>
        <w:rPr>
          <w:rtl/>
        </w:rPr>
        <w:t xml:space="preserve">יש לעיין במה </w:t>
      </w:r>
      <w:r>
        <w:rPr>
          <w:rFonts w:hint="cs"/>
          <w:rtl/>
        </w:rPr>
        <w:t>דנ</w:t>
      </w:r>
      <w:r>
        <w:rPr>
          <w:rtl/>
        </w:rPr>
        <w:t>תחדש דין אומד</w:t>
      </w:r>
      <w:r>
        <w:rPr>
          <w:rFonts w:hint="cs"/>
          <w:rtl/>
        </w:rPr>
        <w:t>,</w:t>
      </w:r>
      <w:r>
        <w:rPr>
          <w:rtl/>
        </w:rPr>
        <w:t xml:space="preserve"> שצריך שתהא</w:t>
      </w:r>
      <w:r>
        <w:rPr>
          <w:rFonts w:hint="cs"/>
          <w:rtl/>
        </w:rPr>
        <w:t xml:space="preserve"> ה</w:t>
      </w:r>
      <w:r>
        <w:rPr>
          <w:rtl/>
        </w:rPr>
        <w:t>הכאה הראויה להמית וא</w:t>
      </w:r>
      <w:r>
        <w:rPr>
          <w:rFonts w:hint="cs"/>
          <w:rtl/>
        </w:rPr>
        <w:t xml:space="preserve">ם לא כן </w:t>
      </w:r>
      <w:r>
        <w:rPr>
          <w:rtl/>
        </w:rPr>
        <w:t>פטור, אי פטורו משום דאינו חשיב זדון וכשוגג הוא, דהרי לא היה ראוי למות בה</w:t>
      </w:r>
      <w:r>
        <w:rPr>
          <w:rFonts w:hint="cs"/>
          <w:rtl/>
        </w:rPr>
        <w:t>כ</w:t>
      </w:r>
      <w:r>
        <w:rPr>
          <w:rtl/>
        </w:rPr>
        <w:t>אה זה</w:t>
      </w:r>
      <w:r>
        <w:rPr>
          <w:rFonts w:hint="cs"/>
          <w:rtl/>
        </w:rPr>
        <w:t>(זו),</w:t>
      </w:r>
      <w:r>
        <w:rPr>
          <w:rtl/>
        </w:rPr>
        <w:t xml:space="preserve"> נמצא דשוגג הוא במה שמת ע</w:t>
      </w:r>
      <w:r>
        <w:rPr>
          <w:rFonts w:hint="cs"/>
          <w:rtl/>
        </w:rPr>
        <w:t xml:space="preserve">ל ידי </w:t>
      </w:r>
      <w:r>
        <w:rPr>
          <w:rtl/>
        </w:rPr>
        <w:t>הכאה זו</w:t>
      </w:r>
      <w:r>
        <w:rPr>
          <w:rFonts w:hint="cs"/>
          <w:rtl/>
        </w:rPr>
        <w:t>...</w:t>
      </w:r>
      <w:r>
        <w:rPr>
          <w:rtl/>
        </w:rPr>
        <w:t xml:space="preserve"> או די</w:t>
      </w:r>
      <w:r>
        <w:rPr>
          <w:rFonts w:hint="cs"/>
          <w:rtl/>
        </w:rPr>
        <w:t xml:space="preserve">ש לומר </w:t>
      </w:r>
      <w:r>
        <w:rPr>
          <w:rtl/>
        </w:rPr>
        <w:t>דפטור אומד הוא</w:t>
      </w:r>
      <w:r>
        <w:rPr>
          <w:rFonts w:hint="cs"/>
          <w:rtl/>
        </w:rPr>
        <w:t>,</w:t>
      </w:r>
      <w:r>
        <w:rPr>
          <w:rtl/>
        </w:rPr>
        <w:t xml:space="preserve"> דאין המיתה מתי</w:t>
      </w:r>
      <w:r>
        <w:rPr>
          <w:rFonts w:hint="cs"/>
          <w:rtl/>
        </w:rPr>
        <w:t>י</w:t>
      </w:r>
      <w:r>
        <w:rPr>
          <w:rtl/>
        </w:rPr>
        <w:t>ח</w:t>
      </w:r>
      <w:r>
        <w:rPr>
          <w:rFonts w:hint="cs"/>
          <w:rtl/>
        </w:rPr>
        <w:t>ס</w:t>
      </w:r>
      <w:r>
        <w:rPr>
          <w:rtl/>
        </w:rPr>
        <w:t>ת להכאתו כיון דלא הי</w:t>
      </w:r>
      <w:r>
        <w:rPr>
          <w:rFonts w:hint="cs"/>
          <w:rtl/>
        </w:rPr>
        <w:t>ית</w:t>
      </w:r>
      <w:r>
        <w:rPr>
          <w:rtl/>
        </w:rPr>
        <w:t>ה הכאה הממיתה</w:t>
      </w:r>
      <w:r>
        <w:rPr>
          <w:rFonts w:hint="cs"/>
          <w:rtl/>
        </w:rPr>
        <w:t xml:space="preserve">")   </w:t>
      </w:r>
    </w:p>
  </w:footnote>
  <w:footnote w:id="33">
    <w:p w:rsidR="00A56708" w:rsidRDefault="00A56708" w:rsidP="001F77A0">
      <w:pPr>
        <w:pStyle w:val="a5"/>
        <w:rPr>
          <w:rFonts w:hint="cs"/>
          <w:rtl/>
        </w:rPr>
      </w:pPr>
      <w:r>
        <w:rPr>
          <w:rStyle w:val="a7"/>
        </w:rPr>
        <w:footnoteRef/>
      </w:r>
      <w:r>
        <w:rPr>
          <w:rtl/>
        </w:rPr>
        <w:t xml:space="preserve"> </w:t>
      </w:r>
      <w:r>
        <w:rPr>
          <w:rtl/>
        </w:rPr>
        <w:tab/>
      </w:r>
      <w:r w:rsidRPr="009B7D0B">
        <w:rPr>
          <w:rFonts w:hint="cs"/>
          <w:b/>
          <w:bCs/>
          <w:rtl/>
        </w:rPr>
        <w:t xml:space="preserve">ים של שלמה </w:t>
      </w:r>
      <w:r>
        <w:rPr>
          <w:rFonts w:hint="cs"/>
          <w:rtl/>
        </w:rPr>
        <w:t xml:space="preserve">בבא קמא ח, לח. </w:t>
      </w:r>
    </w:p>
  </w:footnote>
  <w:footnote w:id="34">
    <w:p w:rsidR="00A56708" w:rsidRDefault="00A56708" w:rsidP="00D56F96">
      <w:pPr>
        <w:pStyle w:val="a5"/>
        <w:rPr>
          <w:rFonts w:hint="cs"/>
          <w:rtl/>
        </w:rPr>
      </w:pPr>
      <w:r>
        <w:rPr>
          <w:rStyle w:val="a7"/>
        </w:rPr>
        <w:footnoteRef/>
      </w:r>
      <w:r>
        <w:rPr>
          <w:rtl/>
        </w:rPr>
        <w:t xml:space="preserve"> </w:t>
      </w:r>
      <w:r>
        <w:rPr>
          <w:rtl/>
        </w:rPr>
        <w:tab/>
      </w:r>
      <w:r w:rsidRPr="00A30FF1">
        <w:rPr>
          <w:rFonts w:hint="cs"/>
          <w:spacing w:val="-2"/>
          <w:rtl/>
        </w:rPr>
        <w:t>יש להדגיש, שכלל הצפיות</w:t>
      </w:r>
      <w:r>
        <w:rPr>
          <w:rFonts w:hint="cs"/>
          <w:spacing w:val="-2"/>
          <w:rtl/>
        </w:rPr>
        <w:t xml:space="preserve"> שקבע המהרש"ל הינו רחב מ</w:t>
      </w:r>
      <w:r w:rsidRPr="00A30FF1">
        <w:rPr>
          <w:rFonts w:hint="cs"/>
          <w:spacing w:val="-2"/>
          <w:rtl/>
        </w:rPr>
        <w:t xml:space="preserve">כלל הצפיות שנקבע בסעיף 20(ב) לחוק העונשין, שלפיו, </w:t>
      </w:r>
      <w:r w:rsidRPr="00A30FF1">
        <w:rPr>
          <w:spacing w:val="-2"/>
          <w:rtl/>
        </w:rPr>
        <w:t>"לעניין כוונה, ראייה מראש את התרחשות התוצאות,</w:t>
      </w:r>
      <w:r w:rsidRPr="00A30FF1">
        <w:rPr>
          <w:rFonts w:hint="cs"/>
          <w:spacing w:val="-2"/>
          <w:rtl/>
        </w:rPr>
        <w:t xml:space="preserve"> </w:t>
      </w:r>
      <w:r w:rsidRPr="00A30FF1">
        <w:rPr>
          <w:b/>
          <w:bCs/>
          <w:spacing w:val="-2"/>
          <w:rtl/>
        </w:rPr>
        <w:t>כאפשרות קרובה לוודאי</w:t>
      </w:r>
      <w:r w:rsidRPr="00A30FF1">
        <w:rPr>
          <w:spacing w:val="-2"/>
          <w:rtl/>
        </w:rPr>
        <w:t>, כמוה כמטרה לגרמן"</w:t>
      </w:r>
      <w:r w:rsidRPr="00A30FF1">
        <w:rPr>
          <w:rFonts w:hint="cs"/>
          <w:spacing w:val="-2"/>
          <w:rtl/>
        </w:rPr>
        <w:t>, שהרי לפי המהרש"ל, גם כאשר קיים סיכוי קטן לכך שה</w:t>
      </w:r>
      <w:r>
        <w:rPr>
          <w:rFonts w:hint="cs"/>
          <w:spacing w:val="-2"/>
          <w:rtl/>
        </w:rPr>
        <w:t xml:space="preserve">חבלה </w:t>
      </w:r>
      <w:r w:rsidRPr="00A30FF1">
        <w:rPr>
          <w:rFonts w:hint="cs"/>
          <w:spacing w:val="-2"/>
          <w:rtl/>
        </w:rPr>
        <w:t>תגרום למותו של אדם, ניתן להרשיע</w:t>
      </w:r>
      <w:r>
        <w:rPr>
          <w:rFonts w:hint="cs"/>
          <w:spacing w:val="-2"/>
          <w:rtl/>
        </w:rPr>
        <w:t xml:space="preserve"> את החובל </w:t>
      </w:r>
      <w:r w:rsidRPr="00A30FF1">
        <w:rPr>
          <w:rFonts w:hint="cs"/>
          <w:spacing w:val="-2"/>
          <w:rtl/>
        </w:rPr>
        <w:t>ברצח</w:t>
      </w:r>
      <w:r>
        <w:rPr>
          <w:rFonts w:hint="cs"/>
          <w:rtl/>
        </w:rPr>
        <w:t xml:space="preserve">. </w:t>
      </w:r>
    </w:p>
  </w:footnote>
  <w:footnote w:id="35">
    <w:p w:rsidR="00A56708" w:rsidRDefault="00A56708">
      <w:pPr>
        <w:pStyle w:val="a5"/>
        <w:rPr>
          <w:rFonts w:hint="cs"/>
        </w:rPr>
      </w:pPr>
      <w:r>
        <w:rPr>
          <w:rStyle w:val="a7"/>
        </w:rPr>
        <w:footnoteRef/>
      </w:r>
      <w:r>
        <w:rPr>
          <w:rtl/>
        </w:rPr>
        <w:t xml:space="preserve"> </w:t>
      </w:r>
      <w:r>
        <w:rPr>
          <w:rtl/>
        </w:rPr>
        <w:tab/>
      </w:r>
      <w:r w:rsidRPr="009B5921">
        <w:rPr>
          <w:rFonts w:hint="cs"/>
          <w:b/>
          <w:bCs/>
          <w:rtl/>
        </w:rPr>
        <w:t xml:space="preserve">שו"ת באר יצחק </w:t>
      </w:r>
      <w:r>
        <w:rPr>
          <w:rFonts w:hint="cs"/>
          <w:rtl/>
        </w:rPr>
        <w:t>אבן העזר יח, ענף ב.</w:t>
      </w:r>
    </w:p>
  </w:footnote>
  <w:footnote w:id="36">
    <w:p w:rsidR="00A56708" w:rsidRDefault="00A56708" w:rsidP="004B5AEA">
      <w:pPr>
        <w:pStyle w:val="a5"/>
        <w:rPr>
          <w:rFonts w:hint="cs"/>
          <w:rtl/>
        </w:rPr>
      </w:pPr>
      <w:r>
        <w:rPr>
          <w:rStyle w:val="a7"/>
        </w:rPr>
        <w:footnoteRef/>
      </w:r>
      <w:r>
        <w:rPr>
          <w:rtl/>
        </w:rPr>
        <w:t xml:space="preserve"> </w:t>
      </w:r>
      <w:r>
        <w:rPr>
          <w:rtl/>
        </w:rPr>
        <w:tab/>
      </w:r>
      <w:r>
        <w:rPr>
          <w:rFonts w:hint="cs"/>
          <w:rtl/>
        </w:rPr>
        <w:t>וראו גם דבריו שם, ענף לח ("</w:t>
      </w:r>
      <w:r>
        <w:rPr>
          <w:rtl/>
        </w:rPr>
        <w:t>דמה שאמרו ביש בה כדי להמית דחייב מיתה הכוונה ביש בה כדי להמית ע</w:t>
      </w:r>
      <w:r>
        <w:rPr>
          <w:rFonts w:hint="cs"/>
          <w:rtl/>
        </w:rPr>
        <w:t xml:space="preserve">ל פי </w:t>
      </w:r>
      <w:r>
        <w:rPr>
          <w:rtl/>
        </w:rPr>
        <w:t>רוב</w:t>
      </w:r>
      <w:r>
        <w:rPr>
          <w:rFonts w:hint="cs"/>
          <w:rtl/>
        </w:rPr>
        <w:t xml:space="preserve">"). במושגי ימינו, כלל הצפיות המוצע כאן קרוב יותר לכלל הצפיות הקבוע בסעיף 20(ב) לחוק העונשין, כאמור בהערה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Ref456607542 \h</w:instrText>
      </w:r>
      <w:r>
        <w:rPr>
          <w:rtl/>
        </w:rPr>
        <w:instrText xml:space="preserve"> </w:instrText>
      </w:r>
      <w:r>
        <w:rPr>
          <w:rtl/>
        </w:rPr>
      </w:r>
      <w:r>
        <w:rPr>
          <w:rtl/>
        </w:rPr>
        <w:fldChar w:fldCharType="separate"/>
      </w:r>
      <w:r>
        <w:rPr>
          <w:rtl/>
        </w:rPr>
        <w:t>35</w:t>
      </w:r>
      <w:r>
        <w:rPr>
          <w:rtl/>
        </w:rPr>
        <w:fldChar w:fldCharType="end"/>
      </w:r>
      <w:r>
        <w:rPr>
          <w:rFonts w:hint="cs"/>
          <w:rtl/>
        </w:rPr>
        <w:t>, אך נראה שהוא בכל זאת רחב מכלל זה, משום שלא נדרשת צפיות ברמה של "אפשרות קרובה לוודאי", אלא ברמה של רוב הסתברותי בלבד. שאלת החלתו של כלל הצפיות בעבירות הרצח שנויה במחלוקת. לעניין זה ראו בהרחבה ב</w:t>
      </w:r>
      <w:r w:rsidRPr="002103BD">
        <w:rPr>
          <w:rFonts w:hint="cs"/>
          <w:b/>
          <w:bCs/>
          <w:rtl/>
        </w:rPr>
        <w:t xml:space="preserve">דו"ח </w:t>
      </w:r>
      <w:r w:rsidRPr="002103BD">
        <w:rPr>
          <w:b/>
          <w:bCs/>
          <w:spacing w:val="-2"/>
          <w:rtl/>
          <w:lang w:eastAsia="he-IL"/>
        </w:rPr>
        <w:t>הצוות לבחינת יסודות עבירות ההמתה</w:t>
      </w:r>
      <w:r>
        <w:rPr>
          <w:rFonts w:hint="cs"/>
          <w:b/>
          <w:bCs/>
          <w:spacing w:val="-2"/>
          <w:rtl/>
          <w:lang w:eastAsia="he-IL"/>
        </w:rPr>
        <w:t xml:space="preserve"> </w:t>
      </w:r>
      <w:r w:rsidRPr="00613162">
        <w:rPr>
          <w:rFonts w:hint="cs"/>
          <w:spacing w:val="-2"/>
          <w:rtl/>
          <w:lang w:eastAsia="he-IL"/>
        </w:rPr>
        <w:t>נספח ב' (סקירת הדין הקיים), עמ' 12-10.</w:t>
      </w:r>
    </w:p>
  </w:footnote>
  <w:footnote w:id="37">
    <w:p w:rsidR="00A56708" w:rsidRDefault="00A56708" w:rsidP="00F21C73">
      <w:pPr>
        <w:pStyle w:val="a5"/>
        <w:rPr>
          <w:rFonts w:hint="cs"/>
        </w:rPr>
      </w:pPr>
      <w:r>
        <w:rPr>
          <w:rStyle w:val="a7"/>
        </w:rPr>
        <w:footnoteRef/>
      </w:r>
      <w:r>
        <w:rPr>
          <w:rtl/>
        </w:rPr>
        <w:t xml:space="preserve"> </w:t>
      </w:r>
      <w:r>
        <w:rPr>
          <w:rtl/>
        </w:rPr>
        <w:tab/>
      </w:r>
      <w:r w:rsidRPr="0083077E">
        <w:rPr>
          <w:rFonts w:hint="cs"/>
          <w:spacing w:val="-2"/>
          <w:rtl/>
        </w:rPr>
        <w:t>מבחן הצפיות עשוי להתבסס על נתונים אובייקטיביים, כמקום המכה, האמצעי שנעשה בו שימוש לשם ההכאה וכדומה, אך גם בנתונים סובייקטיביים, הקשורים בכוחו של המכה, בכוחו של המוכה ובטיב היחסים שביניהם. לעניין זה ראו בהרחבה אצל יעקב חבה, היסוד הנפשי בעבירת הרצח במשפט העברי, חיבור לשם קבלת התואר דוקטור לפילוסופיה, הוגש לסינט של אוניברסיטת בר אילן, רמת גן תש"ס, עמ' 108 ("</w:t>
      </w:r>
      <w:r w:rsidRPr="0083077E">
        <w:rPr>
          <w:rFonts w:hint="cs"/>
          <w:spacing w:val="-2"/>
          <w:rtl/>
          <w:lang w:eastAsia="he-IL"/>
        </w:rPr>
        <w:t xml:space="preserve">לפחות כאשר מדובר בדרגות החמורות של ביצוע העבירה, נראה שיש מקום למבחן אישי, גם אם אינו סובייקטיבי במלואו, הבודק את ידיעותיו והלך נפשו של העבריין על פי מכלול הנסיבות של המקרה שבפנינו, ולא רק את מה שניתן היה לצפות ממנו בהתחשב במבחן האדם הסביר או רוב בני האדם, ובהתאם לכך גם תיקבע רמת האשם של העבריין". </w:t>
      </w:r>
      <w:r w:rsidRPr="0083077E">
        <w:rPr>
          <w:rFonts w:hint="cs"/>
          <w:spacing w:val="-2"/>
          <w:rtl/>
        </w:rPr>
        <w:t>(להלן: חבה, היסוד הנפשי</w:t>
      </w:r>
      <w:r>
        <w:rPr>
          <w:rFonts w:hint="cs"/>
          <w:rtl/>
        </w:rPr>
        <w:t xml:space="preserve">).  </w:t>
      </w:r>
    </w:p>
  </w:footnote>
  <w:footnote w:id="38">
    <w:p w:rsidR="00A56708" w:rsidRDefault="00A56708" w:rsidP="00CC5B63">
      <w:pPr>
        <w:pStyle w:val="a5"/>
        <w:rPr>
          <w:rtl/>
        </w:rPr>
      </w:pPr>
      <w:r>
        <w:rPr>
          <w:rStyle w:val="a7"/>
        </w:rPr>
        <w:footnoteRef/>
      </w:r>
      <w:r>
        <w:rPr>
          <w:rtl/>
        </w:rPr>
        <w:t xml:space="preserve"> </w:t>
      </w:r>
      <w:r>
        <w:rPr>
          <w:rtl/>
        </w:rPr>
        <w:tab/>
      </w:r>
      <w:r>
        <w:rPr>
          <w:rFonts w:hint="cs"/>
          <w:rtl/>
        </w:rPr>
        <w:t xml:space="preserve">אמנם, לכאורה, יש בידינו מקור המלמד שלפי המשפט העברי, לשם הרשעת אדם בעבירת הרצח נדרשת כוונת המתה. כוונתנו לדבריו של רבנו חננאל בעניין "פסיק רישיה ולא ימות?" כלומר, בעניינה של פעולה שתגרום בוודאות למותו של אדם. בעניין זה הסביר רבנו חננאל, שגם לשיטתו של </w:t>
      </w:r>
      <w:r>
        <w:rPr>
          <w:rtl/>
        </w:rPr>
        <w:t xml:space="preserve">רבי שמעון, שהתיר לאדם לבצע מעשה שעלול לגרום חילול שבת כאשר אין ודאות קרובה  שכך אמנם יקרה ("דבר שאין מתכוון"), </w:t>
      </w:r>
      <w:r>
        <w:rPr>
          <w:rFonts w:hint="cs"/>
          <w:rtl/>
        </w:rPr>
        <w:t>כאשר מדובר "</w:t>
      </w:r>
      <w:r>
        <w:rPr>
          <w:rtl/>
        </w:rPr>
        <w:t>בדבר שהוא ברור, כגון אדם שחותך ראש אדם, ואומר שאין כוונתו להמיתו אלא להוציא את ממונו, שאין שומעין לו אלא דנין אותו כדין כל הורג נפש</w:t>
      </w:r>
      <w:r>
        <w:rPr>
          <w:rFonts w:hint="cs"/>
          <w:rtl/>
        </w:rPr>
        <w:t>"</w:t>
      </w:r>
      <w:r>
        <w:rPr>
          <w:rtl/>
        </w:rPr>
        <w:t>.</w:t>
      </w:r>
      <w:r>
        <w:rPr>
          <w:rFonts w:hint="cs"/>
          <w:rtl/>
        </w:rPr>
        <w:t xml:space="preserve"> (</w:t>
      </w:r>
      <w:r w:rsidRPr="003E3261">
        <w:rPr>
          <w:rFonts w:hint="cs"/>
          <w:b/>
          <w:bCs/>
          <w:rtl/>
        </w:rPr>
        <w:t>רבנו חננאל</w:t>
      </w:r>
      <w:r>
        <w:rPr>
          <w:rFonts w:hint="cs"/>
          <w:rtl/>
        </w:rPr>
        <w:t xml:space="preserve"> שבת קלג,א, וכעין דבריו גם בספר </w:t>
      </w:r>
      <w:r w:rsidRPr="007533B1">
        <w:rPr>
          <w:rFonts w:hint="cs"/>
          <w:b/>
          <w:bCs/>
          <w:rtl/>
        </w:rPr>
        <w:t>הערוך</w:t>
      </w:r>
      <w:r>
        <w:rPr>
          <w:rFonts w:hint="cs"/>
          <w:rtl/>
        </w:rPr>
        <w:t xml:space="preserve"> לרבי נתן מרומי (המאה ה-11), ערך 'פסק' ("מודה רבי שמעון בפסיק רישיה ולא ימות, פירוש: מי שחתך ראשו של חי </w:t>
      </w:r>
      <w:r>
        <w:rPr>
          <w:rtl/>
        </w:rPr>
        <w:t>–</w:t>
      </w:r>
      <w:r>
        <w:rPr>
          <w:rFonts w:hint="cs"/>
          <w:rtl/>
        </w:rPr>
        <w:t xml:space="preserve"> הכל יודעים שבחתיכת ראשו ימות, ואם אמר איני מתכוון למיתתו, אלא להוציא ממנו דם לדבר צורך </w:t>
      </w:r>
      <w:r>
        <w:rPr>
          <w:rtl/>
        </w:rPr>
        <w:t>–</w:t>
      </w:r>
      <w:r>
        <w:rPr>
          <w:rFonts w:hint="cs"/>
          <w:rtl/>
        </w:rPr>
        <w:t xml:space="preserve"> אין ממש בדבריו, אלא הרי [הוא] כמתכוון להמיתו, ורוצח הוא")).</w:t>
      </w:r>
    </w:p>
    <w:p w:rsidR="00A56708" w:rsidRDefault="00A56708" w:rsidP="00CC5B63">
      <w:pPr>
        <w:pStyle w:val="a5"/>
        <w:ind w:firstLine="0"/>
        <w:rPr>
          <w:rFonts w:hint="cs"/>
          <w:rtl/>
        </w:rPr>
      </w:pPr>
      <w:r>
        <w:rPr>
          <w:rFonts w:hint="cs"/>
          <w:rtl/>
        </w:rPr>
        <w:t xml:space="preserve">מדברים אלו ניתן להסיק שהרשעת הרוצח מותנית בכך שיתכוון להמית אדם. אם מסקנה זו הייתה נכונה, לשיטתו של רבי שמעון, הסבור שגם כאשר קיימת וודאות קרובה להתרחשות התוצאה לא ניתן לייחס לאדם חפץ בהתרחשותה של התוצאה, לא ניתן היה להרשיע אף רוצח, כל עוד לא ביצע פעולה שגורמת בוודאות למותו של אדם. מסקנה זו איננה מתקבלת על הדעת, ואמנם, רבים הבהירו שיש להבחין בין עבירות תוצאה (כרצח), שבהן אין משקל לחפצו של האדם בהתרחשותה של התוצאה, לעבירת התנהגות, שבהן מייחסים משקל גם לרצונו של העבריין בתוצאה שנגרמה בשל מעשיו. לעניין זה ראו: </w:t>
      </w:r>
      <w:r w:rsidRPr="00D04C1E">
        <w:rPr>
          <w:rFonts w:hint="cs"/>
          <w:b/>
          <w:bCs/>
          <w:rtl/>
        </w:rPr>
        <w:t xml:space="preserve">קובץ שיעורים </w:t>
      </w:r>
      <w:r>
        <w:rPr>
          <w:rFonts w:hint="cs"/>
          <w:rtl/>
        </w:rPr>
        <w:t xml:space="preserve">ב, כג, אותיות ו-ז. וכעין זה כתבו גם: </w:t>
      </w:r>
      <w:r w:rsidRPr="00D04C1E">
        <w:rPr>
          <w:rFonts w:hint="cs"/>
          <w:b/>
          <w:bCs/>
          <w:rtl/>
        </w:rPr>
        <w:t xml:space="preserve">מקור חיים </w:t>
      </w:r>
      <w:r>
        <w:rPr>
          <w:rFonts w:hint="cs"/>
          <w:rtl/>
        </w:rPr>
        <w:t xml:space="preserve">(הלכות פסח) בתחילת הפתיחה לסימן תלא; </w:t>
      </w:r>
      <w:r w:rsidRPr="00D04C1E">
        <w:rPr>
          <w:rFonts w:hint="cs"/>
          <w:b/>
          <w:bCs/>
          <w:rtl/>
        </w:rPr>
        <w:t>חלקת יואב</w:t>
      </w:r>
      <w:r>
        <w:rPr>
          <w:rFonts w:hint="cs"/>
          <w:rtl/>
        </w:rPr>
        <w:t xml:space="preserve"> א, ז; שם חלק ב, השמטות, אות ב; </w:t>
      </w:r>
      <w:r w:rsidRPr="003E3261">
        <w:rPr>
          <w:rFonts w:hint="cs"/>
          <w:b/>
          <w:bCs/>
          <w:rtl/>
        </w:rPr>
        <w:t>שערי יושר</w:t>
      </w:r>
      <w:r>
        <w:rPr>
          <w:rFonts w:hint="cs"/>
          <w:rtl/>
        </w:rPr>
        <w:t xml:space="preserve"> ג, כה ד"ה ובעיקר הענין; </w:t>
      </w:r>
      <w:r w:rsidRPr="00544825">
        <w:rPr>
          <w:rFonts w:hint="cs"/>
          <w:b/>
          <w:bCs/>
          <w:rtl/>
        </w:rPr>
        <w:t xml:space="preserve">נתיבות שלום </w:t>
      </w:r>
      <w:r>
        <w:rPr>
          <w:rFonts w:hint="cs"/>
          <w:rtl/>
        </w:rPr>
        <w:t>(גלבר) שבת סימן א, אות ו;</w:t>
      </w:r>
      <w:r w:rsidRPr="00E01FFC">
        <w:rPr>
          <w:rFonts w:hint="cs"/>
          <w:b/>
          <w:bCs/>
          <w:rtl/>
        </w:rPr>
        <w:t xml:space="preserve"> </w:t>
      </w:r>
      <w:r w:rsidRPr="00E707BF">
        <w:rPr>
          <w:rFonts w:hint="cs"/>
          <w:b/>
          <w:bCs/>
          <w:rtl/>
        </w:rPr>
        <w:t>חבה</w:t>
      </w:r>
      <w:r w:rsidRPr="00E707BF">
        <w:rPr>
          <w:b/>
          <w:bCs/>
          <w:rtl/>
        </w:rPr>
        <w:t xml:space="preserve">, </w:t>
      </w:r>
      <w:r w:rsidRPr="00E707BF">
        <w:rPr>
          <w:rFonts w:hint="cs"/>
          <w:b/>
          <w:bCs/>
          <w:rtl/>
        </w:rPr>
        <w:t>היסוד</w:t>
      </w:r>
      <w:r w:rsidRPr="00E707BF">
        <w:rPr>
          <w:b/>
          <w:bCs/>
          <w:rtl/>
        </w:rPr>
        <w:t xml:space="preserve"> </w:t>
      </w:r>
      <w:r w:rsidRPr="00E707BF">
        <w:rPr>
          <w:rFonts w:hint="cs"/>
          <w:b/>
          <w:bCs/>
          <w:rtl/>
        </w:rPr>
        <w:t>הנפשי</w:t>
      </w:r>
      <w:r>
        <w:rPr>
          <w:rFonts w:hint="cs"/>
          <w:rtl/>
        </w:rPr>
        <w:t xml:space="preserve"> עמ' 218; אברהם יהודה רוס, "פירוש הערוך למונח "פסיק רישיה ולא ימות"", </w:t>
      </w:r>
      <w:r w:rsidRPr="00573E14">
        <w:rPr>
          <w:rFonts w:hint="cs"/>
          <w:b/>
          <w:bCs/>
          <w:rtl/>
        </w:rPr>
        <w:t>המעיין</w:t>
      </w:r>
      <w:r>
        <w:rPr>
          <w:rFonts w:hint="cs"/>
          <w:rtl/>
        </w:rPr>
        <w:t xml:space="preserve"> נ(ד) תש"ע 72, 74.</w:t>
      </w:r>
    </w:p>
  </w:footnote>
  <w:footnote w:id="39">
    <w:p w:rsidR="00A56708" w:rsidRDefault="00A56708">
      <w:pPr>
        <w:pStyle w:val="a5"/>
      </w:pPr>
      <w:r>
        <w:rPr>
          <w:rStyle w:val="a7"/>
        </w:rPr>
        <w:footnoteRef/>
      </w:r>
      <w:r>
        <w:rPr>
          <w:rtl/>
        </w:rPr>
        <w:t xml:space="preserve"> </w:t>
      </w:r>
      <w:r>
        <w:rPr>
          <w:rtl/>
        </w:rPr>
        <w:tab/>
      </w:r>
      <w:r>
        <w:rPr>
          <w:rFonts w:hint="cs"/>
          <w:rtl/>
        </w:rPr>
        <w:t>דברי ההסבר להצעת החוק, עמ' 168.</w:t>
      </w:r>
    </w:p>
  </w:footnote>
  <w:footnote w:id="40">
    <w:p w:rsidR="00A56708" w:rsidRDefault="00A56708" w:rsidP="00F70B12">
      <w:pPr>
        <w:pStyle w:val="a5"/>
      </w:pPr>
      <w:r>
        <w:rPr>
          <w:rStyle w:val="a7"/>
        </w:rPr>
        <w:footnoteRef/>
      </w:r>
      <w:r>
        <w:rPr>
          <w:rtl/>
        </w:rPr>
        <w:t xml:space="preserve"> </w:t>
      </w:r>
      <w:r>
        <w:rPr>
          <w:rtl/>
        </w:rPr>
        <w:tab/>
      </w:r>
      <w:r>
        <w:rPr>
          <w:rFonts w:hint="cs"/>
          <w:rtl/>
        </w:rPr>
        <w:t xml:space="preserve">שם. תיקון זה אושר לאחרונה בוועדת החוקה, חוק ומשפט של הכנסת. מליאת הכנסת אמורה </w:t>
      </w:r>
      <w:r w:rsidRPr="00F70B12">
        <w:rPr>
          <w:rtl/>
        </w:rPr>
        <w:t>להצביע בקרוב על פיצול</w:t>
      </w:r>
      <w:r>
        <w:rPr>
          <w:rFonts w:hint="cs"/>
          <w:rtl/>
        </w:rPr>
        <w:t xml:space="preserve">ה של הצעת החוק. לאחר שיאושר הפיצול, יונח הסעיף המתוקן על שולחן הכנסת </w:t>
      </w:r>
      <w:r w:rsidRPr="00F70B12">
        <w:rPr>
          <w:rtl/>
        </w:rPr>
        <w:t>לקריאה שניה ושלישית.</w:t>
      </w:r>
    </w:p>
  </w:footnote>
  <w:footnote w:id="41">
    <w:p w:rsidR="00A56708" w:rsidRDefault="00A56708" w:rsidP="00D24F8B">
      <w:pPr>
        <w:pStyle w:val="a5"/>
        <w:rPr>
          <w:rtl/>
        </w:rPr>
      </w:pPr>
      <w:r>
        <w:rPr>
          <w:rStyle w:val="a7"/>
        </w:rPr>
        <w:footnoteRef/>
      </w:r>
      <w:r>
        <w:rPr>
          <w:rtl/>
        </w:rPr>
        <w:t xml:space="preserve"> </w:t>
      </w:r>
      <w:r>
        <w:rPr>
          <w:rtl/>
        </w:rPr>
        <w:tab/>
      </w:r>
      <w:r>
        <w:rPr>
          <w:rFonts w:hint="cs"/>
          <w:rtl/>
        </w:rPr>
        <w:t>סעיף 9 להצעת החוק (הוספת סעיף 304א).</w:t>
      </w:r>
    </w:p>
  </w:footnote>
  <w:footnote w:id="42">
    <w:p w:rsidR="00A56708" w:rsidRDefault="00A56708">
      <w:pPr>
        <w:pStyle w:val="a5"/>
        <w:rPr>
          <w:rtl/>
        </w:rPr>
      </w:pPr>
      <w:r>
        <w:rPr>
          <w:rStyle w:val="a7"/>
        </w:rPr>
        <w:footnoteRef/>
      </w:r>
      <w:r>
        <w:rPr>
          <w:rtl/>
        </w:rPr>
        <w:t xml:space="preserve"> </w:t>
      </w:r>
      <w:r>
        <w:rPr>
          <w:rtl/>
        </w:rPr>
        <w:tab/>
      </w:r>
      <w:r>
        <w:rPr>
          <w:rFonts w:hint="cs"/>
          <w:rtl/>
        </w:rPr>
        <w:t>שם.</w:t>
      </w:r>
    </w:p>
  </w:footnote>
  <w:footnote w:id="43">
    <w:p w:rsidR="00A56708" w:rsidRDefault="00A56708">
      <w:pPr>
        <w:pStyle w:val="a5"/>
      </w:pPr>
      <w:r>
        <w:rPr>
          <w:rStyle w:val="a7"/>
        </w:rPr>
        <w:footnoteRef/>
      </w:r>
      <w:r>
        <w:rPr>
          <w:rtl/>
        </w:rPr>
        <w:t xml:space="preserve"> </w:t>
      </w:r>
      <w:r>
        <w:rPr>
          <w:rtl/>
        </w:rPr>
        <w:tab/>
      </w:r>
      <w:r>
        <w:rPr>
          <w:rFonts w:hint="cs"/>
          <w:rtl/>
        </w:rPr>
        <w:t>שם.</w:t>
      </w:r>
    </w:p>
  </w:footnote>
  <w:footnote w:id="44">
    <w:p w:rsidR="00A56708" w:rsidRDefault="00A56708">
      <w:pPr>
        <w:pStyle w:val="a5"/>
      </w:pPr>
      <w:r>
        <w:rPr>
          <w:rStyle w:val="a7"/>
        </w:rPr>
        <w:footnoteRef/>
      </w:r>
      <w:r>
        <w:rPr>
          <w:rtl/>
        </w:rPr>
        <w:t xml:space="preserve"> </w:t>
      </w:r>
      <w:r>
        <w:rPr>
          <w:rtl/>
        </w:rPr>
        <w:tab/>
      </w:r>
      <w:r>
        <w:rPr>
          <w:rFonts w:hint="cs"/>
          <w:rtl/>
        </w:rPr>
        <w:t>על פי דברי ההסבר להצעת החוק, עמ' 178.</w:t>
      </w:r>
    </w:p>
  </w:footnote>
  <w:footnote w:id="45">
    <w:p w:rsidR="00A56708" w:rsidRDefault="00A56708" w:rsidP="00634120">
      <w:pPr>
        <w:pStyle w:val="a5"/>
        <w:rPr>
          <w:rtl/>
        </w:rPr>
      </w:pPr>
      <w:r>
        <w:rPr>
          <w:rStyle w:val="a7"/>
        </w:rPr>
        <w:footnoteRef/>
      </w:r>
      <w:r>
        <w:rPr>
          <w:rtl/>
        </w:rPr>
        <w:t xml:space="preserve"> </w:t>
      </w:r>
      <w:r>
        <w:rPr>
          <w:rtl/>
        </w:rPr>
        <w:tab/>
      </w:r>
      <w:r>
        <w:rPr>
          <w:rFonts w:hint="cs"/>
          <w:rtl/>
        </w:rPr>
        <w:t>להרחבה בעניינים אלו ראו, יעקב חבה, "</w:t>
      </w:r>
      <w:r w:rsidRPr="005A188A">
        <w:rPr>
          <w:rtl/>
        </w:rPr>
        <w:t>מבחנים לקביעת רמת האשם בעבירת רצח במשפט העברי</w:t>
      </w:r>
      <w:r>
        <w:rPr>
          <w:rFonts w:hint="cs"/>
          <w:rtl/>
        </w:rPr>
        <w:t xml:space="preserve">" </w:t>
      </w:r>
      <w:r w:rsidRPr="005A188A">
        <w:rPr>
          <w:rFonts w:hint="cs"/>
          <w:b/>
          <w:bCs/>
          <w:rtl/>
        </w:rPr>
        <w:t>קריית המשפט</w:t>
      </w:r>
      <w:r>
        <w:rPr>
          <w:rFonts w:hint="cs"/>
          <w:rtl/>
        </w:rPr>
        <w:t xml:space="preserve"> ב (תשס"ב-2002), 265.</w:t>
      </w:r>
    </w:p>
  </w:footnote>
  <w:footnote w:id="46">
    <w:p w:rsidR="00A56708" w:rsidRDefault="00A56708">
      <w:pPr>
        <w:pStyle w:val="a5"/>
      </w:pPr>
      <w:r>
        <w:rPr>
          <w:rStyle w:val="a7"/>
        </w:rPr>
        <w:footnoteRef/>
      </w:r>
      <w:r>
        <w:rPr>
          <w:rtl/>
        </w:rPr>
        <w:t xml:space="preserve"> </w:t>
      </w:r>
      <w:r>
        <w:rPr>
          <w:rtl/>
        </w:rPr>
        <w:tab/>
      </w:r>
      <w:r w:rsidRPr="005A188A">
        <w:rPr>
          <w:rFonts w:hint="cs"/>
          <w:b/>
          <w:bCs/>
          <w:rtl/>
        </w:rPr>
        <w:t>משנה תורה</w:t>
      </w:r>
      <w:r>
        <w:rPr>
          <w:rFonts w:hint="cs"/>
          <w:rtl/>
        </w:rPr>
        <w:t xml:space="preserve"> הלכות רוצח ושמירת נפש ו, א-ה.</w:t>
      </w:r>
    </w:p>
  </w:footnote>
  <w:footnote w:id="47">
    <w:p w:rsidR="00A56708" w:rsidRDefault="00A56708">
      <w:pPr>
        <w:pStyle w:val="a5"/>
        <w:rPr>
          <w:rtl/>
        </w:rPr>
      </w:pPr>
      <w:r>
        <w:rPr>
          <w:rStyle w:val="a7"/>
        </w:rPr>
        <w:footnoteRef/>
      </w:r>
      <w:r>
        <w:rPr>
          <w:rtl/>
        </w:rPr>
        <w:t xml:space="preserve"> </w:t>
      </w:r>
      <w:r>
        <w:rPr>
          <w:rtl/>
        </w:rPr>
        <w:tab/>
      </w:r>
      <w:r w:rsidRPr="00634120">
        <w:rPr>
          <w:rtl/>
        </w:rPr>
        <w:t>ההבדל בין 'אונס' ל'שגגה הקרובה לאונס' קשור למידת השליטה שיש לאדם על התרחשותה של התוצאה. באונס גמור, לאדם שגרם את המוות לא הייתה כל שליטה על התרחשותה של התוצאה העגומה, ולא היה בידו למנעה (למשל: אדם שנכבל והושלך על תינוק והרגו). לעומת זאת, ב'שגגה הקרובה לאונס', האדם שגרם למותו של זולתו יכול היה להימנע מפעולה או לפעול בדרך שתמנע את המוות, אך הוא פעל באופן סביר, ולא יכול היה לצפות שפעולותיו יגרמו למותו של אדם.</w:t>
      </w:r>
    </w:p>
  </w:footnote>
  <w:footnote w:id="48">
    <w:p w:rsidR="00A56708" w:rsidRDefault="00A56708">
      <w:pPr>
        <w:pStyle w:val="a5"/>
        <w:rPr>
          <w:rtl/>
        </w:rPr>
      </w:pPr>
      <w:r>
        <w:rPr>
          <w:rStyle w:val="a7"/>
        </w:rPr>
        <w:footnoteRef/>
      </w:r>
      <w:r>
        <w:rPr>
          <w:rtl/>
        </w:rPr>
        <w:t xml:space="preserve"> </w:t>
      </w:r>
      <w:r>
        <w:rPr>
          <w:rtl/>
        </w:rPr>
        <w:tab/>
      </w:r>
      <w:r w:rsidRPr="009D2C1B">
        <w:rPr>
          <w:rFonts w:hint="cs"/>
          <w:b/>
          <w:bCs/>
          <w:rtl/>
        </w:rPr>
        <w:t>שו"ת מהר"ם מלובלין</w:t>
      </w:r>
      <w:r>
        <w:rPr>
          <w:rFonts w:hint="cs"/>
          <w:rtl/>
        </w:rPr>
        <w:t xml:space="preserve"> מג.</w:t>
      </w:r>
    </w:p>
  </w:footnote>
  <w:footnote w:id="49">
    <w:p w:rsidR="00A56708" w:rsidRDefault="00A56708" w:rsidP="0041350C">
      <w:pPr>
        <w:pStyle w:val="a5"/>
        <w:rPr>
          <w:rtl/>
        </w:rPr>
      </w:pPr>
      <w:r>
        <w:rPr>
          <w:rStyle w:val="a7"/>
        </w:rPr>
        <w:footnoteRef/>
      </w:r>
      <w:r>
        <w:rPr>
          <w:rtl/>
        </w:rPr>
        <w:t xml:space="preserve"> </w:t>
      </w:r>
      <w:r>
        <w:rPr>
          <w:rtl/>
        </w:rPr>
        <w:tab/>
      </w:r>
      <w:r>
        <w:rPr>
          <w:rFonts w:hint="cs"/>
          <w:rtl/>
        </w:rPr>
        <w:t>אמנם, גם מי שהמית אדם בנסיבות אלו נחשב חוטא, וצריך כפרה על כך שגרם למותו של אדם, וראו בעניין זה ב</w:t>
      </w:r>
      <w:r w:rsidRPr="009D2C1B">
        <w:rPr>
          <w:rFonts w:hint="cs"/>
          <w:b/>
          <w:bCs/>
          <w:rtl/>
        </w:rPr>
        <w:t xml:space="preserve">שו"ת מהרי"א הלוי </w:t>
      </w:r>
      <w:r>
        <w:rPr>
          <w:rFonts w:hint="cs"/>
          <w:rtl/>
        </w:rPr>
        <w:t xml:space="preserve">א, קלב.  </w:t>
      </w:r>
    </w:p>
  </w:footnote>
  <w:footnote w:id="50">
    <w:p w:rsidR="00A56708" w:rsidRDefault="00A56708" w:rsidP="009D2C1B">
      <w:pPr>
        <w:pStyle w:val="a5"/>
        <w:rPr>
          <w:rtl/>
        </w:rPr>
      </w:pPr>
      <w:r>
        <w:rPr>
          <w:rStyle w:val="a7"/>
        </w:rPr>
        <w:footnoteRef/>
      </w:r>
      <w:r>
        <w:rPr>
          <w:rtl/>
        </w:rPr>
        <w:t xml:space="preserve"> </w:t>
      </w:r>
      <w:r>
        <w:rPr>
          <w:b/>
          <w:bCs/>
          <w:rtl/>
        </w:rPr>
        <w:tab/>
      </w:r>
      <w:r w:rsidRPr="009D2C1B">
        <w:rPr>
          <w:rFonts w:hint="cs"/>
          <w:b/>
          <w:bCs/>
          <w:rtl/>
        </w:rPr>
        <w:t>דברים</w:t>
      </w:r>
      <w:r>
        <w:rPr>
          <w:rFonts w:hint="cs"/>
          <w:rtl/>
        </w:rPr>
        <w:t xml:space="preserve"> יט, ה.</w:t>
      </w:r>
    </w:p>
  </w:footnote>
  <w:footnote w:id="51">
    <w:p w:rsidR="00A56708" w:rsidRDefault="00A56708" w:rsidP="004021AA">
      <w:pPr>
        <w:pStyle w:val="a5"/>
      </w:pPr>
      <w:r>
        <w:rPr>
          <w:rStyle w:val="a7"/>
        </w:rPr>
        <w:footnoteRef/>
      </w:r>
      <w:r>
        <w:rPr>
          <w:rtl/>
        </w:rPr>
        <w:t xml:space="preserve"> </w:t>
      </w:r>
      <w:r>
        <w:rPr>
          <w:b/>
          <w:bCs/>
          <w:rtl/>
        </w:rPr>
        <w:tab/>
      </w:r>
      <w:r w:rsidRPr="004E30C3">
        <w:rPr>
          <w:rFonts w:hint="cs"/>
          <w:b/>
          <w:bCs/>
          <w:rtl/>
        </w:rPr>
        <w:t>תלמוד בבלי</w:t>
      </w:r>
      <w:r>
        <w:rPr>
          <w:rFonts w:hint="cs"/>
          <w:rtl/>
        </w:rPr>
        <w:t xml:space="preserve"> מכות ח,א. </w:t>
      </w:r>
    </w:p>
  </w:footnote>
  <w:footnote w:id="52">
    <w:p w:rsidR="00A56708" w:rsidRDefault="00A56708">
      <w:pPr>
        <w:pStyle w:val="a5"/>
      </w:pPr>
      <w:r>
        <w:rPr>
          <w:rStyle w:val="a7"/>
        </w:rPr>
        <w:footnoteRef/>
      </w:r>
      <w:r>
        <w:rPr>
          <w:rtl/>
        </w:rPr>
        <w:t xml:space="preserve"> </w:t>
      </w:r>
      <w:r>
        <w:rPr>
          <w:rtl/>
        </w:rPr>
        <w:tab/>
      </w:r>
      <w:r w:rsidRPr="00634120">
        <w:rPr>
          <w:rFonts w:hint="cs"/>
          <w:b/>
          <w:bCs/>
          <w:rtl/>
        </w:rPr>
        <w:t>משנה</w:t>
      </w:r>
      <w:r>
        <w:rPr>
          <w:rFonts w:hint="cs"/>
          <w:rtl/>
        </w:rPr>
        <w:t xml:space="preserve"> מכות ב, ב.</w:t>
      </w:r>
    </w:p>
  </w:footnote>
  <w:footnote w:id="53">
    <w:p w:rsidR="00A56708" w:rsidRDefault="00A56708" w:rsidP="004021AA">
      <w:pPr>
        <w:pStyle w:val="a5"/>
      </w:pPr>
      <w:r>
        <w:rPr>
          <w:rStyle w:val="a7"/>
        </w:rPr>
        <w:footnoteRef/>
      </w:r>
      <w:r>
        <w:rPr>
          <w:rtl/>
        </w:rPr>
        <w:t xml:space="preserve"> </w:t>
      </w:r>
      <w:r>
        <w:rPr>
          <w:rtl/>
        </w:rPr>
        <w:tab/>
      </w:r>
      <w:r>
        <w:rPr>
          <w:rFonts w:hint="cs"/>
          <w:spacing w:val="-2"/>
          <w:rtl/>
        </w:rPr>
        <w:t xml:space="preserve">מלשון זו ניתן להבין </w:t>
      </w:r>
      <w:r w:rsidRPr="009D2C1B">
        <w:rPr>
          <w:rFonts w:hint="cs"/>
          <w:spacing w:val="-2"/>
          <w:rtl/>
        </w:rPr>
        <w:t xml:space="preserve">אמנם, </w:t>
      </w:r>
      <w:r>
        <w:rPr>
          <w:rFonts w:hint="cs"/>
          <w:spacing w:val="-2"/>
          <w:rtl/>
        </w:rPr>
        <w:t xml:space="preserve">שהזורק נחשב רוצח בכוונה תחילה ממש. אולם, </w:t>
      </w:r>
      <w:r w:rsidRPr="009D2C1B">
        <w:rPr>
          <w:rFonts w:hint="cs"/>
          <w:spacing w:val="-2"/>
          <w:rtl/>
        </w:rPr>
        <w:t>מן הסוגיה ב</w:t>
      </w:r>
      <w:r>
        <w:rPr>
          <w:rFonts w:hint="cs"/>
          <w:rtl/>
        </w:rPr>
        <w:t xml:space="preserve">בבא קמא לב,ב עולה שמי שזורק אבן לרשות הרבים ובכך גרם למותו של אדם אינו "מזיד" ממש, אלא "שוגג הקרוב למזיד". יש </w:t>
      </w:r>
      <w:r w:rsidRPr="009D2C1B">
        <w:rPr>
          <w:spacing w:val="-2"/>
          <w:rtl/>
        </w:rPr>
        <w:t xml:space="preserve">מי שסבר, שלפנינו מחלוקת עקרונית בין שתי סוגיות, כאשר לפי הסוגיה הראשונה, דינו של </w:t>
      </w:r>
      <w:r>
        <w:rPr>
          <w:rFonts w:hint="cs"/>
          <w:spacing w:val="-2"/>
          <w:rtl/>
        </w:rPr>
        <w:t xml:space="preserve">זורק האבן </w:t>
      </w:r>
      <w:r w:rsidRPr="009D2C1B">
        <w:rPr>
          <w:spacing w:val="-2"/>
          <w:rtl/>
        </w:rPr>
        <w:t>כדין רוצח בכוונה תחילה, בעוד שלפי הסוגיה השנייה, דינו כדין שוגג קרוב למזיד, ולא כדין הרוצח בכוונה תחילה</w:t>
      </w:r>
      <w:r w:rsidRPr="009D2C1B">
        <w:rPr>
          <w:rFonts w:hint="cs"/>
          <w:spacing w:val="-2"/>
          <w:rtl/>
        </w:rPr>
        <w:t xml:space="preserve"> (</w:t>
      </w:r>
      <w:r w:rsidRPr="009D2C1B">
        <w:rPr>
          <w:rFonts w:hint="cs"/>
          <w:b/>
          <w:bCs/>
          <w:spacing w:val="-2"/>
          <w:rtl/>
        </w:rPr>
        <w:t>שו"ת מהרי"א הלוי</w:t>
      </w:r>
      <w:r w:rsidRPr="009D2C1B">
        <w:rPr>
          <w:rFonts w:hint="cs"/>
          <w:spacing w:val="-2"/>
          <w:rtl/>
        </w:rPr>
        <w:t xml:space="preserve"> א, קלב). אולם, לדעת רוב הפוסקים, </w:t>
      </w:r>
      <w:r w:rsidRPr="009D2C1B">
        <w:rPr>
          <w:rFonts w:hint="cs"/>
          <w:spacing w:val="-2"/>
          <w:rtl/>
          <w:lang w:eastAsia="he-IL"/>
        </w:rPr>
        <w:t>אין כאן מחלוקת בין הסוגיות, אלא שהסוגיה הראשונה לא דייקה בלשונה, וכינתה את ה"שוגג קרוב למזיד" כ"מזיד"</w:t>
      </w:r>
      <w:r w:rsidRPr="009D2C1B">
        <w:rPr>
          <w:rFonts w:hint="cs"/>
          <w:spacing w:val="-2"/>
          <w:rtl/>
        </w:rPr>
        <w:t xml:space="preserve">. להרחבה בעניין זה ראו אצל </w:t>
      </w:r>
      <w:r w:rsidRPr="009D2C1B">
        <w:rPr>
          <w:spacing w:val="-2"/>
          <w:rtl/>
        </w:rPr>
        <w:t xml:space="preserve">יעקב חבה, "מבחנים לקביעת רמת האשם בעבירת רצח במשפט העברי" </w:t>
      </w:r>
      <w:r w:rsidRPr="009D2C1B">
        <w:rPr>
          <w:b/>
          <w:bCs/>
          <w:spacing w:val="-2"/>
          <w:rtl/>
        </w:rPr>
        <w:t>קריית המשפט</w:t>
      </w:r>
      <w:r w:rsidRPr="009D2C1B">
        <w:rPr>
          <w:spacing w:val="-2"/>
          <w:rtl/>
        </w:rPr>
        <w:t xml:space="preserve"> ב (תשס"ב-2002) 265</w:t>
      </w:r>
      <w:r w:rsidRPr="009D2C1B">
        <w:rPr>
          <w:rFonts w:hint="cs"/>
          <w:spacing w:val="-2"/>
          <w:rtl/>
        </w:rPr>
        <w:t>, 277</w:t>
      </w:r>
      <w:r>
        <w:rPr>
          <w:rFonts w:hint="cs"/>
          <w:rtl/>
        </w:rPr>
        <w:t xml:space="preserve"> (להלן: חבה, רמת האשם). </w:t>
      </w:r>
    </w:p>
  </w:footnote>
  <w:footnote w:id="54">
    <w:p w:rsidR="00A56708" w:rsidRDefault="00A56708">
      <w:pPr>
        <w:pStyle w:val="a5"/>
      </w:pPr>
      <w:r>
        <w:rPr>
          <w:rStyle w:val="a7"/>
        </w:rPr>
        <w:footnoteRef/>
      </w:r>
      <w:r>
        <w:rPr>
          <w:rtl/>
        </w:rPr>
        <w:t xml:space="preserve"> </w:t>
      </w:r>
      <w:r>
        <w:rPr>
          <w:rtl/>
        </w:rPr>
        <w:tab/>
      </w:r>
      <w:r w:rsidRPr="00317517">
        <w:rPr>
          <w:rFonts w:hint="cs"/>
          <w:b/>
          <w:bCs/>
          <w:rtl/>
        </w:rPr>
        <w:t>תוספות</w:t>
      </w:r>
      <w:r>
        <w:rPr>
          <w:rFonts w:hint="cs"/>
          <w:rtl/>
        </w:rPr>
        <w:t xml:space="preserve"> מכות ח,א ד"ה לא צריכא.</w:t>
      </w:r>
    </w:p>
  </w:footnote>
  <w:footnote w:id="55">
    <w:p w:rsidR="00A56708" w:rsidRDefault="00A56708" w:rsidP="00E707BF">
      <w:pPr>
        <w:pStyle w:val="a5"/>
      </w:pPr>
      <w:r>
        <w:rPr>
          <w:rStyle w:val="a7"/>
        </w:rPr>
        <w:footnoteRef/>
      </w:r>
      <w:r>
        <w:rPr>
          <w:rtl/>
        </w:rPr>
        <w:t xml:space="preserve"> </w:t>
      </w:r>
      <w:r>
        <w:rPr>
          <w:rtl/>
        </w:rPr>
        <w:tab/>
      </w:r>
      <w:r>
        <w:rPr>
          <w:rFonts w:hint="cs"/>
          <w:rtl/>
        </w:rPr>
        <w:t>דרשה זו אינה מצויה בתלמוד הבבלי. ב</w:t>
      </w:r>
      <w:r w:rsidRPr="00771B13">
        <w:rPr>
          <w:rFonts w:hint="cs"/>
          <w:b/>
          <w:bCs/>
          <w:rtl/>
        </w:rPr>
        <w:t>משנה</w:t>
      </w:r>
      <w:r>
        <w:rPr>
          <w:rFonts w:hint="cs"/>
          <w:rtl/>
        </w:rPr>
        <w:t xml:space="preserve"> מכות ב, ב (לפי הנוסח שבתלמוד הבבלי, דפוס וילנה) מופיע: "</w:t>
      </w:r>
      <w:r>
        <w:rPr>
          <w:rtl/>
        </w:rPr>
        <w:t>ר</w:t>
      </w:r>
      <w:r>
        <w:rPr>
          <w:rFonts w:hint="cs"/>
          <w:rtl/>
        </w:rPr>
        <w:t xml:space="preserve">בי אליעזר </w:t>
      </w:r>
      <w:r>
        <w:rPr>
          <w:rtl/>
        </w:rPr>
        <w:t>בן יעקב אומר: אם מכשיצאתה האבן מידו הוציא הלה את ראשו וקבלה – ה</w:t>
      </w:r>
      <w:r>
        <w:rPr>
          <w:rFonts w:hint="cs"/>
          <w:rtl/>
        </w:rPr>
        <w:t xml:space="preserve">רי זה </w:t>
      </w:r>
      <w:r>
        <w:rPr>
          <w:rtl/>
        </w:rPr>
        <w:t xml:space="preserve">פטור. זרק את האבן לחצרו והרג, אם יש רשות </w:t>
      </w:r>
      <w:r w:rsidRPr="00771B13">
        <w:rPr>
          <w:b/>
          <w:bCs/>
          <w:rtl/>
        </w:rPr>
        <w:t xml:space="preserve">לניזק </w:t>
      </w:r>
      <w:r>
        <w:rPr>
          <w:rtl/>
        </w:rPr>
        <w:t>ליכנס לשם – גולה</w:t>
      </w:r>
      <w:r>
        <w:rPr>
          <w:rFonts w:hint="cs"/>
          <w:rtl/>
        </w:rPr>
        <w:t xml:space="preserve">". בחלק מן הדפוסים הנוסח הוא: אם יש רשות </w:t>
      </w:r>
      <w:r w:rsidRPr="00771B13">
        <w:rPr>
          <w:rFonts w:hint="cs"/>
          <w:b/>
          <w:bCs/>
          <w:rtl/>
        </w:rPr>
        <w:t>לניזק ולמזיק</w:t>
      </w:r>
      <w:r>
        <w:rPr>
          <w:rFonts w:hint="cs"/>
          <w:rtl/>
        </w:rPr>
        <w:t xml:space="preserve">...". נוסח זה מתאים לדרשת ראב"י כפי שהיא מובאת בתלמוד הירושלמי, וזהו הנוסח המצוי במשנה מכות ב, ב, דפוס וילנה. </w:t>
      </w:r>
      <w:r w:rsidRPr="00771B13">
        <w:rPr>
          <w:rFonts w:hint="cs"/>
          <w:b/>
          <w:bCs/>
          <w:rtl/>
        </w:rPr>
        <w:t>תוספות יום טוב</w:t>
      </w:r>
      <w:r>
        <w:rPr>
          <w:rFonts w:hint="cs"/>
          <w:rtl/>
        </w:rPr>
        <w:t xml:space="preserve"> על המשנה (שם) מציע, שהמילה "ולמזיק" נועדה לשלול הבנה שגויה, שלפיה, כאשר יש למזיק רשות להיכנס לרשות שבה נפגע הניזק, אין הוא אשם כלל, משום שהיה על הניזק להישמר ממנו. כעין דבריו כתב גם ב</w:t>
      </w:r>
      <w:r w:rsidRPr="00771B13">
        <w:rPr>
          <w:rFonts w:hint="cs"/>
          <w:b/>
          <w:bCs/>
          <w:rtl/>
        </w:rPr>
        <w:t xml:space="preserve">תפארת ישראל </w:t>
      </w:r>
      <w:r>
        <w:rPr>
          <w:rFonts w:hint="cs"/>
          <w:rtl/>
        </w:rPr>
        <w:t>יכין, אות טו, אך הוסיף, שאם יש רק לניזק רשות להיכנס לרשות שבה הוא נפגע, האדם שגרם למותו בשגגה אינו גולה, כי אשמתו היא בגדר "שוגג קרוב למזיד". וראו לעניין הנוסח גם ב</w:t>
      </w:r>
      <w:r w:rsidRPr="00771B13">
        <w:rPr>
          <w:rFonts w:hint="cs"/>
          <w:b/>
          <w:bCs/>
          <w:rtl/>
        </w:rPr>
        <w:t>חידושי המהרש"א</w:t>
      </w:r>
      <w:r>
        <w:rPr>
          <w:rFonts w:hint="cs"/>
          <w:rtl/>
        </w:rPr>
        <w:t xml:space="preserve"> מכות ח,א (סבור שיש להשמיט את המילה "והמזיק"); </w:t>
      </w:r>
      <w:r w:rsidRPr="00771B13">
        <w:rPr>
          <w:rFonts w:hint="cs"/>
          <w:b/>
          <w:bCs/>
          <w:rtl/>
        </w:rPr>
        <w:t>דקדוקי סופרים</w:t>
      </w:r>
      <w:r>
        <w:rPr>
          <w:rFonts w:hint="cs"/>
          <w:rtl/>
        </w:rPr>
        <w:t xml:space="preserve"> מכות ח,א (סבור שהנוסח המדויק הוא "שאין רשות ליכנס שם", כנוסח המצוי ב</w:t>
      </w:r>
      <w:r w:rsidRPr="00771B13">
        <w:rPr>
          <w:b/>
          <w:bCs/>
          <w:rtl/>
        </w:rPr>
        <w:t xml:space="preserve">פסיקתא זוטרתא </w:t>
      </w:r>
      <w:r>
        <w:rPr>
          <w:rtl/>
        </w:rPr>
        <w:t>(לקח טוב) פרשת שופטים</w:t>
      </w:r>
      <w:r>
        <w:rPr>
          <w:rFonts w:hint="cs"/>
          <w:rtl/>
        </w:rPr>
        <w:t>).</w:t>
      </w:r>
    </w:p>
  </w:footnote>
  <w:footnote w:id="56">
    <w:p w:rsidR="00A56708" w:rsidRDefault="00A56708">
      <w:pPr>
        <w:pStyle w:val="a5"/>
      </w:pPr>
      <w:r>
        <w:rPr>
          <w:rStyle w:val="a7"/>
        </w:rPr>
        <w:footnoteRef/>
      </w:r>
      <w:r>
        <w:rPr>
          <w:rtl/>
        </w:rPr>
        <w:t xml:space="preserve"> </w:t>
      </w:r>
      <w:r>
        <w:rPr>
          <w:rtl/>
        </w:rPr>
        <w:tab/>
      </w:r>
      <w:r w:rsidRPr="00317517">
        <w:rPr>
          <w:rFonts w:hint="cs"/>
          <w:b/>
          <w:bCs/>
          <w:rtl/>
        </w:rPr>
        <w:t>תלמוד ירושלמי</w:t>
      </w:r>
      <w:r>
        <w:rPr>
          <w:rFonts w:hint="cs"/>
          <w:rtl/>
        </w:rPr>
        <w:t xml:space="preserve"> (וילנה) כתובות ב, ג.</w:t>
      </w:r>
    </w:p>
  </w:footnote>
  <w:footnote w:id="57">
    <w:p w:rsidR="00A56708" w:rsidRDefault="00A56708" w:rsidP="004021AA">
      <w:pPr>
        <w:pStyle w:val="a5"/>
      </w:pPr>
      <w:r>
        <w:rPr>
          <w:rStyle w:val="a7"/>
        </w:rPr>
        <w:footnoteRef/>
      </w:r>
      <w:r>
        <w:rPr>
          <w:rtl/>
        </w:rPr>
        <w:t xml:space="preserve"> </w:t>
      </w:r>
      <w:r>
        <w:rPr>
          <w:rtl/>
        </w:rPr>
        <w:tab/>
      </w:r>
      <w:r w:rsidRPr="00856304">
        <w:rPr>
          <w:rFonts w:hint="cs"/>
          <w:spacing w:val="-4"/>
          <w:rtl/>
        </w:rPr>
        <w:t>בתלמוד הבבלי מובאת דרשת רבי אליעזר בן יעקב בצורה שונה: "</w:t>
      </w:r>
      <w:r w:rsidRPr="00856304">
        <w:rPr>
          <w:spacing w:val="-4"/>
          <w:rtl/>
        </w:rPr>
        <w:t>ת</w:t>
      </w:r>
      <w:r w:rsidRPr="00856304">
        <w:rPr>
          <w:rFonts w:hint="cs"/>
          <w:spacing w:val="-4"/>
          <w:rtl/>
        </w:rPr>
        <w:t>נו רבנן: '</w:t>
      </w:r>
      <w:r w:rsidRPr="00856304">
        <w:rPr>
          <w:spacing w:val="-4"/>
          <w:rtl/>
        </w:rPr>
        <w:t>ומצא</w:t>
      </w:r>
      <w:r w:rsidRPr="00856304">
        <w:rPr>
          <w:rFonts w:hint="cs"/>
          <w:spacing w:val="-4"/>
          <w:rtl/>
        </w:rPr>
        <w:t>'</w:t>
      </w:r>
      <w:r w:rsidRPr="00856304">
        <w:rPr>
          <w:spacing w:val="-4"/>
          <w:rtl/>
        </w:rPr>
        <w:t xml:space="preserve"> - פרט לממציא את עצמו, מכאן אמר רבי אליעזר בן יעקב: אם משיצתה האבן מידו הוציא הלה את ראשו וקבלה – פטור</w:t>
      </w:r>
      <w:r w:rsidRPr="00856304">
        <w:rPr>
          <w:rFonts w:hint="cs"/>
          <w:spacing w:val="-4"/>
          <w:rtl/>
        </w:rPr>
        <w:t>" (</w:t>
      </w:r>
      <w:r w:rsidRPr="00856304">
        <w:rPr>
          <w:rFonts w:hint="cs"/>
          <w:b/>
          <w:bCs/>
          <w:spacing w:val="-4"/>
          <w:rtl/>
        </w:rPr>
        <w:t>תלמוד בבלי</w:t>
      </w:r>
      <w:r w:rsidRPr="00856304">
        <w:rPr>
          <w:rFonts w:hint="cs"/>
          <w:spacing w:val="-4"/>
          <w:rtl/>
        </w:rPr>
        <w:t xml:space="preserve"> מכות ח,א). לפי דרשה זו, דרשת רבי אליעזר בן יעקב לא נועדה לתלות את עונש הגלות בכך ש</w:t>
      </w:r>
      <w:r w:rsidRPr="00856304">
        <w:rPr>
          <w:rFonts w:hint="cs"/>
          <w:b/>
          <w:bCs/>
          <w:spacing w:val="-4"/>
          <w:rtl/>
        </w:rPr>
        <w:t>הפוגע</w:t>
      </w:r>
      <w:r w:rsidRPr="00856304">
        <w:rPr>
          <w:rFonts w:hint="cs"/>
          <w:spacing w:val="-4"/>
          <w:rtl/>
        </w:rPr>
        <w:t xml:space="preserve"> יפעל ברשות, אלא בכך ש</w:t>
      </w:r>
      <w:r w:rsidRPr="00856304">
        <w:rPr>
          <w:rFonts w:hint="cs"/>
          <w:b/>
          <w:bCs/>
          <w:spacing w:val="-4"/>
          <w:rtl/>
        </w:rPr>
        <w:t>הנפגע</w:t>
      </w:r>
      <w:r w:rsidRPr="00856304">
        <w:rPr>
          <w:rFonts w:hint="cs"/>
          <w:spacing w:val="-4"/>
          <w:rtl/>
        </w:rPr>
        <w:t xml:space="preserve"> יפעל ברשות</w:t>
      </w:r>
      <w:r>
        <w:rPr>
          <w:rFonts w:hint="cs"/>
          <w:rtl/>
        </w:rPr>
        <w:t>.</w:t>
      </w:r>
    </w:p>
  </w:footnote>
  <w:footnote w:id="58">
    <w:p w:rsidR="00A56708" w:rsidRDefault="00A56708" w:rsidP="00260D86">
      <w:pPr>
        <w:pStyle w:val="a5"/>
      </w:pPr>
      <w:r>
        <w:rPr>
          <w:rStyle w:val="a7"/>
        </w:rPr>
        <w:footnoteRef/>
      </w:r>
      <w:r>
        <w:rPr>
          <w:rtl/>
        </w:rPr>
        <w:t xml:space="preserve"> </w:t>
      </w:r>
      <w:r>
        <w:rPr>
          <w:rtl/>
        </w:rPr>
        <w:tab/>
      </w:r>
      <w:r>
        <w:rPr>
          <w:rFonts w:hint="cs"/>
          <w:rtl/>
        </w:rPr>
        <w:t xml:space="preserve">יש להדגיש, שהגדרתה של סתירת הכותל כפעולה שנעשתה "כדין", אינה משחררת את הסותר מן החובה </w:t>
      </w:r>
      <w:r w:rsidRPr="00597A7D">
        <w:rPr>
          <w:rtl/>
        </w:rPr>
        <w:t>להזהיר את הע</w:t>
      </w:r>
      <w:r>
        <w:rPr>
          <w:rFonts w:hint="cs"/>
          <w:rtl/>
        </w:rPr>
        <w:t>ו</w:t>
      </w:r>
      <w:r w:rsidRPr="00597A7D">
        <w:rPr>
          <w:rtl/>
        </w:rPr>
        <w:t>ברים ושבים ולהרחיקם</w:t>
      </w:r>
      <w:r>
        <w:rPr>
          <w:rFonts w:hint="cs"/>
          <w:rtl/>
        </w:rPr>
        <w:t>, לבל יינזקו.</w:t>
      </w:r>
    </w:p>
  </w:footnote>
  <w:footnote w:id="59">
    <w:p w:rsidR="00A56708" w:rsidRDefault="00A56708" w:rsidP="00DF225E">
      <w:pPr>
        <w:pStyle w:val="a5"/>
      </w:pPr>
      <w:r>
        <w:rPr>
          <w:rStyle w:val="a7"/>
        </w:rPr>
        <w:footnoteRef/>
      </w:r>
      <w:r>
        <w:rPr>
          <w:rtl/>
        </w:rPr>
        <w:t xml:space="preserve"> </w:t>
      </w:r>
      <w:r>
        <w:rPr>
          <w:rtl/>
        </w:rPr>
        <w:tab/>
      </w:r>
      <w:r>
        <w:rPr>
          <w:rFonts w:hint="cs"/>
          <w:rtl/>
        </w:rPr>
        <w:t>אין כוונתו ל'מזיד' ממש (כוונה תחילה) בהכרח, שהרי חבה עצמו מודה שהתלמוד הירושלמי אינו מבהיר מה דינו של מי שזורק אבן לרשות הרבים מבלי שתהיה לו הרשאה חוקית לבצע את הפעולה שגרמה לנפילת האבן, אף שברור שדינו אינו גלות (</w:t>
      </w:r>
      <w:r w:rsidRPr="00412EB3">
        <w:rPr>
          <w:rFonts w:hint="cs"/>
          <w:b/>
          <w:bCs/>
          <w:rtl/>
        </w:rPr>
        <w:t>חבה, רמת האשם</w:t>
      </w:r>
      <w:r>
        <w:rPr>
          <w:rFonts w:hint="cs"/>
          <w:rtl/>
        </w:rPr>
        <w:t xml:space="preserve"> עמ' 274).</w:t>
      </w:r>
    </w:p>
  </w:footnote>
  <w:footnote w:id="60">
    <w:p w:rsidR="00A56708" w:rsidRDefault="00A56708" w:rsidP="00DF225E">
      <w:pPr>
        <w:pStyle w:val="a5"/>
        <w:rPr>
          <w:rtl/>
        </w:rPr>
      </w:pPr>
      <w:r>
        <w:rPr>
          <w:rStyle w:val="a7"/>
        </w:rPr>
        <w:footnoteRef/>
      </w:r>
      <w:r>
        <w:rPr>
          <w:rtl/>
        </w:rPr>
        <w:t xml:space="preserve"> </w:t>
      </w:r>
      <w:r>
        <w:rPr>
          <w:rtl/>
        </w:rPr>
        <w:tab/>
      </w:r>
      <w:r w:rsidRPr="00412EB3">
        <w:rPr>
          <w:rFonts w:hint="cs"/>
          <w:b/>
          <w:bCs/>
          <w:rtl/>
        </w:rPr>
        <w:t>חבה, רמת האשם</w:t>
      </w:r>
      <w:r>
        <w:rPr>
          <w:rFonts w:hint="cs"/>
          <w:rtl/>
        </w:rPr>
        <w:t xml:space="preserve"> עמ' 276.</w:t>
      </w:r>
    </w:p>
  </w:footnote>
  <w:footnote w:id="61">
    <w:p w:rsidR="00A56708" w:rsidRDefault="00A56708">
      <w:pPr>
        <w:pStyle w:val="a5"/>
      </w:pPr>
      <w:r>
        <w:rPr>
          <w:rStyle w:val="a7"/>
        </w:rPr>
        <w:footnoteRef/>
      </w:r>
      <w:r>
        <w:rPr>
          <w:rtl/>
        </w:rPr>
        <w:t xml:space="preserve"> </w:t>
      </w:r>
      <w:r>
        <w:rPr>
          <w:rtl/>
        </w:rPr>
        <w:tab/>
      </w:r>
      <w:r w:rsidRPr="00793EDC">
        <w:rPr>
          <w:rFonts w:hint="cs"/>
          <w:b/>
          <w:bCs/>
          <w:rtl/>
        </w:rPr>
        <w:t>משנה תורה</w:t>
      </w:r>
      <w:r>
        <w:rPr>
          <w:rFonts w:hint="cs"/>
          <w:rtl/>
        </w:rPr>
        <w:t xml:space="preserve"> הלכות רוצח ושמירת נפש ו, ו-ח.</w:t>
      </w:r>
    </w:p>
  </w:footnote>
  <w:footnote w:id="62">
    <w:p w:rsidR="00A56708" w:rsidRDefault="00A56708" w:rsidP="002C136F">
      <w:pPr>
        <w:pStyle w:val="a5"/>
        <w:rPr>
          <w:rtl/>
        </w:rPr>
      </w:pPr>
      <w:r>
        <w:rPr>
          <w:rStyle w:val="a7"/>
        </w:rPr>
        <w:footnoteRef/>
      </w:r>
      <w:r>
        <w:rPr>
          <w:rtl/>
        </w:rPr>
        <w:t xml:space="preserve"> </w:t>
      </w:r>
      <w:r>
        <w:rPr>
          <w:rtl/>
        </w:rPr>
        <w:tab/>
      </w:r>
      <w:r>
        <w:rPr>
          <w:rFonts w:hint="cs"/>
          <w:rtl/>
        </w:rPr>
        <w:t xml:space="preserve">על אימוץ המבחן שהוצע בתלמוד הירושלמי על ידי הרמב"ם, ראו </w:t>
      </w:r>
      <w:r w:rsidRPr="00317517">
        <w:rPr>
          <w:rFonts w:hint="cs"/>
          <w:b/>
          <w:bCs/>
          <w:rtl/>
        </w:rPr>
        <w:t>משאת המלך</w:t>
      </w:r>
      <w:r>
        <w:rPr>
          <w:rFonts w:hint="cs"/>
          <w:rtl/>
        </w:rPr>
        <w:t xml:space="preserve"> (דיסקין) הלכות רוצח ושמירת נפש ו, הלכות ו-ח; </w:t>
      </w:r>
      <w:r w:rsidRPr="002C136F">
        <w:rPr>
          <w:rFonts w:hint="cs"/>
          <w:b/>
          <w:bCs/>
          <w:rtl/>
        </w:rPr>
        <w:t>ערוך לנר</w:t>
      </w:r>
      <w:r>
        <w:rPr>
          <w:rFonts w:hint="cs"/>
          <w:rtl/>
        </w:rPr>
        <w:t xml:space="preserve"> מכות ח,א ד"ה בתוס'. </w:t>
      </w:r>
    </w:p>
  </w:footnote>
  <w:footnote w:id="63">
    <w:p w:rsidR="00A56708" w:rsidRDefault="00A56708">
      <w:pPr>
        <w:pStyle w:val="a5"/>
      </w:pPr>
      <w:r>
        <w:rPr>
          <w:rStyle w:val="a7"/>
        </w:rPr>
        <w:footnoteRef/>
      </w:r>
      <w:r>
        <w:rPr>
          <w:rtl/>
        </w:rPr>
        <w:t xml:space="preserve"> </w:t>
      </w:r>
      <w:r>
        <w:rPr>
          <w:rtl/>
        </w:rPr>
        <w:tab/>
      </w:r>
      <w:r w:rsidRPr="00853899">
        <w:rPr>
          <w:b/>
          <w:bCs/>
          <w:rtl/>
        </w:rPr>
        <w:t>שו"ת רדב"ז</w:t>
      </w:r>
      <w:r w:rsidRPr="00643AEA">
        <w:rPr>
          <w:rtl/>
        </w:rPr>
        <w:t xml:space="preserve"> ה</w:t>
      </w:r>
      <w:r>
        <w:rPr>
          <w:rFonts w:hint="cs"/>
          <w:rtl/>
        </w:rPr>
        <w:t>,</w:t>
      </w:r>
      <w:r w:rsidRPr="00643AEA">
        <w:rPr>
          <w:rtl/>
        </w:rPr>
        <w:t xml:space="preserve"> שד</w:t>
      </w:r>
      <w:r w:rsidR="00CC38DC">
        <w:rPr>
          <w:rFonts w:hint="cs"/>
          <w:rtl/>
        </w:rPr>
        <w:t>.</w:t>
      </w:r>
    </w:p>
  </w:footnote>
  <w:footnote w:id="64">
    <w:p w:rsidR="00A56708" w:rsidRDefault="00A56708" w:rsidP="00853899">
      <w:pPr>
        <w:pStyle w:val="a5"/>
      </w:pPr>
      <w:r>
        <w:rPr>
          <w:rStyle w:val="a7"/>
        </w:rPr>
        <w:footnoteRef/>
      </w:r>
      <w:r>
        <w:rPr>
          <w:rtl/>
        </w:rPr>
        <w:t xml:space="preserve"> </w:t>
      </w:r>
      <w:r>
        <w:rPr>
          <w:rtl/>
        </w:rPr>
        <w:tab/>
      </w:r>
      <w:r w:rsidRPr="00416949">
        <w:rPr>
          <w:b/>
          <w:bCs/>
          <w:rtl/>
        </w:rPr>
        <w:t>שו"ת יחווה דעת</w:t>
      </w:r>
      <w:r w:rsidRPr="00416949">
        <w:rPr>
          <w:rtl/>
        </w:rPr>
        <w:t xml:space="preserve"> חלק ה סימן טז</w:t>
      </w:r>
      <w:r>
        <w:rPr>
          <w:rFonts w:hint="cs"/>
          <w:rtl/>
        </w:rPr>
        <w:t xml:space="preserve"> (מסתמך גם על דברי הרדב"ז הנזכר בהערה הקודמת). וראו גם, </w:t>
      </w:r>
      <w:r w:rsidRPr="00416949">
        <w:rPr>
          <w:rFonts w:hint="cs"/>
          <w:b/>
          <w:bCs/>
          <w:rtl/>
        </w:rPr>
        <w:t>שו"ת רבי עקיבא איגר</w:t>
      </w:r>
      <w:r>
        <w:rPr>
          <w:rFonts w:hint="cs"/>
          <w:rtl/>
        </w:rPr>
        <w:t xml:space="preserve"> </w:t>
      </w:r>
      <w:r>
        <w:rPr>
          <w:rtl/>
        </w:rPr>
        <w:t>מהדורה תניינא</w:t>
      </w:r>
      <w:r>
        <w:rPr>
          <w:rFonts w:hint="cs"/>
          <w:rtl/>
        </w:rPr>
        <w:t>,</w:t>
      </w:r>
      <w:r>
        <w:rPr>
          <w:rtl/>
        </w:rPr>
        <w:t xml:space="preserve"> סימן ג</w:t>
      </w:r>
      <w:r>
        <w:rPr>
          <w:rFonts w:hint="cs"/>
          <w:rtl/>
        </w:rPr>
        <w:t xml:space="preserve"> שפסק שמי</w:t>
      </w:r>
      <w:r w:rsidRPr="00416949">
        <w:rPr>
          <w:rtl/>
        </w:rPr>
        <w:t xml:space="preserve"> שהדהיר את סוסיו הטעונים במשא בלילה ובשל המהירות הם פגעו בבנו ובמשרתו שישנו על עץ שהיה קשור לעגלה</w:t>
      </w:r>
      <w:r>
        <w:rPr>
          <w:rFonts w:hint="cs"/>
          <w:rtl/>
        </w:rPr>
        <w:t xml:space="preserve"> הוא בגדר "שוגג קרוב למזיד"</w:t>
      </w:r>
      <w:r w:rsidR="007E6685">
        <w:rPr>
          <w:rFonts w:hint="cs"/>
          <w:rtl/>
        </w:rPr>
        <w:t>.</w:t>
      </w:r>
    </w:p>
  </w:footnote>
  <w:footnote w:id="65">
    <w:p w:rsidR="00A56708" w:rsidRDefault="00A56708" w:rsidP="00416949">
      <w:pPr>
        <w:pStyle w:val="a5"/>
      </w:pPr>
      <w:r>
        <w:rPr>
          <w:rStyle w:val="a7"/>
        </w:rPr>
        <w:footnoteRef/>
      </w:r>
      <w:r>
        <w:rPr>
          <w:rtl/>
        </w:rPr>
        <w:t xml:space="preserve"> </w:t>
      </w:r>
      <w:r>
        <w:rPr>
          <w:rtl/>
        </w:rPr>
        <w:tab/>
      </w:r>
      <w:r w:rsidRPr="00416949">
        <w:rPr>
          <w:b/>
          <w:bCs/>
          <w:rtl/>
        </w:rPr>
        <w:t>שו"ת יביע אומר</w:t>
      </w:r>
      <w:r w:rsidRPr="00416949">
        <w:rPr>
          <w:rtl/>
        </w:rPr>
        <w:t xml:space="preserve"> ט</w:t>
      </w:r>
      <w:r>
        <w:rPr>
          <w:rFonts w:hint="cs"/>
          <w:rtl/>
        </w:rPr>
        <w:t>,</w:t>
      </w:r>
      <w:r w:rsidRPr="00416949">
        <w:rPr>
          <w:rtl/>
        </w:rPr>
        <w:t xml:space="preserve"> חו</w:t>
      </w:r>
      <w:r>
        <w:rPr>
          <w:rFonts w:hint="cs"/>
          <w:rtl/>
        </w:rPr>
        <w:t xml:space="preserve">שן משפט, </w:t>
      </w:r>
      <w:r w:rsidRPr="00416949">
        <w:rPr>
          <w:rtl/>
        </w:rPr>
        <w:t>ה</w:t>
      </w:r>
      <w:r>
        <w:rPr>
          <w:rFonts w:hint="cs"/>
          <w:rtl/>
        </w:rPr>
        <w:t xml:space="preserve">. וראו שם, שחולק על פסיקתו של </w:t>
      </w:r>
      <w:r w:rsidRPr="00416949">
        <w:rPr>
          <w:rtl/>
        </w:rPr>
        <w:t>הרב שמואל הלוי וואזנר</w:t>
      </w:r>
      <w:r>
        <w:rPr>
          <w:rFonts w:hint="cs"/>
          <w:rtl/>
        </w:rPr>
        <w:t xml:space="preserve"> (</w:t>
      </w:r>
      <w:r w:rsidRPr="00416949">
        <w:rPr>
          <w:b/>
          <w:bCs/>
          <w:rtl/>
        </w:rPr>
        <w:t>שו"ת שבט הלוי</w:t>
      </w:r>
      <w:r w:rsidRPr="00416949">
        <w:rPr>
          <w:rtl/>
        </w:rPr>
        <w:t xml:space="preserve"> ח</w:t>
      </w:r>
      <w:r>
        <w:rPr>
          <w:rFonts w:hint="cs"/>
          <w:rtl/>
        </w:rPr>
        <w:t>,</w:t>
      </w:r>
      <w:r w:rsidRPr="00416949">
        <w:rPr>
          <w:rtl/>
        </w:rPr>
        <w:t xml:space="preserve"> שא</w:t>
      </w:r>
      <w:r>
        <w:rPr>
          <w:rFonts w:hint="cs"/>
          <w:rtl/>
        </w:rPr>
        <w:t>) המבחין בין הירדמות בתחילתה של הנסיעה שהיא בגדר "שוגג הקרוב למזיד" אמנם, לבין הירדמות בסופה, שאיננה בגדר "שוגג הקרוב למזיד".</w:t>
      </w:r>
    </w:p>
  </w:footnote>
  <w:footnote w:id="66">
    <w:p w:rsidR="00A56708" w:rsidRDefault="00A56708" w:rsidP="004D3C51">
      <w:pPr>
        <w:pStyle w:val="a5"/>
      </w:pPr>
      <w:r>
        <w:rPr>
          <w:rStyle w:val="a7"/>
        </w:rPr>
        <w:footnoteRef/>
      </w:r>
      <w:r>
        <w:rPr>
          <w:rtl/>
        </w:rPr>
        <w:t xml:space="preserve"> </w:t>
      </w:r>
      <w:r>
        <w:rPr>
          <w:rtl/>
        </w:rPr>
        <w:tab/>
      </w:r>
      <w:r>
        <w:rPr>
          <w:rFonts w:hint="cs"/>
          <w:rtl/>
        </w:rPr>
        <w:t xml:space="preserve">לעניין אחריותו הפלילית של מי שהמית אדם בהיותו שיכור על פי המשפט העברי, ראו ע"פ </w:t>
      </w:r>
      <w:r>
        <w:rPr>
          <w:rtl/>
        </w:rPr>
        <w:t>6331/11</w:t>
      </w:r>
      <w:r>
        <w:rPr>
          <w:rFonts w:hint="cs"/>
          <w:rtl/>
        </w:rPr>
        <w:t xml:space="preserve"> </w:t>
      </w:r>
      <w:r w:rsidRPr="004D3C51">
        <w:rPr>
          <w:b/>
          <w:bCs/>
          <w:rtl/>
        </w:rPr>
        <w:t>אשתיי נ' מדינת ישראל</w:t>
      </w:r>
      <w:r>
        <w:rPr>
          <w:rFonts w:hint="cs"/>
          <w:rtl/>
        </w:rPr>
        <w:t xml:space="preserve"> (פורסם ב'נבו') פסקה 39 לפסק דינו של השופט סולברג ובאסמכתאות שם. </w:t>
      </w:r>
    </w:p>
  </w:footnote>
  <w:footnote w:id="67">
    <w:p w:rsidR="00CC38DC" w:rsidRDefault="00CC38DC" w:rsidP="007E6685">
      <w:pPr>
        <w:pStyle w:val="a5"/>
        <w:rPr>
          <w:rFonts w:hint="cs"/>
          <w:rtl/>
        </w:rPr>
      </w:pPr>
      <w:r>
        <w:rPr>
          <w:rStyle w:val="a7"/>
        </w:rPr>
        <w:footnoteRef/>
      </w:r>
      <w:r>
        <w:rPr>
          <w:rtl/>
        </w:rPr>
        <w:t xml:space="preserve"> </w:t>
      </w:r>
      <w:r w:rsidR="007E6685">
        <w:rPr>
          <w:rtl/>
        </w:rPr>
        <w:tab/>
      </w:r>
      <w:r>
        <w:rPr>
          <w:rFonts w:hint="cs"/>
          <w:rtl/>
        </w:rPr>
        <w:t>על פי הצעת החוק, בסעיף 301א(א) ייקבע ש"</w:t>
      </w:r>
      <w:r>
        <w:rPr>
          <w:rtl/>
        </w:rPr>
        <w:t>הגורם בכוונה או באדישות למותו של אדם באחת מן</w:t>
      </w:r>
      <w:r>
        <w:rPr>
          <w:rFonts w:hint="cs"/>
          <w:rtl/>
        </w:rPr>
        <w:t xml:space="preserve"> </w:t>
      </w:r>
      <w:r>
        <w:rPr>
          <w:rtl/>
        </w:rPr>
        <w:t>הנסיבות המפורטות להלן, דינו - מאסר עולם ועונש זה בלבד</w:t>
      </w:r>
      <w:r>
        <w:rPr>
          <w:rFonts w:hint="cs"/>
          <w:rtl/>
        </w:rPr>
        <w:t>". הנסיבות המחמירות המוצעות הן</w:t>
      </w:r>
      <w:r>
        <w:rPr>
          <w:rtl/>
        </w:rPr>
        <w:t>:</w:t>
      </w:r>
      <w:r>
        <w:rPr>
          <w:rFonts w:hint="cs"/>
          <w:rtl/>
        </w:rPr>
        <w:t xml:space="preserve"> מעשה ש"</w:t>
      </w:r>
      <w:r>
        <w:rPr>
          <w:rtl/>
        </w:rPr>
        <w:t>נעשה לאחר תכנון או לאחר הליך ממשי</w:t>
      </w:r>
      <w:r>
        <w:rPr>
          <w:rFonts w:hint="cs"/>
          <w:rtl/>
        </w:rPr>
        <w:t xml:space="preserve"> </w:t>
      </w:r>
      <w:r>
        <w:rPr>
          <w:rtl/>
        </w:rPr>
        <w:t>של שקילה וגיבוש החלטה להמית</w:t>
      </w:r>
      <w:r>
        <w:rPr>
          <w:rFonts w:hint="cs"/>
          <w:rtl/>
        </w:rPr>
        <w:t>"; מעשה ש"</w:t>
      </w:r>
      <w:r>
        <w:rPr>
          <w:rtl/>
        </w:rPr>
        <w:t>נעשה במטרה לאפשר ביצוע עבירה</w:t>
      </w:r>
      <w:r>
        <w:rPr>
          <w:rFonts w:hint="cs"/>
          <w:rtl/>
        </w:rPr>
        <w:t xml:space="preserve"> </w:t>
      </w:r>
      <w:r>
        <w:rPr>
          <w:rtl/>
        </w:rPr>
        <w:t>אחרת או להקל על ביצועה, או במטרה להסתיר</w:t>
      </w:r>
      <w:r>
        <w:rPr>
          <w:rFonts w:hint="cs"/>
          <w:rtl/>
        </w:rPr>
        <w:t xml:space="preserve"> </w:t>
      </w:r>
      <w:r>
        <w:rPr>
          <w:rtl/>
        </w:rPr>
        <w:t>ביצועה של עבירה אחרת, או לאפשר הימלטות מן</w:t>
      </w:r>
      <w:r>
        <w:rPr>
          <w:rFonts w:hint="cs"/>
          <w:rtl/>
        </w:rPr>
        <w:t xml:space="preserve"> </w:t>
      </w:r>
      <w:r>
        <w:rPr>
          <w:rtl/>
        </w:rPr>
        <w:t>הדין לאחר ביצוע העבירה האחרת</w:t>
      </w:r>
      <w:r>
        <w:rPr>
          <w:rFonts w:hint="cs"/>
          <w:rtl/>
        </w:rPr>
        <w:t>"; רצח של עד במשפט פלילי או של מי ש</w:t>
      </w:r>
      <w:r>
        <w:rPr>
          <w:rtl/>
        </w:rPr>
        <w:t>היה צפוי</w:t>
      </w:r>
      <w:r>
        <w:rPr>
          <w:rFonts w:hint="cs"/>
          <w:rtl/>
        </w:rPr>
        <w:t xml:space="preserve"> </w:t>
      </w:r>
      <w:r>
        <w:rPr>
          <w:rtl/>
        </w:rPr>
        <w:t>למסור עדות במשפט פלילי</w:t>
      </w:r>
      <w:r>
        <w:rPr>
          <w:rFonts w:hint="cs"/>
          <w:rtl/>
        </w:rPr>
        <w:t>, על מנת ל</w:t>
      </w:r>
      <w:r>
        <w:rPr>
          <w:rtl/>
        </w:rPr>
        <w:t>מנוע או להכשיל חקירה או הליך משפטי;</w:t>
      </w:r>
      <w:r>
        <w:rPr>
          <w:rFonts w:hint="cs"/>
          <w:rtl/>
        </w:rPr>
        <w:t xml:space="preserve"> רצח שנועד "</w:t>
      </w:r>
      <w:r>
        <w:rPr>
          <w:rtl/>
        </w:rPr>
        <w:t>לעורר פחד או בהלה</w:t>
      </w:r>
      <w:r>
        <w:rPr>
          <w:rFonts w:hint="cs"/>
          <w:rtl/>
        </w:rPr>
        <w:t xml:space="preserve"> </w:t>
      </w:r>
      <w:r>
        <w:rPr>
          <w:rtl/>
        </w:rPr>
        <w:t>בציבור</w:t>
      </w:r>
      <w:r>
        <w:rPr>
          <w:rFonts w:hint="cs"/>
          <w:rtl/>
        </w:rPr>
        <w:t>"</w:t>
      </w:r>
      <w:r>
        <w:rPr>
          <w:rtl/>
        </w:rPr>
        <w:t xml:space="preserve"> או </w:t>
      </w:r>
      <w:r>
        <w:rPr>
          <w:rFonts w:hint="cs"/>
          <w:rtl/>
        </w:rPr>
        <w:t>"</w:t>
      </w:r>
      <w:r>
        <w:rPr>
          <w:rtl/>
        </w:rPr>
        <w:t>להניע ממשלה או רשות שלטונית</w:t>
      </w:r>
      <w:r>
        <w:rPr>
          <w:rFonts w:hint="cs"/>
          <w:rtl/>
        </w:rPr>
        <w:t xml:space="preserve"> </w:t>
      </w:r>
      <w:r>
        <w:rPr>
          <w:rtl/>
        </w:rPr>
        <w:t>אחרת</w:t>
      </w:r>
      <w:r>
        <w:rPr>
          <w:rFonts w:hint="cs"/>
          <w:rtl/>
        </w:rPr>
        <w:t xml:space="preserve">... </w:t>
      </w:r>
      <w:r>
        <w:rPr>
          <w:rtl/>
        </w:rPr>
        <w:t>לעשות מעשה או</w:t>
      </w:r>
      <w:r>
        <w:rPr>
          <w:rFonts w:hint="cs"/>
          <w:rtl/>
        </w:rPr>
        <w:t xml:space="preserve"> </w:t>
      </w:r>
      <w:r>
        <w:rPr>
          <w:rtl/>
        </w:rPr>
        <w:t>להימנע מעשיית</w:t>
      </w:r>
      <w:r>
        <w:rPr>
          <w:rFonts w:hint="cs"/>
          <w:rtl/>
        </w:rPr>
        <w:t xml:space="preserve"> מעשה"; רצח ממניעים גזעניים או ממניע של עוינות כלפי ציבור;</w:t>
      </w:r>
      <w:r w:rsidR="007E6685">
        <w:rPr>
          <w:rFonts w:hint="cs"/>
          <w:rtl/>
        </w:rPr>
        <w:t xml:space="preserve"> רצח שנעשה כ"</w:t>
      </w:r>
      <w:r w:rsidR="007E6685">
        <w:rPr>
          <w:rtl/>
        </w:rPr>
        <w:t>פעולה עונשית במטרה להטיל</w:t>
      </w:r>
      <w:r w:rsidR="007E6685">
        <w:rPr>
          <w:rFonts w:hint="cs"/>
          <w:rtl/>
        </w:rPr>
        <w:t xml:space="preserve"> </w:t>
      </w:r>
      <w:r w:rsidR="007E6685">
        <w:rPr>
          <w:rtl/>
        </w:rPr>
        <w:t>מרות או מורא ולכפות אורחות התנהגות על ציבור</w:t>
      </w:r>
      <w:r w:rsidR="007E6685">
        <w:rPr>
          <w:rFonts w:hint="cs"/>
          <w:rtl/>
        </w:rPr>
        <w:t>"; רצח הכרוך ב"</w:t>
      </w:r>
      <w:r w:rsidR="007E6685">
        <w:rPr>
          <w:rtl/>
        </w:rPr>
        <w:t>אכזריות מיוחדת</w:t>
      </w:r>
      <w:r w:rsidR="007E6685">
        <w:rPr>
          <w:rFonts w:hint="cs"/>
          <w:rtl/>
        </w:rPr>
        <w:t>"</w:t>
      </w:r>
      <w:r w:rsidR="007E6685">
        <w:rPr>
          <w:rtl/>
        </w:rPr>
        <w:t xml:space="preserve"> או </w:t>
      </w:r>
      <w:r w:rsidR="007E6685">
        <w:rPr>
          <w:rFonts w:hint="cs"/>
          <w:rtl/>
        </w:rPr>
        <w:t>ב"ה</w:t>
      </w:r>
      <w:r w:rsidR="007E6685">
        <w:rPr>
          <w:rtl/>
        </w:rPr>
        <w:t>תעללות גופנית או נפשית בקורבן</w:t>
      </w:r>
      <w:r w:rsidR="007E6685">
        <w:rPr>
          <w:rFonts w:hint="cs"/>
          <w:rtl/>
        </w:rPr>
        <w:t>"; רצח של קטין או חסר ישע; רצח שנעשה תוך יצירת סיכון לפגיעה חמורה בגופו של אדם אחר נוסף על הקרבן; רצח במסגרת פעילות של ארגון פשיעה או טרור.</w:t>
      </w:r>
    </w:p>
  </w:footnote>
  <w:footnote w:id="68">
    <w:p w:rsidR="00A56708" w:rsidRPr="00D24F8B" w:rsidRDefault="00A56708" w:rsidP="0079121A">
      <w:pPr>
        <w:pStyle w:val="a5"/>
        <w:rPr>
          <w:rtl/>
        </w:rPr>
      </w:pPr>
      <w:r>
        <w:rPr>
          <w:rStyle w:val="a7"/>
        </w:rPr>
        <w:footnoteRef/>
      </w:r>
      <w:r>
        <w:rPr>
          <w:rtl/>
        </w:rPr>
        <w:t xml:space="preserve"> </w:t>
      </w:r>
      <w:r>
        <w:rPr>
          <w:rtl/>
        </w:rPr>
        <w:tab/>
      </w:r>
      <w:r w:rsidRPr="00D24F8B">
        <w:rPr>
          <w:rFonts w:hint="cs"/>
          <w:rtl/>
        </w:rPr>
        <w:t>לשיקול זה יש מקור במחלוקת בעניין הסיבה להחמרה בעונשו של מי שגנב שור או שה, ולאחר מכן שחטו או מכרו:</w:t>
      </w:r>
      <w:r w:rsidRPr="00D24F8B">
        <w:rPr>
          <w:rtl/>
        </w:rPr>
        <w:t xml:space="preserve"> </w:t>
      </w:r>
      <w:r w:rsidRPr="00D24F8B">
        <w:rPr>
          <w:rFonts w:hint="cs"/>
          <w:rtl/>
        </w:rPr>
        <w:t>"</w:t>
      </w:r>
      <w:r w:rsidRPr="00D24F8B">
        <w:rPr>
          <w:rtl/>
        </w:rPr>
        <w:t>אמר רבי עקיבא: מפני מה אמרה תורה: טבח ומכר - משלם ארבעה וחמשה? מפני שנשתרש בחטא. ורבא אמר: מפני ששנה בחטא</w:t>
      </w:r>
      <w:r w:rsidRPr="00D24F8B">
        <w:rPr>
          <w:rFonts w:hint="cs"/>
          <w:rtl/>
        </w:rPr>
        <w:t>" (</w:t>
      </w:r>
      <w:r w:rsidRPr="00D24F8B">
        <w:rPr>
          <w:b/>
          <w:bCs/>
          <w:rtl/>
        </w:rPr>
        <w:t>תוספתא</w:t>
      </w:r>
      <w:r w:rsidRPr="00D24F8B">
        <w:rPr>
          <w:rFonts w:hint="cs"/>
          <w:rtl/>
        </w:rPr>
        <w:t xml:space="preserve"> (ליברמן)</w:t>
      </w:r>
      <w:r w:rsidRPr="00D24F8B">
        <w:rPr>
          <w:rtl/>
        </w:rPr>
        <w:t xml:space="preserve"> בבא קמא ז</w:t>
      </w:r>
      <w:r w:rsidRPr="00D24F8B">
        <w:rPr>
          <w:rFonts w:hint="cs"/>
          <w:rtl/>
        </w:rPr>
        <w:t>, ב</w:t>
      </w:r>
      <w:r w:rsidRPr="00D24F8B">
        <w:rPr>
          <w:rtl/>
        </w:rPr>
        <w:t xml:space="preserve">; </w:t>
      </w:r>
      <w:r w:rsidRPr="00D24F8B">
        <w:rPr>
          <w:rFonts w:hint="cs"/>
          <w:b/>
          <w:bCs/>
          <w:rtl/>
        </w:rPr>
        <w:t>תלמוד בבלי</w:t>
      </w:r>
      <w:r w:rsidRPr="00D24F8B">
        <w:rPr>
          <w:rFonts w:hint="cs"/>
          <w:rtl/>
        </w:rPr>
        <w:t xml:space="preserve"> </w:t>
      </w:r>
      <w:r w:rsidRPr="00D24F8B">
        <w:rPr>
          <w:rtl/>
        </w:rPr>
        <w:t>בבא קמא סז</w:t>
      </w:r>
      <w:r w:rsidRPr="00D24F8B">
        <w:rPr>
          <w:rFonts w:hint="cs"/>
          <w:rtl/>
        </w:rPr>
        <w:t>,ב</w:t>
      </w:r>
      <w:r w:rsidRPr="00D24F8B">
        <w:rPr>
          <w:rtl/>
        </w:rPr>
        <w:t xml:space="preserve"> – סח</w:t>
      </w:r>
      <w:r w:rsidRPr="00D24F8B">
        <w:rPr>
          <w:rFonts w:hint="cs"/>
          <w:rtl/>
        </w:rPr>
        <w:t>,א)</w:t>
      </w:r>
      <w:r w:rsidRPr="00D24F8B">
        <w:rPr>
          <w:rtl/>
        </w:rPr>
        <w:t>.</w:t>
      </w:r>
      <w:r w:rsidRPr="00D24F8B">
        <w:rPr>
          <w:rFonts w:hint="cs"/>
          <w:rtl/>
        </w:rPr>
        <w:t xml:space="preserve"> לפי רבי עקיבא, ההשתרשות בחטא, העובדה שהעבריין העמיק את מעשה הפשע והעבריינות הכתה בו שורשים, הוא שמצדיק את ההחמרה בענישה, בעוד שלפי רבא, העובדה שהעבריין "שנה בחטא", חזר לבצע את מעשה העבירה שוב, היא שמצדיקה את ההחמרה בעונש (אבל השוו לדברי הרמב"ם במורה נבוכים שם, שקושר את ההחמרה בעונשו של גונב שור או שה וטבחו או מכרו, דווקא לשיקולי ההרתעה השני (תדירות האירוע) והרביעי (הקלות לבצע את המעשה)).</w:t>
      </w:r>
    </w:p>
  </w:footnote>
  <w:footnote w:id="69">
    <w:p w:rsidR="00A56708" w:rsidRDefault="00A56708">
      <w:pPr>
        <w:pStyle w:val="a5"/>
        <w:rPr>
          <w:rtl/>
        </w:rPr>
      </w:pPr>
      <w:r>
        <w:rPr>
          <w:rStyle w:val="a7"/>
        </w:rPr>
        <w:footnoteRef/>
      </w:r>
      <w:r>
        <w:rPr>
          <w:rtl/>
        </w:rPr>
        <w:t xml:space="preserve"> </w:t>
      </w:r>
      <w:r>
        <w:rPr>
          <w:b/>
          <w:bCs/>
          <w:rtl/>
        </w:rPr>
        <w:tab/>
      </w:r>
      <w:r w:rsidRPr="006C09D2">
        <w:rPr>
          <w:rFonts w:hint="cs"/>
          <w:b/>
          <w:bCs/>
          <w:rtl/>
        </w:rPr>
        <w:t>מורה הנבוכים</w:t>
      </w:r>
      <w:r>
        <w:rPr>
          <w:rFonts w:hint="cs"/>
          <w:rtl/>
        </w:rPr>
        <w:t xml:space="preserve"> ג, מא (בתרגומו של פרופ' מיכאל שוורץ).</w:t>
      </w:r>
    </w:p>
  </w:footnote>
  <w:footnote w:id="70">
    <w:p w:rsidR="00A56708" w:rsidRDefault="00A56708" w:rsidP="00814C1E">
      <w:pPr>
        <w:pStyle w:val="a5"/>
      </w:pPr>
      <w:r>
        <w:rPr>
          <w:rStyle w:val="a7"/>
        </w:rPr>
        <w:footnoteRef/>
      </w:r>
      <w:r>
        <w:rPr>
          <w:rtl/>
        </w:rPr>
        <w:t xml:space="preserve"> </w:t>
      </w:r>
      <w:r>
        <w:rPr>
          <w:rtl/>
        </w:rPr>
        <w:tab/>
      </w:r>
      <w:r>
        <w:rPr>
          <w:rFonts w:hint="cs"/>
          <w:rtl/>
        </w:rPr>
        <w:t xml:space="preserve">ראו למשל: </w:t>
      </w:r>
      <w:r w:rsidRPr="00B81982">
        <w:rPr>
          <w:rtl/>
        </w:rPr>
        <w:t xml:space="preserve">ע"פ 396/69 </w:t>
      </w:r>
      <w:r w:rsidRPr="00814C1E">
        <w:rPr>
          <w:b/>
          <w:bCs/>
          <w:rtl/>
        </w:rPr>
        <w:t>נעים בנו נ' מדינת ישראל</w:t>
      </w:r>
      <w:r w:rsidRPr="00B81982">
        <w:rPr>
          <w:rtl/>
        </w:rPr>
        <w:t xml:space="preserve"> פ"ד כד(1) 561, 570-567</w:t>
      </w:r>
      <w:r>
        <w:rPr>
          <w:rFonts w:hint="cs"/>
          <w:rtl/>
        </w:rPr>
        <w:t xml:space="preserve"> (להלן: פרשת בנו); </w:t>
      </w:r>
      <w:r w:rsidRPr="00B81982">
        <w:rPr>
          <w:rtl/>
        </w:rPr>
        <w:t xml:space="preserve">ע"פ 402/87, 411 </w:t>
      </w:r>
      <w:r w:rsidRPr="00814C1E">
        <w:rPr>
          <w:b/>
          <w:bCs/>
          <w:rtl/>
        </w:rPr>
        <w:t>מדינת ישראל נ' גנדי</w:t>
      </w:r>
      <w:r w:rsidRPr="00B81982">
        <w:rPr>
          <w:rtl/>
        </w:rPr>
        <w:t xml:space="preserve"> פ"ד מב(3) 383, 394</w:t>
      </w:r>
      <w:r>
        <w:rPr>
          <w:rFonts w:hint="cs"/>
          <w:rtl/>
        </w:rPr>
        <w:t>.</w:t>
      </w:r>
    </w:p>
  </w:footnote>
  <w:footnote w:id="71">
    <w:p w:rsidR="00A56708" w:rsidRDefault="00A56708" w:rsidP="00814C1E">
      <w:pPr>
        <w:pStyle w:val="a5"/>
      </w:pPr>
      <w:r>
        <w:rPr>
          <w:rStyle w:val="a7"/>
        </w:rPr>
        <w:footnoteRef/>
      </w:r>
      <w:r>
        <w:rPr>
          <w:rtl/>
        </w:rPr>
        <w:t xml:space="preserve"> </w:t>
      </w:r>
      <w:r>
        <w:rPr>
          <w:rtl/>
        </w:rPr>
        <w:tab/>
      </w:r>
      <w:r w:rsidRPr="00814C1E">
        <w:rPr>
          <w:b/>
          <w:bCs/>
          <w:rtl/>
        </w:rPr>
        <w:t>פרשת בנו</w:t>
      </w:r>
      <w:r w:rsidRPr="00B81982">
        <w:rPr>
          <w:rtl/>
        </w:rPr>
        <w:t xml:space="preserve"> עמ' 575-571; ע"פ 339/84 </w:t>
      </w:r>
      <w:r w:rsidRPr="00814C1E">
        <w:rPr>
          <w:b/>
          <w:bCs/>
          <w:rtl/>
        </w:rPr>
        <w:t>רבינוביץ נ' מדינת ישראל</w:t>
      </w:r>
      <w:r w:rsidRPr="00B81982">
        <w:rPr>
          <w:rtl/>
        </w:rPr>
        <w:t xml:space="preserve"> פ"ד לט (4) 253, 259; ע"פ 759/97 </w:t>
      </w:r>
      <w:r w:rsidRPr="00814C1E">
        <w:rPr>
          <w:b/>
          <w:bCs/>
          <w:rtl/>
        </w:rPr>
        <w:t>אליאבייב נ' מדינת ישראל</w:t>
      </w:r>
      <w:r w:rsidRPr="00B81982">
        <w:rPr>
          <w:rtl/>
        </w:rPr>
        <w:t xml:space="preserve"> פ"ד נה(3) 459, 470-469 (להלן: פרשת אליאבייב); ע"פ 2948/03 </w:t>
      </w:r>
      <w:r w:rsidRPr="00814C1E">
        <w:rPr>
          <w:b/>
          <w:bCs/>
          <w:rtl/>
        </w:rPr>
        <w:t>ברזובסקי נ' מדינת ישראל</w:t>
      </w:r>
      <w:r w:rsidRPr="00B81982">
        <w:rPr>
          <w:rtl/>
        </w:rPr>
        <w:t xml:space="preserve"> תק-על 2005(2) 3264 (פסקה 10).</w:t>
      </w:r>
    </w:p>
  </w:footnote>
  <w:footnote w:id="72">
    <w:p w:rsidR="00A56708" w:rsidRPr="004B7D5F" w:rsidRDefault="00A56708" w:rsidP="0050688D">
      <w:pPr>
        <w:pStyle w:val="a5"/>
        <w:rPr>
          <w:rtl/>
        </w:rPr>
      </w:pPr>
      <w:r>
        <w:rPr>
          <w:rStyle w:val="a7"/>
        </w:rPr>
        <w:footnoteRef/>
      </w:r>
      <w:r>
        <w:rPr>
          <w:rtl/>
        </w:rPr>
        <w:t xml:space="preserve"> </w:t>
      </w:r>
      <w:r>
        <w:rPr>
          <w:rtl/>
        </w:rPr>
        <w:tab/>
      </w:r>
      <w:r>
        <w:rPr>
          <w:rFonts w:hint="cs"/>
          <w:rtl/>
        </w:rPr>
        <w:t xml:space="preserve">ראו בהרחבה, </w:t>
      </w:r>
      <w:r w:rsidRPr="004B7D5F">
        <w:rPr>
          <w:rtl/>
        </w:rPr>
        <w:t>דנ</w:t>
      </w:r>
      <w:r>
        <w:rPr>
          <w:rFonts w:hint="cs"/>
          <w:rtl/>
        </w:rPr>
        <w:t>"</w:t>
      </w:r>
      <w:r>
        <w:rPr>
          <w:rtl/>
        </w:rPr>
        <w:t>פ 1042/04‏</w:t>
      </w:r>
      <w:r w:rsidRPr="004B7D5F">
        <w:rPr>
          <w:rtl/>
        </w:rPr>
        <w:t xml:space="preserve">‏ </w:t>
      </w:r>
      <w:r w:rsidRPr="00814C1E">
        <w:rPr>
          <w:b/>
          <w:bCs/>
          <w:rtl/>
        </w:rPr>
        <w:t>דוד ביטון נ' מדינת ישראל</w:t>
      </w:r>
      <w:r w:rsidRPr="004B7D5F">
        <w:rPr>
          <w:rtl/>
        </w:rPr>
        <w:t xml:space="preserve"> פ''ד סא(3) 646</w:t>
      </w:r>
      <w:r>
        <w:rPr>
          <w:rFonts w:hint="cs"/>
          <w:rtl/>
        </w:rPr>
        <w:t>.</w:t>
      </w:r>
    </w:p>
  </w:footnote>
  <w:footnote w:id="73">
    <w:p w:rsidR="00A56708" w:rsidRDefault="00A56708">
      <w:pPr>
        <w:pStyle w:val="a5"/>
        <w:rPr>
          <w:rtl/>
        </w:rPr>
      </w:pPr>
      <w:r>
        <w:rPr>
          <w:rStyle w:val="a7"/>
        </w:rPr>
        <w:footnoteRef/>
      </w:r>
      <w:r>
        <w:rPr>
          <w:rtl/>
        </w:rPr>
        <w:t xml:space="preserve"> </w:t>
      </w:r>
      <w:r>
        <w:rPr>
          <w:rtl/>
        </w:rPr>
        <w:tab/>
      </w:r>
      <w:r>
        <w:rPr>
          <w:rFonts w:hint="cs"/>
          <w:rtl/>
        </w:rPr>
        <w:t>על פי דברי ההסבר להצעת החוק, עמ' 170.</w:t>
      </w:r>
    </w:p>
  </w:footnote>
  <w:footnote w:id="74">
    <w:p w:rsidR="00A56708" w:rsidRDefault="00A56708">
      <w:pPr>
        <w:pStyle w:val="a5"/>
        <w:rPr>
          <w:rtl/>
        </w:rPr>
      </w:pPr>
      <w:r>
        <w:rPr>
          <w:rStyle w:val="a7"/>
        </w:rPr>
        <w:footnoteRef/>
      </w:r>
      <w:r>
        <w:rPr>
          <w:rtl/>
        </w:rPr>
        <w:t xml:space="preserve"> </w:t>
      </w:r>
      <w:r>
        <w:rPr>
          <w:rtl/>
        </w:rPr>
        <w:tab/>
      </w:r>
      <w:r>
        <w:rPr>
          <w:rFonts w:hint="cs"/>
          <w:rtl/>
        </w:rPr>
        <w:t>שם.</w:t>
      </w:r>
    </w:p>
  </w:footnote>
  <w:footnote w:id="75">
    <w:p w:rsidR="00A56708" w:rsidRDefault="00A56708">
      <w:pPr>
        <w:pStyle w:val="a5"/>
        <w:rPr>
          <w:rFonts w:hint="cs"/>
          <w:rtl/>
        </w:rPr>
      </w:pPr>
      <w:r>
        <w:rPr>
          <w:rStyle w:val="a7"/>
        </w:rPr>
        <w:footnoteRef/>
      </w:r>
      <w:r>
        <w:rPr>
          <w:rtl/>
        </w:rPr>
        <w:t xml:space="preserve"> </w:t>
      </w:r>
      <w:r>
        <w:rPr>
          <w:rtl/>
        </w:rPr>
        <w:tab/>
      </w:r>
      <w:r w:rsidRPr="004C17BE">
        <w:rPr>
          <w:rFonts w:hint="cs"/>
          <w:b/>
          <w:bCs/>
          <w:rtl/>
        </w:rPr>
        <w:t>שמות</w:t>
      </w:r>
      <w:r>
        <w:rPr>
          <w:rFonts w:hint="cs"/>
          <w:rtl/>
        </w:rPr>
        <w:t xml:space="preserve"> כא, יב-יד.</w:t>
      </w:r>
    </w:p>
  </w:footnote>
  <w:footnote w:id="76">
    <w:p w:rsidR="00A56708" w:rsidRDefault="00A56708">
      <w:pPr>
        <w:pStyle w:val="a5"/>
      </w:pPr>
      <w:r>
        <w:rPr>
          <w:rStyle w:val="a7"/>
        </w:rPr>
        <w:footnoteRef/>
      </w:r>
      <w:r>
        <w:rPr>
          <w:rtl/>
        </w:rPr>
        <w:t xml:space="preserve"> </w:t>
      </w:r>
      <w:r>
        <w:rPr>
          <w:rtl/>
        </w:rPr>
        <w:tab/>
      </w:r>
      <w:r w:rsidRPr="00E46258">
        <w:rPr>
          <w:rFonts w:hint="cs"/>
          <w:b/>
          <w:bCs/>
          <w:rtl/>
        </w:rPr>
        <w:t>עקידת</w:t>
      </w:r>
      <w:r w:rsidRPr="00E46258">
        <w:rPr>
          <w:b/>
          <w:bCs/>
          <w:rtl/>
        </w:rPr>
        <w:t xml:space="preserve"> </w:t>
      </w:r>
      <w:r w:rsidRPr="00E46258">
        <w:rPr>
          <w:rFonts w:hint="cs"/>
          <w:b/>
          <w:bCs/>
          <w:rtl/>
        </w:rPr>
        <w:t>יצחק</w:t>
      </w:r>
      <w:r>
        <w:rPr>
          <w:rFonts w:hint="cs"/>
          <w:rtl/>
        </w:rPr>
        <w:t xml:space="preserve"> שמות, שער מו.</w:t>
      </w:r>
    </w:p>
  </w:footnote>
  <w:footnote w:id="77">
    <w:p w:rsidR="00A56708" w:rsidRDefault="00A56708" w:rsidP="00747764">
      <w:pPr>
        <w:pStyle w:val="a5"/>
        <w:rPr>
          <w:rtl/>
        </w:rPr>
      </w:pPr>
      <w:r>
        <w:rPr>
          <w:rStyle w:val="a7"/>
        </w:rPr>
        <w:footnoteRef/>
      </w:r>
      <w:r>
        <w:rPr>
          <w:rtl/>
        </w:rPr>
        <w:t xml:space="preserve"> </w:t>
      </w:r>
      <w:r>
        <w:rPr>
          <w:rtl/>
        </w:rPr>
        <w:tab/>
      </w:r>
      <w:r>
        <w:rPr>
          <w:rFonts w:hint="cs"/>
          <w:rtl/>
        </w:rPr>
        <w:t xml:space="preserve">ראו </w:t>
      </w:r>
      <w:r w:rsidRPr="00E46258">
        <w:rPr>
          <w:rFonts w:hint="cs"/>
          <w:b/>
          <w:bCs/>
          <w:rtl/>
        </w:rPr>
        <w:t>חבה</w:t>
      </w:r>
      <w:r w:rsidRPr="00E46258">
        <w:rPr>
          <w:b/>
          <w:bCs/>
          <w:rtl/>
        </w:rPr>
        <w:t xml:space="preserve">, </w:t>
      </w:r>
      <w:r w:rsidRPr="00E46258">
        <w:rPr>
          <w:rFonts w:hint="cs"/>
          <w:b/>
          <w:bCs/>
          <w:rtl/>
        </w:rPr>
        <w:t>היסוד</w:t>
      </w:r>
      <w:r w:rsidRPr="00E46258">
        <w:rPr>
          <w:b/>
          <w:bCs/>
          <w:rtl/>
        </w:rPr>
        <w:t xml:space="preserve"> </w:t>
      </w:r>
      <w:r w:rsidRPr="00E46258">
        <w:rPr>
          <w:rFonts w:hint="cs"/>
          <w:b/>
          <w:bCs/>
          <w:rtl/>
        </w:rPr>
        <w:t>הנפשי</w:t>
      </w:r>
      <w:r>
        <w:rPr>
          <w:rFonts w:hint="cs"/>
          <w:rtl/>
        </w:rPr>
        <w:t xml:space="preserve"> עמ' 175-172.</w:t>
      </w:r>
    </w:p>
  </w:footnote>
  <w:footnote w:id="78">
    <w:p w:rsidR="00A56708" w:rsidRDefault="00A56708" w:rsidP="00747764">
      <w:pPr>
        <w:pStyle w:val="a5"/>
        <w:rPr>
          <w:rtl/>
        </w:rPr>
      </w:pPr>
      <w:r>
        <w:rPr>
          <w:rStyle w:val="a7"/>
        </w:rPr>
        <w:footnoteRef/>
      </w:r>
      <w:r>
        <w:rPr>
          <w:rtl/>
        </w:rPr>
        <w:t xml:space="preserve"> </w:t>
      </w:r>
      <w:r>
        <w:rPr>
          <w:rtl/>
        </w:rPr>
        <w:tab/>
      </w:r>
      <w:r w:rsidRPr="00924EEC">
        <w:rPr>
          <w:rFonts w:hint="cs"/>
          <w:b/>
          <w:bCs/>
          <w:rtl/>
        </w:rPr>
        <w:t>חבה</w:t>
      </w:r>
      <w:r w:rsidRPr="00924EEC">
        <w:rPr>
          <w:b/>
          <w:bCs/>
          <w:rtl/>
        </w:rPr>
        <w:t xml:space="preserve">, </w:t>
      </w:r>
      <w:r w:rsidRPr="00924EEC">
        <w:rPr>
          <w:rFonts w:hint="cs"/>
          <w:b/>
          <w:bCs/>
          <w:rtl/>
        </w:rPr>
        <w:t>היסוד</w:t>
      </w:r>
      <w:r w:rsidRPr="00924EEC">
        <w:rPr>
          <w:b/>
          <w:bCs/>
          <w:rtl/>
        </w:rPr>
        <w:t xml:space="preserve"> </w:t>
      </w:r>
      <w:r w:rsidRPr="00924EEC">
        <w:rPr>
          <w:rFonts w:hint="cs"/>
          <w:b/>
          <w:bCs/>
          <w:rtl/>
        </w:rPr>
        <w:t>הנפשי</w:t>
      </w:r>
      <w:r>
        <w:rPr>
          <w:rFonts w:hint="cs"/>
          <w:rtl/>
        </w:rPr>
        <w:t xml:space="preserve"> עמ' 175.</w:t>
      </w:r>
    </w:p>
  </w:footnote>
  <w:footnote w:id="79">
    <w:p w:rsidR="00A56708" w:rsidRDefault="00A56708" w:rsidP="00814C1E">
      <w:pPr>
        <w:pStyle w:val="a5"/>
        <w:rPr>
          <w:rtl/>
        </w:rPr>
      </w:pPr>
      <w:r>
        <w:rPr>
          <w:rStyle w:val="a7"/>
        </w:rPr>
        <w:footnoteRef/>
      </w:r>
      <w:r>
        <w:rPr>
          <w:rtl/>
        </w:rPr>
        <w:t xml:space="preserve"> </w:t>
      </w:r>
      <w:r>
        <w:rPr>
          <w:rtl/>
        </w:rPr>
        <w:tab/>
      </w:r>
      <w:r w:rsidRPr="003F15DB">
        <w:rPr>
          <w:rtl/>
        </w:rPr>
        <w:t>נסיבה מח</w:t>
      </w:r>
      <w:r>
        <w:rPr>
          <w:rtl/>
        </w:rPr>
        <w:t xml:space="preserve">מירה זו מצויה גם כיום, בסעיף </w:t>
      </w:r>
      <w:r>
        <w:rPr>
          <w:rFonts w:hint="cs"/>
          <w:rtl/>
        </w:rPr>
        <w:t>300(א)(4) לחוק העונשין.</w:t>
      </w:r>
    </w:p>
  </w:footnote>
  <w:footnote w:id="80">
    <w:p w:rsidR="00A56708" w:rsidRDefault="00A56708" w:rsidP="00294590">
      <w:pPr>
        <w:pStyle w:val="a5"/>
      </w:pPr>
      <w:r>
        <w:rPr>
          <w:rStyle w:val="a7"/>
        </w:rPr>
        <w:footnoteRef/>
      </w:r>
      <w:r>
        <w:rPr>
          <w:rtl/>
        </w:rPr>
        <w:t xml:space="preserve"> </w:t>
      </w:r>
      <w:r>
        <w:rPr>
          <w:rtl/>
        </w:rPr>
        <w:tab/>
      </w:r>
      <w:r>
        <w:rPr>
          <w:rFonts w:hint="cs"/>
          <w:rtl/>
        </w:rPr>
        <w:t xml:space="preserve">וראו </w:t>
      </w:r>
      <w:r w:rsidRPr="00294590">
        <w:rPr>
          <w:rFonts w:hint="cs"/>
          <w:b/>
          <w:bCs/>
          <w:rtl/>
        </w:rPr>
        <w:t>דברי ההסבר להצעת החוק</w:t>
      </w:r>
      <w:r>
        <w:rPr>
          <w:rFonts w:hint="cs"/>
          <w:rtl/>
        </w:rPr>
        <w:t xml:space="preserve"> עמ' 171 ("</w:t>
      </w:r>
      <w:r>
        <w:rPr>
          <w:rtl/>
        </w:rPr>
        <w:t>מעשה המתה של עד בהליכים</w:t>
      </w:r>
      <w:r>
        <w:rPr>
          <w:rFonts w:hint="cs"/>
          <w:rtl/>
        </w:rPr>
        <w:t xml:space="preserve"> </w:t>
      </w:r>
      <w:r>
        <w:rPr>
          <w:rtl/>
        </w:rPr>
        <w:t>פליליים עלול להרתיע עדים מלהעיד והוא קורא תיגר</w:t>
      </w:r>
      <w:r>
        <w:rPr>
          <w:rFonts w:hint="cs"/>
          <w:rtl/>
        </w:rPr>
        <w:t xml:space="preserve"> </w:t>
      </w:r>
      <w:r>
        <w:rPr>
          <w:rtl/>
        </w:rPr>
        <w:t>על יציבות שלטון החוק, ובכך עלול לפגוע בתפקודה של</w:t>
      </w:r>
      <w:r>
        <w:rPr>
          <w:rFonts w:hint="cs"/>
          <w:rtl/>
        </w:rPr>
        <w:t xml:space="preserve"> </w:t>
      </w:r>
      <w:r>
        <w:rPr>
          <w:rtl/>
        </w:rPr>
        <w:t>מערכת המשפט ובשלטון החוק. עקב הפגיעה הקשה בערך</w:t>
      </w:r>
      <w:r>
        <w:rPr>
          <w:rFonts w:hint="cs"/>
          <w:rtl/>
        </w:rPr>
        <w:t xml:space="preserve"> </w:t>
      </w:r>
      <w:r>
        <w:rPr>
          <w:rtl/>
        </w:rPr>
        <w:t>המוגן של שמירת סדרי השלטון והמשפט, נוסף על הפגיעה</w:t>
      </w:r>
      <w:r>
        <w:rPr>
          <w:rFonts w:hint="cs"/>
          <w:rtl/>
        </w:rPr>
        <w:t xml:space="preserve"> </w:t>
      </w:r>
      <w:r>
        <w:rPr>
          <w:rtl/>
        </w:rPr>
        <w:t>בערך של חיי אדם, נלווית לנסיבה זו חומרה מיוחדת</w:t>
      </w:r>
      <w:r>
        <w:rPr>
          <w:rFonts w:hint="cs"/>
          <w:rtl/>
        </w:rPr>
        <w:t>").</w:t>
      </w:r>
    </w:p>
  </w:footnote>
  <w:footnote w:id="81">
    <w:p w:rsidR="00A56708" w:rsidRDefault="00A56708">
      <w:pPr>
        <w:pStyle w:val="a5"/>
        <w:rPr>
          <w:rtl/>
        </w:rPr>
      </w:pPr>
      <w:r>
        <w:rPr>
          <w:rStyle w:val="a7"/>
        </w:rPr>
        <w:footnoteRef/>
      </w:r>
      <w:r>
        <w:rPr>
          <w:rtl/>
        </w:rPr>
        <w:t xml:space="preserve"> </w:t>
      </w:r>
      <w:r>
        <w:rPr>
          <w:rtl/>
        </w:rPr>
        <w:tab/>
      </w:r>
      <w:r>
        <w:rPr>
          <w:rFonts w:hint="cs"/>
          <w:rtl/>
        </w:rPr>
        <w:t xml:space="preserve">ליד הציון להערה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Ref455935436 \h</w:instrText>
      </w:r>
      <w:r>
        <w:rPr>
          <w:rtl/>
        </w:rPr>
        <w:instrText xml:space="preserve"> </w:instrText>
      </w:r>
      <w:r>
        <w:rPr>
          <w:rtl/>
        </w:rPr>
      </w:r>
      <w:r>
        <w:rPr>
          <w:rtl/>
        </w:rPr>
        <w:fldChar w:fldCharType="separate"/>
      </w:r>
      <w:r>
        <w:rPr>
          <w:rtl/>
        </w:rPr>
        <w:t>68</w:t>
      </w:r>
      <w:r>
        <w:rPr>
          <w:rtl/>
        </w:rPr>
        <w:fldChar w:fldCharType="end"/>
      </w:r>
      <w:r>
        <w:rPr>
          <w:rFonts w:hint="cs"/>
          <w:rtl/>
        </w:rPr>
        <w:t>.</w:t>
      </w:r>
    </w:p>
  </w:footnote>
  <w:footnote w:id="82">
    <w:p w:rsidR="00A56708" w:rsidRDefault="00A56708" w:rsidP="00AD407E">
      <w:pPr>
        <w:pStyle w:val="a5"/>
        <w:rPr>
          <w:rtl/>
        </w:rPr>
      </w:pPr>
      <w:r>
        <w:rPr>
          <w:rStyle w:val="a7"/>
        </w:rPr>
        <w:footnoteRef/>
      </w:r>
      <w:r>
        <w:rPr>
          <w:rtl/>
        </w:rPr>
        <w:t xml:space="preserve"> </w:t>
      </w:r>
      <w:r>
        <w:rPr>
          <w:rtl/>
        </w:rPr>
        <w:tab/>
      </w:r>
      <w:r>
        <w:rPr>
          <w:rFonts w:hint="cs"/>
          <w:rtl/>
        </w:rPr>
        <w:t xml:space="preserve">שם. </w:t>
      </w:r>
      <w:r w:rsidRPr="003F15DB">
        <w:rPr>
          <w:rtl/>
        </w:rPr>
        <w:t>בשולי הדברים יש להעיר, שהצוות לבחינת יסודות עבירות ההמתה הציע גם לקבוע כנסיבה מחמירה רצח של אדם שהוא "עובד הציבור הממלא תפקיד באכיפת החוק או בניהול הליכים משפטיים, והכל אם המעשה נעשה בקשר למילוי תפקידו, או הקורבן הוא נשיא המדינה, חבר ממשלה, חבר כנסת, ראש רשות מקומית, והכל אם המעשה נעשה בקשר למילוי תפקידו"</w:t>
      </w:r>
      <w:r>
        <w:rPr>
          <w:rFonts w:hint="cs"/>
          <w:rtl/>
        </w:rPr>
        <w:t xml:space="preserve"> (</w:t>
      </w:r>
      <w:r w:rsidR="007E6685">
        <w:rPr>
          <w:rFonts w:hint="cs"/>
          <w:b/>
          <w:bCs/>
          <w:rtl/>
        </w:rPr>
        <w:t>דו</w:t>
      </w:r>
      <w:r w:rsidRPr="0050688D">
        <w:rPr>
          <w:rFonts w:hint="cs"/>
          <w:b/>
          <w:bCs/>
          <w:rtl/>
        </w:rPr>
        <w:t xml:space="preserve">ח </w:t>
      </w:r>
      <w:r w:rsidRPr="0050688D">
        <w:rPr>
          <w:b/>
          <w:bCs/>
          <w:rtl/>
        </w:rPr>
        <w:t>הצוות לבחינת יסודות עבירות ההמתה</w:t>
      </w:r>
      <w:r>
        <w:rPr>
          <w:rFonts w:hint="cs"/>
          <w:rtl/>
        </w:rPr>
        <w:t xml:space="preserve"> עמ' 14)</w:t>
      </w:r>
      <w:r w:rsidRPr="003F15DB">
        <w:rPr>
          <w:rtl/>
        </w:rPr>
        <w:t>. רצח של עובד הציבור גורם ל"פגיעה בערך מוגן נוסף, הוא השמירה על סדרי השלטון והמשפט"</w:t>
      </w:r>
      <w:r>
        <w:rPr>
          <w:rFonts w:hint="cs"/>
          <w:rtl/>
        </w:rPr>
        <w:t xml:space="preserve"> (שם)</w:t>
      </w:r>
      <w:r w:rsidRPr="003F15DB">
        <w:rPr>
          <w:rtl/>
        </w:rPr>
        <w:t>, ורצח של נבחרי ציבור כרוך ב"פגיעה מיוחדת בכלל הציבור ובשיטת המשטר"</w:t>
      </w:r>
      <w:r>
        <w:rPr>
          <w:rFonts w:hint="cs"/>
          <w:rtl/>
        </w:rPr>
        <w:t xml:space="preserve"> (שם)</w:t>
      </w:r>
      <w:r w:rsidRPr="003F15DB">
        <w:rPr>
          <w:rtl/>
        </w:rPr>
        <w:t xml:space="preserve">. </w:t>
      </w:r>
      <w:r>
        <w:rPr>
          <w:rFonts w:hint="cs"/>
          <w:rtl/>
        </w:rPr>
        <w:t xml:space="preserve"> אולם, </w:t>
      </w:r>
      <w:r w:rsidRPr="003F15DB">
        <w:rPr>
          <w:rtl/>
        </w:rPr>
        <w:t>ה</w:t>
      </w:r>
      <w:r>
        <w:rPr>
          <w:rFonts w:hint="cs"/>
          <w:rtl/>
        </w:rPr>
        <w:t>הצעה לקבוע נסיבה מחמירה זו ה</w:t>
      </w:r>
      <w:r w:rsidRPr="003F15DB">
        <w:rPr>
          <w:rtl/>
        </w:rPr>
        <w:t>ושמטה מהצעת החוק.</w:t>
      </w:r>
    </w:p>
    <w:p w:rsidR="00A56708" w:rsidRDefault="00A56708" w:rsidP="00786E36">
      <w:pPr>
        <w:pStyle w:val="a5"/>
        <w:ind w:firstLine="0"/>
        <w:rPr>
          <w:rtl/>
        </w:rPr>
      </w:pPr>
      <w:r>
        <w:rPr>
          <w:rFonts w:hint="cs"/>
          <w:rtl/>
        </w:rPr>
        <w:t xml:space="preserve">תמיכה בהצעה האמורה ניתן למצוא בתשובת </w:t>
      </w:r>
      <w:r w:rsidRPr="00AD407E">
        <w:rPr>
          <w:rtl/>
        </w:rPr>
        <w:t>רבי יהודה בן הרא"ש (גרמניה וספרד, המאה ה-13 עד המאה ה-14) בעניינו של אדם שהיכה דיין</w:t>
      </w:r>
      <w:r>
        <w:rPr>
          <w:rFonts w:hint="cs"/>
          <w:rtl/>
        </w:rPr>
        <w:t xml:space="preserve"> </w:t>
      </w:r>
      <w:r>
        <w:rPr>
          <w:rFonts w:hint="cs"/>
          <w:b/>
          <w:bCs/>
          <w:rtl/>
        </w:rPr>
        <w:t>(</w:t>
      </w:r>
      <w:r w:rsidRPr="00DF57F9">
        <w:rPr>
          <w:rFonts w:hint="cs"/>
          <w:b/>
          <w:bCs/>
          <w:rtl/>
        </w:rPr>
        <w:t>שו"ת זכרון יהודה</w:t>
      </w:r>
      <w:r>
        <w:rPr>
          <w:rFonts w:hint="cs"/>
          <w:rtl/>
        </w:rPr>
        <w:t xml:space="preserve"> עט)</w:t>
      </w:r>
      <w:r w:rsidRPr="00AD407E">
        <w:rPr>
          <w:rtl/>
        </w:rPr>
        <w:t xml:space="preserve">. בתשובתו, ר"י בן הרא"ש מקדים ומבהיר את ההשלכות הציבוריות הקשות שיש לפגיעה בדיין, "כי הדינין הם אחד מג׳ דברים שהעולם קיים עליהם, ואלמלא הדיין, כל התקיף מחברו היה בולעו. והדיינין הם המעמידין הדינין על מכונן, ובעבורם העולם מתיישב ... ואנו מוזהרים לכבדם, כל שכן שלא לבזותם, ואפילו בזמן שאינו דן, כל שכן וכל שכן על עסק הדינין שהוא דן כהוגן, שלא לבזותם, קל וחומר שלא להכותם". </w:t>
      </w:r>
      <w:r>
        <w:rPr>
          <w:rtl/>
        </w:rPr>
        <w:t xml:space="preserve">בהתאם לכך דן ר"י בן הרא"ש בעונש הראוי למי שהיכה את הדיין, ומסיק </w:t>
      </w:r>
      <w:r>
        <w:rPr>
          <w:rFonts w:hint="cs"/>
          <w:rtl/>
        </w:rPr>
        <w:t>ש"</w:t>
      </w:r>
      <w:r>
        <w:rPr>
          <w:rtl/>
        </w:rPr>
        <w:t>אפילו לא היה דיין, והיה אדם מכה אותו באישון לילה בסכין מכת אכזרי והוא הולך בטח לבית הכנסת, ובכניסתו בה ארב לו וקם עליו והכהו פתאום, היה ראוי לחתוך ידו כדי לשבור זרוע רשע ואם היה מכה הכאה כזאת לשלוחא דבי דינא על עסק שהיה רוצה להשלים בו ציווי הדיין, היה ראוי להענישו יותר ויותר על אחת כמה וכמה לדיין שדן דין אמת ומשפט וארב לו וקם עליו והכהו מכת מות ושנה לו והכהו בפניו עד שנשחת הדרת פניו שראוי לעונשו עונש גדול מאד</w:t>
      </w:r>
      <w:r>
        <w:rPr>
          <w:rFonts w:hint="cs"/>
          <w:rtl/>
        </w:rPr>
        <w:t>"</w:t>
      </w:r>
      <w:r>
        <w:rPr>
          <w:rtl/>
        </w:rPr>
        <w:t xml:space="preserve">. </w:t>
      </w:r>
      <w:r w:rsidRPr="00AD407E">
        <w:rPr>
          <w:rtl/>
        </w:rPr>
        <w:t>למדנו מדבריו, שפגיעה בנציגי מערכת המשפט והאכיפה חמורה מפגיעה באדם אחר, ומצדיקה ענישה חמורה מזו שתוטל על הפוגע באדם אחר</w:t>
      </w:r>
      <w:r>
        <w:rPr>
          <w:rFonts w:hint="cs"/>
          <w:rtl/>
        </w:rPr>
        <w:t>.</w:t>
      </w:r>
    </w:p>
  </w:footnote>
  <w:footnote w:id="83">
    <w:p w:rsidR="00A56708" w:rsidRDefault="00A56708">
      <w:pPr>
        <w:pStyle w:val="a5"/>
      </w:pPr>
      <w:r>
        <w:rPr>
          <w:rStyle w:val="a7"/>
        </w:rPr>
        <w:footnoteRef/>
      </w:r>
      <w:r>
        <w:rPr>
          <w:rtl/>
        </w:rPr>
        <w:t xml:space="preserve"> </w:t>
      </w:r>
      <w:r>
        <w:rPr>
          <w:rtl/>
        </w:rPr>
        <w:tab/>
      </w:r>
      <w:r>
        <w:rPr>
          <w:rFonts w:hint="cs"/>
          <w:rtl/>
        </w:rPr>
        <w:t>דברי ההסבר להצעת החוק, עמ' 171.</w:t>
      </w:r>
    </w:p>
  </w:footnote>
  <w:footnote w:id="84">
    <w:p w:rsidR="00A56708" w:rsidRDefault="00A56708" w:rsidP="00AC13CE">
      <w:pPr>
        <w:pStyle w:val="a5"/>
        <w:rPr>
          <w:rtl/>
        </w:rPr>
      </w:pPr>
      <w:r>
        <w:rPr>
          <w:rStyle w:val="a7"/>
        </w:rPr>
        <w:footnoteRef/>
      </w:r>
      <w:r>
        <w:rPr>
          <w:rtl/>
        </w:rPr>
        <w:t xml:space="preserve"> </w:t>
      </w:r>
      <w:r>
        <w:rPr>
          <w:rtl/>
        </w:rPr>
        <w:tab/>
      </w:r>
      <w:r>
        <w:rPr>
          <w:rFonts w:hint="cs"/>
          <w:rtl/>
        </w:rPr>
        <w:t xml:space="preserve">ראו למשל, </w:t>
      </w:r>
      <w:r w:rsidRPr="00345B70">
        <w:rPr>
          <w:rFonts w:hint="cs"/>
          <w:b/>
          <w:bCs/>
          <w:rtl/>
        </w:rPr>
        <w:t>שו"ת תמים דעים</w:t>
      </w:r>
      <w:r>
        <w:rPr>
          <w:rFonts w:hint="cs"/>
          <w:rtl/>
        </w:rPr>
        <w:t xml:space="preserve"> רג (</w:t>
      </w:r>
      <w:r w:rsidRPr="00345B70">
        <w:rPr>
          <w:rtl/>
        </w:rPr>
        <w:t>"כל שלהכעיס עושה רשע כזה רשע גמור הוא, וכמעט שהיא 'מין'... וכמו שמותר להרוג את זה המין, כך מותר להרוג את זה שמוסר ממון חברו...</w:t>
      </w:r>
      <w:r>
        <w:rPr>
          <w:rtl/>
        </w:rPr>
        <w:t xml:space="preserve"> להכעיס, שהרי אינו מרוויח כלום"</w:t>
      </w:r>
      <w:r>
        <w:rPr>
          <w:rFonts w:hint="cs"/>
          <w:rtl/>
        </w:rPr>
        <w:t>).</w:t>
      </w:r>
    </w:p>
  </w:footnote>
  <w:footnote w:id="85">
    <w:p w:rsidR="00A56708" w:rsidRDefault="00A56708" w:rsidP="00AC13CE">
      <w:pPr>
        <w:pStyle w:val="a5"/>
        <w:rPr>
          <w:rtl/>
        </w:rPr>
      </w:pPr>
      <w:r>
        <w:rPr>
          <w:rStyle w:val="a7"/>
        </w:rPr>
        <w:footnoteRef/>
      </w:r>
      <w:r>
        <w:rPr>
          <w:rtl/>
        </w:rPr>
        <w:t xml:space="preserve"> </w:t>
      </w:r>
      <w:r>
        <w:rPr>
          <w:rtl/>
        </w:rPr>
        <w:tab/>
      </w:r>
      <w:r>
        <w:rPr>
          <w:rFonts w:hint="cs"/>
          <w:rtl/>
        </w:rPr>
        <w:t xml:space="preserve"> </w:t>
      </w:r>
      <w:r w:rsidRPr="00DF57F9">
        <w:rPr>
          <w:rFonts w:hint="cs"/>
          <w:b/>
          <w:bCs/>
          <w:rtl/>
        </w:rPr>
        <w:t>ילקוט מעם לועז</w:t>
      </w:r>
      <w:r>
        <w:rPr>
          <w:rFonts w:hint="cs"/>
          <w:rtl/>
        </w:rPr>
        <w:t xml:space="preserve"> בראשית א, יד (בסוף).</w:t>
      </w:r>
    </w:p>
  </w:footnote>
  <w:footnote w:id="86">
    <w:p w:rsidR="00A56708" w:rsidRDefault="00A56708">
      <w:pPr>
        <w:pStyle w:val="a5"/>
        <w:rPr>
          <w:rtl/>
        </w:rPr>
      </w:pPr>
      <w:r>
        <w:rPr>
          <w:rStyle w:val="a7"/>
        </w:rPr>
        <w:footnoteRef/>
      </w:r>
      <w:r>
        <w:rPr>
          <w:rtl/>
        </w:rPr>
        <w:t xml:space="preserve"> </w:t>
      </w:r>
      <w:r>
        <w:rPr>
          <w:rtl/>
        </w:rPr>
        <w:tab/>
      </w:r>
      <w:r>
        <w:rPr>
          <w:rFonts w:hint="cs"/>
          <w:rtl/>
        </w:rPr>
        <w:t xml:space="preserve">אהרון קירשנבאום, </w:t>
      </w:r>
      <w:r w:rsidRPr="00C506CB">
        <w:rPr>
          <w:rFonts w:hint="cs"/>
          <w:b/>
          <w:bCs/>
          <w:rtl/>
        </w:rPr>
        <w:t xml:space="preserve">בית דין מכין ועונשין: הענישה הפלילית בעם ישראל </w:t>
      </w:r>
      <w:r w:rsidRPr="00C506CB">
        <w:rPr>
          <w:b/>
          <w:bCs/>
          <w:rtl/>
        </w:rPr>
        <w:t>–</w:t>
      </w:r>
      <w:r w:rsidRPr="00C506CB">
        <w:rPr>
          <w:rFonts w:hint="cs"/>
          <w:b/>
          <w:bCs/>
          <w:rtl/>
        </w:rPr>
        <w:t xml:space="preserve"> תורתה ותולדותיה</w:t>
      </w:r>
      <w:r>
        <w:rPr>
          <w:rFonts w:hint="cs"/>
          <w:rtl/>
        </w:rPr>
        <w:t xml:space="preserve"> מאגנס, האוניברסיטה העברית, ירושלים תשע"ג, עמ' 339.</w:t>
      </w:r>
    </w:p>
  </w:footnote>
  <w:footnote w:id="87">
    <w:p w:rsidR="00A56708" w:rsidRDefault="00A56708">
      <w:pPr>
        <w:pStyle w:val="a5"/>
      </w:pPr>
      <w:r>
        <w:rPr>
          <w:rStyle w:val="a7"/>
        </w:rPr>
        <w:footnoteRef/>
      </w:r>
      <w:r>
        <w:rPr>
          <w:rtl/>
        </w:rPr>
        <w:t xml:space="preserve"> </w:t>
      </w:r>
      <w:r>
        <w:rPr>
          <w:rtl/>
        </w:rPr>
        <w:tab/>
      </w:r>
      <w:r w:rsidRPr="00D91B49">
        <w:rPr>
          <w:rFonts w:hint="cs"/>
          <w:b/>
          <w:bCs/>
          <w:rtl/>
        </w:rPr>
        <w:t>ויקרא</w:t>
      </w:r>
      <w:r>
        <w:rPr>
          <w:rFonts w:hint="cs"/>
          <w:rtl/>
        </w:rPr>
        <w:t xml:space="preserve"> יט, יח.</w:t>
      </w:r>
    </w:p>
  </w:footnote>
  <w:footnote w:id="88">
    <w:p w:rsidR="00A56708" w:rsidRDefault="00A56708" w:rsidP="00D91B49">
      <w:pPr>
        <w:pStyle w:val="a5"/>
        <w:rPr>
          <w:rtl/>
        </w:rPr>
      </w:pPr>
      <w:r>
        <w:rPr>
          <w:rStyle w:val="a7"/>
        </w:rPr>
        <w:footnoteRef/>
      </w:r>
      <w:r>
        <w:rPr>
          <w:rtl/>
        </w:rPr>
        <w:t xml:space="preserve"> </w:t>
      </w:r>
      <w:r>
        <w:rPr>
          <w:rtl/>
        </w:rPr>
        <w:tab/>
      </w:r>
      <w:r w:rsidRPr="00D91B49">
        <w:rPr>
          <w:b/>
          <w:bCs/>
          <w:rtl/>
        </w:rPr>
        <w:t xml:space="preserve">תוספתא </w:t>
      </w:r>
      <w:r>
        <w:rPr>
          <w:rtl/>
        </w:rPr>
        <w:t>סנהדרין (צוקרמאנדל) ט</w:t>
      </w:r>
      <w:r>
        <w:rPr>
          <w:rFonts w:hint="cs"/>
          <w:rtl/>
        </w:rPr>
        <w:t>, יא.</w:t>
      </w:r>
    </w:p>
  </w:footnote>
  <w:footnote w:id="89">
    <w:p w:rsidR="00A56708" w:rsidRDefault="00A56708" w:rsidP="0083077E">
      <w:pPr>
        <w:pStyle w:val="a5"/>
      </w:pPr>
      <w:r>
        <w:rPr>
          <w:rStyle w:val="a7"/>
        </w:rPr>
        <w:footnoteRef/>
      </w:r>
      <w:r>
        <w:rPr>
          <w:rtl/>
        </w:rPr>
        <w:t xml:space="preserve"> </w:t>
      </w:r>
      <w:r>
        <w:rPr>
          <w:rtl/>
        </w:rPr>
        <w:tab/>
      </w:r>
      <w:r>
        <w:rPr>
          <w:rFonts w:hint="cs"/>
          <w:rtl/>
        </w:rPr>
        <w:t xml:space="preserve">כך ניתן להבין גם מתשובת </w:t>
      </w:r>
      <w:r w:rsidRPr="00FE7111">
        <w:rPr>
          <w:rtl/>
        </w:rPr>
        <w:t>הרב משה פיינשטיין (ארצות הברית, המאה ה-20) לשאלתו של מושל מדינת ניו-יורק בעניין עמדת ההלכה היהודית בנוגע להחלת עונש מוות במדינה</w:t>
      </w:r>
      <w:r>
        <w:rPr>
          <w:rFonts w:hint="cs"/>
          <w:rtl/>
        </w:rPr>
        <w:t xml:space="preserve"> (</w:t>
      </w:r>
      <w:r w:rsidRPr="00DD4705">
        <w:rPr>
          <w:rFonts w:hint="cs"/>
          <w:b/>
          <w:bCs/>
          <w:rtl/>
        </w:rPr>
        <w:t xml:space="preserve">שו"ת אגרות משה </w:t>
      </w:r>
      <w:r>
        <w:rPr>
          <w:rFonts w:hint="cs"/>
          <w:rtl/>
        </w:rPr>
        <w:t>חו"מ ב, סח)</w:t>
      </w:r>
      <w:r w:rsidRPr="00FE7111">
        <w:rPr>
          <w:rtl/>
        </w:rPr>
        <w:t xml:space="preserve">. הרב פיינשטיין מבהיר בתשובתו שההלכה היהודית אינה מאפשרת כיום להטיל על אדם עונש מוות, אך הוא מסייג, ש"כל זה הוא כשלא הופקר איסור הרציחה, אלא שבשביל איזה תאווה גדולה או איזה מריבה על טענת ממון וכבוד עשה זה. אבל מי שהורג נפשות מחמת שהופקר אצלו איסור הרציחה </w:t>
      </w:r>
      <w:r w:rsidRPr="00E46258">
        <w:rPr>
          <w:b/>
          <w:bCs/>
          <w:rtl/>
        </w:rPr>
        <w:t>והוא אכזרי ביותר</w:t>
      </w:r>
      <w:r w:rsidRPr="00FE7111">
        <w:rPr>
          <w:rtl/>
        </w:rPr>
        <w:t>, וכן כשנתרבו רוצחים ועושי רשעה היו דנין למיגדר מלתא למנוע מעשה רציחה שהוא הצלת המדינה"</w:t>
      </w:r>
      <w:r>
        <w:rPr>
          <w:rFonts w:hint="cs"/>
          <w:rtl/>
        </w:rPr>
        <w:t xml:space="preserve"> (ההדגשה אינה במקור). </w:t>
      </w:r>
    </w:p>
  </w:footnote>
  <w:footnote w:id="90">
    <w:p w:rsidR="00A56708" w:rsidRDefault="00A56708">
      <w:pPr>
        <w:pStyle w:val="a5"/>
        <w:rPr>
          <w:rtl/>
        </w:rPr>
      </w:pPr>
      <w:r>
        <w:rPr>
          <w:rStyle w:val="a7"/>
        </w:rPr>
        <w:footnoteRef/>
      </w:r>
      <w:r>
        <w:rPr>
          <w:rtl/>
        </w:rPr>
        <w:t xml:space="preserve"> </w:t>
      </w:r>
      <w:r>
        <w:rPr>
          <w:rtl/>
        </w:rPr>
        <w:tab/>
      </w:r>
      <w:r>
        <w:rPr>
          <w:rFonts w:hint="cs"/>
          <w:rtl/>
        </w:rPr>
        <w:t>כהגדרתו בסעיף 368א לחוק העונשין.</w:t>
      </w:r>
    </w:p>
  </w:footnote>
  <w:footnote w:id="91">
    <w:p w:rsidR="00A56708" w:rsidRDefault="00A56708">
      <w:pPr>
        <w:pStyle w:val="a5"/>
        <w:rPr>
          <w:rtl/>
        </w:rPr>
      </w:pPr>
      <w:r>
        <w:rPr>
          <w:rStyle w:val="a7"/>
        </w:rPr>
        <w:footnoteRef/>
      </w:r>
      <w:r>
        <w:rPr>
          <w:rtl/>
        </w:rPr>
        <w:t xml:space="preserve"> </w:t>
      </w:r>
      <w:r>
        <w:rPr>
          <w:rtl/>
        </w:rPr>
        <w:tab/>
      </w:r>
      <w:r>
        <w:rPr>
          <w:rFonts w:hint="cs"/>
          <w:rtl/>
        </w:rPr>
        <w:t>כהגדרתו שם.</w:t>
      </w:r>
    </w:p>
  </w:footnote>
  <w:footnote w:id="92">
    <w:p w:rsidR="00A56708" w:rsidRDefault="00A56708" w:rsidP="00C839DE">
      <w:pPr>
        <w:pStyle w:val="a5"/>
        <w:rPr>
          <w:rtl/>
        </w:rPr>
      </w:pPr>
      <w:r>
        <w:rPr>
          <w:rStyle w:val="a7"/>
        </w:rPr>
        <w:footnoteRef/>
      </w:r>
      <w:r>
        <w:rPr>
          <w:rtl/>
        </w:rPr>
        <w:t xml:space="preserve"> </w:t>
      </w:r>
      <w:r>
        <w:rPr>
          <w:rtl/>
        </w:rPr>
        <w:tab/>
      </w:r>
      <w:r>
        <w:rPr>
          <w:rFonts w:hint="cs"/>
          <w:rtl/>
        </w:rPr>
        <w:t xml:space="preserve">ראו למשל: </w:t>
      </w:r>
      <w:r w:rsidRPr="00C839DE">
        <w:rPr>
          <w:rFonts w:hint="cs"/>
          <w:b/>
          <w:bCs/>
          <w:rtl/>
        </w:rPr>
        <w:t>תהלים</w:t>
      </w:r>
      <w:r>
        <w:rPr>
          <w:rFonts w:hint="cs"/>
          <w:rtl/>
        </w:rPr>
        <w:t xml:space="preserve"> סח, ה-ו; </w:t>
      </w:r>
      <w:r w:rsidRPr="00C839DE">
        <w:rPr>
          <w:rFonts w:hint="cs"/>
          <w:b/>
          <w:bCs/>
          <w:rtl/>
        </w:rPr>
        <w:t xml:space="preserve">משנה תורה </w:t>
      </w:r>
      <w:r>
        <w:rPr>
          <w:rtl/>
        </w:rPr>
        <w:t>הלכות נחלות</w:t>
      </w:r>
      <w:r>
        <w:rPr>
          <w:rFonts w:hint="cs"/>
          <w:rtl/>
        </w:rPr>
        <w:t>,</w:t>
      </w:r>
      <w:r>
        <w:rPr>
          <w:rtl/>
        </w:rPr>
        <w:t xml:space="preserve"> יא, יב</w:t>
      </w:r>
      <w:r>
        <w:rPr>
          <w:rFonts w:hint="cs"/>
          <w:rtl/>
        </w:rPr>
        <w:t>.</w:t>
      </w:r>
    </w:p>
  </w:footnote>
  <w:footnote w:id="93">
    <w:p w:rsidR="00A56708" w:rsidRDefault="00A56708" w:rsidP="00C839DE">
      <w:pPr>
        <w:pStyle w:val="a5"/>
      </w:pPr>
      <w:r>
        <w:rPr>
          <w:rStyle w:val="a7"/>
        </w:rPr>
        <w:footnoteRef/>
      </w:r>
      <w:r>
        <w:rPr>
          <w:rtl/>
        </w:rPr>
        <w:t xml:space="preserve"> </w:t>
      </w:r>
      <w:r>
        <w:rPr>
          <w:rtl/>
        </w:rPr>
        <w:tab/>
      </w:r>
      <w:r w:rsidRPr="005C4E19">
        <w:rPr>
          <w:rFonts w:hint="cs"/>
          <w:spacing w:val="-2"/>
          <w:rtl/>
        </w:rPr>
        <w:t xml:space="preserve">ראו: </w:t>
      </w:r>
      <w:r w:rsidRPr="005C4E19">
        <w:rPr>
          <w:b/>
          <w:bCs/>
          <w:spacing w:val="-2"/>
          <w:rtl/>
        </w:rPr>
        <w:t>תלמוד בבלי</w:t>
      </w:r>
      <w:r w:rsidRPr="005C4E19">
        <w:rPr>
          <w:spacing w:val="-2"/>
          <w:rtl/>
        </w:rPr>
        <w:t xml:space="preserve"> גיטין לז,א ("רבן גמליאל ובית דינו, אביהן של יתומים"); בבא קמא לז,א; </w:t>
      </w:r>
      <w:r w:rsidRPr="005C4E19">
        <w:rPr>
          <w:b/>
          <w:bCs/>
          <w:spacing w:val="-2"/>
          <w:rtl/>
        </w:rPr>
        <w:t>משנה תורה</w:t>
      </w:r>
      <w:r w:rsidRPr="005C4E19">
        <w:rPr>
          <w:spacing w:val="-2"/>
          <w:rtl/>
        </w:rPr>
        <w:t xml:space="preserve"> </w:t>
      </w:r>
      <w:r w:rsidRPr="005C4E19">
        <w:rPr>
          <w:rFonts w:hint="cs"/>
          <w:spacing w:val="-2"/>
          <w:rtl/>
        </w:rPr>
        <w:t xml:space="preserve">הלכות </w:t>
      </w:r>
      <w:r w:rsidRPr="005C4E19">
        <w:rPr>
          <w:spacing w:val="-2"/>
          <w:rtl/>
        </w:rPr>
        <w:t xml:space="preserve">נחלות י, ה; </w:t>
      </w:r>
      <w:r w:rsidRPr="005C4E19">
        <w:rPr>
          <w:b/>
          <w:bCs/>
          <w:spacing w:val="-2"/>
          <w:rtl/>
        </w:rPr>
        <w:t>שולחן ערוך</w:t>
      </w:r>
      <w:r w:rsidRPr="005C4E19">
        <w:rPr>
          <w:spacing w:val="-2"/>
          <w:rtl/>
        </w:rPr>
        <w:t xml:space="preserve"> חו</w:t>
      </w:r>
      <w:r w:rsidRPr="005C4E19">
        <w:rPr>
          <w:rFonts w:hint="cs"/>
          <w:spacing w:val="-2"/>
          <w:rtl/>
        </w:rPr>
        <w:t xml:space="preserve">שן משפט </w:t>
      </w:r>
      <w:r w:rsidRPr="005C4E19">
        <w:rPr>
          <w:spacing w:val="-2"/>
          <w:rtl/>
        </w:rPr>
        <w:t xml:space="preserve">רצ, א. ובהרחבה אצל אריה אדרעי, "בית הדין כאביהם של יתומים", </w:t>
      </w:r>
      <w:r w:rsidRPr="005C4E19">
        <w:rPr>
          <w:b/>
          <w:bCs/>
          <w:spacing w:val="-2"/>
          <w:rtl/>
        </w:rPr>
        <w:t>דיני ישראל</w:t>
      </w:r>
      <w:r w:rsidRPr="005C4E19">
        <w:rPr>
          <w:spacing w:val="-2"/>
          <w:rtl/>
        </w:rPr>
        <w:t xml:space="preserve"> יט (תשנ"ז), עמ' ה-מא. וראו גם: </w:t>
      </w:r>
      <w:r w:rsidRPr="005C4E19">
        <w:rPr>
          <w:b/>
          <w:bCs/>
          <w:spacing w:val="-2"/>
          <w:rtl/>
        </w:rPr>
        <w:t>קהילות יעקב</w:t>
      </w:r>
      <w:r w:rsidRPr="005C4E19">
        <w:rPr>
          <w:spacing w:val="-2"/>
          <w:rtl/>
        </w:rPr>
        <w:t xml:space="preserve"> בבא בתרא, סימן ח, ד"ה וידעתי ("נראה דכל בית דין, מלבד כח בית דין שלהם [=סמכות השיפוט], אית בהו נמי כח של גבאי צדקה")</w:t>
      </w:r>
      <w:r w:rsidR="00062035">
        <w:rPr>
          <w:rFonts w:hint="cs"/>
          <w:spacing w:val="-2"/>
          <w:rtl/>
        </w:rPr>
        <w:t>. על הרחבת ע</w:t>
      </w:r>
      <w:r w:rsidRPr="005C4E19">
        <w:rPr>
          <w:rFonts w:hint="cs"/>
          <w:spacing w:val="-2"/>
          <w:rtl/>
        </w:rPr>
        <w:t xml:space="preserve">קרון זה לכל חסרי הישע ראו למשל: </w:t>
      </w:r>
      <w:r w:rsidRPr="005C4E19">
        <w:rPr>
          <w:b/>
          <w:bCs/>
          <w:spacing w:val="-2"/>
          <w:rtl/>
        </w:rPr>
        <w:t>שו"ת הריטב"א</w:t>
      </w:r>
      <w:r w:rsidRPr="005C4E19">
        <w:rPr>
          <w:spacing w:val="-2"/>
          <w:rtl/>
        </w:rPr>
        <w:t xml:space="preserve"> קסב ("כשם שבית דין חייבין ליטפל בנכסי יתומים, כך חייבין ליטפל בנכסי כל אדם שאין לו מי שיטפל בהם</w:t>
      </w:r>
      <w:r w:rsidRPr="005C4E19">
        <w:rPr>
          <w:rFonts w:hint="cs"/>
          <w:spacing w:val="-2"/>
          <w:rtl/>
        </w:rPr>
        <w:t>...</w:t>
      </w:r>
      <w:r w:rsidRPr="005C4E19">
        <w:rPr>
          <w:spacing w:val="-2"/>
          <w:rtl/>
        </w:rPr>
        <w:t xml:space="preserve"> וכשם שב</w:t>
      </w:r>
      <w:r w:rsidRPr="005C4E19">
        <w:rPr>
          <w:rFonts w:hint="cs"/>
          <w:spacing w:val="-2"/>
          <w:rtl/>
        </w:rPr>
        <w:t xml:space="preserve">ית דין </w:t>
      </w:r>
      <w:r w:rsidRPr="005C4E19">
        <w:rPr>
          <w:spacing w:val="-2"/>
          <w:rtl/>
        </w:rPr>
        <w:t>אביהם של יתומים, כך הם אביהם של אלו</w:t>
      </w:r>
      <w:r w:rsidRPr="005C4E19">
        <w:rPr>
          <w:rFonts w:hint="cs"/>
          <w:spacing w:val="-2"/>
          <w:rtl/>
        </w:rPr>
        <w:t>"</w:t>
      </w:r>
      <w:r w:rsidRPr="005C4E19">
        <w:rPr>
          <w:spacing w:val="-2"/>
          <w:rtl/>
        </w:rPr>
        <w:t>)</w:t>
      </w:r>
      <w:r w:rsidRPr="005C4E19">
        <w:rPr>
          <w:rFonts w:hint="cs"/>
          <w:spacing w:val="-2"/>
          <w:rtl/>
        </w:rPr>
        <w:t xml:space="preserve">; </w:t>
      </w:r>
      <w:r w:rsidRPr="005C4E19">
        <w:rPr>
          <w:b/>
          <w:bCs/>
          <w:spacing w:val="-2"/>
          <w:rtl/>
        </w:rPr>
        <w:t>משנה תורה</w:t>
      </w:r>
      <w:r w:rsidRPr="005C4E19">
        <w:rPr>
          <w:spacing w:val="-2"/>
          <w:rtl/>
        </w:rPr>
        <w:t xml:space="preserve"> </w:t>
      </w:r>
      <w:r w:rsidRPr="005C4E19">
        <w:rPr>
          <w:rFonts w:hint="cs"/>
          <w:spacing w:val="-2"/>
          <w:rtl/>
        </w:rPr>
        <w:t xml:space="preserve">הלכות </w:t>
      </w:r>
      <w:r w:rsidRPr="005C4E19">
        <w:rPr>
          <w:spacing w:val="-2"/>
          <w:rtl/>
        </w:rPr>
        <w:t xml:space="preserve">מכירה כט, ד; נחלות י, ח; </w:t>
      </w:r>
      <w:r w:rsidRPr="005C4E19">
        <w:rPr>
          <w:b/>
          <w:bCs/>
          <w:spacing w:val="-2"/>
          <w:rtl/>
        </w:rPr>
        <w:t>שו"ת הרשב"א המיוחסות לרמב"ן</w:t>
      </w:r>
      <w:r w:rsidRPr="005C4E19">
        <w:rPr>
          <w:spacing w:val="-2"/>
          <w:rtl/>
        </w:rPr>
        <w:t xml:space="preserve"> סו; </w:t>
      </w:r>
      <w:r w:rsidRPr="005C4E19">
        <w:rPr>
          <w:b/>
          <w:bCs/>
          <w:spacing w:val="-2"/>
          <w:rtl/>
        </w:rPr>
        <w:t>שולחן ערוך</w:t>
      </w:r>
      <w:r w:rsidRPr="005C4E19">
        <w:rPr>
          <w:spacing w:val="-2"/>
          <w:rtl/>
        </w:rPr>
        <w:t xml:space="preserve"> חו</w:t>
      </w:r>
      <w:r w:rsidRPr="005C4E19">
        <w:rPr>
          <w:rFonts w:hint="cs"/>
          <w:spacing w:val="-2"/>
          <w:rtl/>
        </w:rPr>
        <w:t xml:space="preserve">שן משפט </w:t>
      </w:r>
      <w:r w:rsidRPr="005C4E19">
        <w:rPr>
          <w:spacing w:val="-2"/>
          <w:rtl/>
        </w:rPr>
        <w:t xml:space="preserve">רלה, כ; שם שם, רפה, ב; </w:t>
      </w:r>
      <w:r w:rsidRPr="005C4E19">
        <w:rPr>
          <w:b/>
          <w:bCs/>
          <w:spacing w:val="-2"/>
          <w:rtl/>
        </w:rPr>
        <w:t>שו"ת מהריב"ל</w:t>
      </w:r>
      <w:r w:rsidRPr="005C4E19">
        <w:rPr>
          <w:spacing w:val="-2"/>
          <w:rtl/>
        </w:rPr>
        <w:t xml:space="preserve"> ב, עו; </w:t>
      </w:r>
      <w:r w:rsidRPr="005C4E19">
        <w:rPr>
          <w:b/>
          <w:bCs/>
          <w:spacing w:val="-2"/>
          <w:rtl/>
        </w:rPr>
        <w:t>פד"ר</w:t>
      </w:r>
      <w:r w:rsidRPr="005C4E19">
        <w:rPr>
          <w:spacing w:val="-2"/>
          <w:rtl/>
        </w:rPr>
        <w:t xml:space="preserve"> ה, שלג; </w:t>
      </w:r>
      <w:r w:rsidRPr="005C4E19">
        <w:rPr>
          <w:b/>
          <w:bCs/>
          <w:spacing w:val="-2"/>
          <w:rtl/>
        </w:rPr>
        <w:t>שו"ת הריב"ש</w:t>
      </w:r>
      <w:r w:rsidRPr="005C4E19">
        <w:rPr>
          <w:spacing w:val="-2"/>
          <w:rtl/>
        </w:rPr>
        <w:t xml:space="preserve"> כ ("אין ב"ד ממנין אפטרופוס לטפשים כי אם לשוטים</w:t>
      </w:r>
      <w:r w:rsidRPr="00C839DE">
        <w:rPr>
          <w:rtl/>
        </w:rPr>
        <w:t>"))</w:t>
      </w:r>
      <w:r>
        <w:rPr>
          <w:rFonts w:hint="cs"/>
          <w:rtl/>
        </w:rPr>
        <w:t>.</w:t>
      </w:r>
    </w:p>
  </w:footnote>
  <w:footnote w:id="94">
    <w:p w:rsidR="00A56708" w:rsidRDefault="00A56708">
      <w:pPr>
        <w:pStyle w:val="a5"/>
      </w:pPr>
      <w:r>
        <w:rPr>
          <w:rStyle w:val="a7"/>
        </w:rPr>
        <w:footnoteRef/>
      </w:r>
      <w:r>
        <w:rPr>
          <w:rtl/>
        </w:rPr>
        <w:t xml:space="preserve"> </w:t>
      </w:r>
      <w:r>
        <w:rPr>
          <w:rtl/>
        </w:rPr>
        <w:tab/>
      </w:r>
      <w:r w:rsidRPr="005C4E19">
        <w:rPr>
          <w:rFonts w:hint="cs"/>
          <w:b/>
          <w:bCs/>
          <w:rtl/>
        </w:rPr>
        <w:t>דברי ההסבר להצעת החוק</w:t>
      </w:r>
      <w:r>
        <w:rPr>
          <w:rFonts w:hint="cs"/>
          <w:rtl/>
        </w:rPr>
        <w:t xml:space="preserve"> עמ' 173. </w:t>
      </w:r>
      <w:r w:rsidRPr="005C4E19">
        <w:rPr>
          <w:rtl/>
        </w:rPr>
        <w:t>יש להדגיש, שהצעת החוק אינה מציעה להחמיר דווקא עם מי שרצח תוך סיכון חייו של אדם אחר (די בכך שיצר "סכנה ממשית לפגיעה חמורה בגופו של אדם אחר") ואף אינה דורשת שהסיכון יהיה לרבים</w:t>
      </w:r>
      <w:r>
        <w:rPr>
          <w:rFonts w:hint="cs"/>
          <w:rtl/>
        </w:rPr>
        <w:t xml:space="preserve"> (</w:t>
      </w:r>
      <w:r w:rsidRPr="002C136F">
        <w:rPr>
          <w:rFonts w:hint="cs"/>
          <w:rtl/>
        </w:rPr>
        <w:t xml:space="preserve">על אף שבדברי ההסבר להצעת החוק </w:t>
      </w:r>
      <w:r>
        <w:rPr>
          <w:rFonts w:hint="cs"/>
          <w:rtl/>
        </w:rPr>
        <w:t xml:space="preserve">(שם) </w:t>
      </w:r>
      <w:r w:rsidRPr="002C136F">
        <w:rPr>
          <w:rFonts w:hint="cs"/>
          <w:rtl/>
        </w:rPr>
        <w:t>הודגמה נסיבה מחמירה זו ב"</w:t>
      </w:r>
      <w:r w:rsidRPr="002C136F">
        <w:rPr>
          <w:rtl/>
        </w:rPr>
        <w:t>במקרה של הנחת פצצה במקום שבו שוהים אנשים</w:t>
      </w:r>
      <w:r w:rsidRPr="002C136F">
        <w:rPr>
          <w:rFonts w:hint="cs"/>
          <w:rtl/>
        </w:rPr>
        <w:t xml:space="preserve"> </w:t>
      </w:r>
      <w:r w:rsidRPr="002C136F">
        <w:rPr>
          <w:rtl/>
        </w:rPr>
        <w:t>אחרים מלבד הקרבן המיועד, או הצתה של מקום כאמור</w:t>
      </w:r>
      <w:r w:rsidRPr="002C136F">
        <w:rPr>
          <w:rFonts w:hint="cs"/>
          <w:rtl/>
        </w:rPr>
        <w:t>"</w:t>
      </w:r>
      <w:r>
        <w:rPr>
          <w:rFonts w:hint="cs"/>
          <w:rtl/>
        </w:rPr>
        <w:t>).</w:t>
      </w:r>
    </w:p>
  </w:footnote>
  <w:footnote w:id="95">
    <w:p w:rsidR="00A56708" w:rsidRDefault="00A56708">
      <w:pPr>
        <w:pStyle w:val="a5"/>
        <w:rPr>
          <w:rtl/>
        </w:rPr>
      </w:pPr>
      <w:r>
        <w:rPr>
          <w:rStyle w:val="a7"/>
        </w:rPr>
        <w:footnoteRef/>
      </w:r>
      <w:r>
        <w:rPr>
          <w:rtl/>
        </w:rPr>
        <w:t xml:space="preserve"> </w:t>
      </w:r>
      <w:r>
        <w:rPr>
          <w:rtl/>
        </w:rPr>
        <w:tab/>
      </w:r>
      <w:r w:rsidRPr="00E93B0D">
        <w:rPr>
          <w:b/>
          <w:bCs/>
          <w:rtl/>
        </w:rPr>
        <w:t>דברים</w:t>
      </w:r>
      <w:r>
        <w:rPr>
          <w:rtl/>
        </w:rPr>
        <w:t xml:space="preserve"> כב, ח</w:t>
      </w:r>
      <w:r>
        <w:rPr>
          <w:rFonts w:hint="cs"/>
          <w:rtl/>
        </w:rPr>
        <w:t>.</w:t>
      </w:r>
    </w:p>
  </w:footnote>
  <w:footnote w:id="96">
    <w:p w:rsidR="00A56708" w:rsidRDefault="00A56708" w:rsidP="00E93B0D">
      <w:pPr>
        <w:pStyle w:val="a5"/>
        <w:rPr>
          <w:rtl/>
        </w:rPr>
      </w:pPr>
      <w:r>
        <w:rPr>
          <w:rStyle w:val="a7"/>
        </w:rPr>
        <w:footnoteRef/>
      </w:r>
      <w:r>
        <w:rPr>
          <w:rtl/>
        </w:rPr>
        <w:t xml:space="preserve"> </w:t>
      </w:r>
      <w:r>
        <w:rPr>
          <w:rtl/>
        </w:rPr>
        <w:tab/>
      </w:r>
      <w:r w:rsidRPr="00E93B0D">
        <w:rPr>
          <w:rFonts w:hint="cs"/>
          <w:b/>
          <w:bCs/>
          <w:rtl/>
        </w:rPr>
        <w:t>משנה תורה</w:t>
      </w:r>
      <w:r>
        <w:rPr>
          <w:rFonts w:hint="cs"/>
          <w:rtl/>
        </w:rPr>
        <w:t xml:space="preserve"> הלכות רוצח ושמירת נפש יא, ד. וראו בהרחבה אצל אביעד הכהן, "</w:t>
      </w:r>
      <w:r w:rsidRPr="00E93B0D">
        <w:rPr>
          <w:rtl/>
        </w:rPr>
        <w:t>הזכות לשאת נשק לצ</w:t>
      </w:r>
      <w:r>
        <w:rPr>
          <w:rtl/>
        </w:rPr>
        <w:t>ורכי עבודה והגנה עצמית וסייגיה</w:t>
      </w:r>
      <w:r>
        <w:rPr>
          <w:rFonts w:hint="cs"/>
          <w:rtl/>
        </w:rPr>
        <w:t xml:space="preserve">" </w:t>
      </w:r>
      <w:r w:rsidRPr="00C839DE">
        <w:rPr>
          <w:rFonts w:hint="cs"/>
          <w:b/>
          <w:bCs/>
          <w:rtl/>
        </w:rPr>
        <w:t>פרשת השבוע</w:t>
      </w:r>
      <w:r>
        <w:rPr>
          <w:rFonts w:hint="cs"/>
          <w:rtl/>
        </w:rPr>
        <w:t xml:space="preserve"> גיליון מס' 425 (הוצאת משרד המשפטים ומכללת שערי משפט), כי תצא תשע"ג (זמין בכתובת </w:t>
      </w:r>
      <w:hyperlink r:id="rId2" w:history="1">
        <w:r w:rsidRPr="00814574">
          <w:rPr>
            <w:rStyle w:val="Hyperlink"/>
          </w:rPr>
          <w:t>http://www.justice.gov.il/Units/MishpatIvri/Gilyonot/425.doc</w:t>
        </w:r>
      </w:hyperlink>
      <w:r>
        <w:rPr>
          <w:rFonts w:hint="cs"/>
          <w:rtl/>
        </w:rPr>
        <w:t xml:space="preserve"> כניסה אחרונה: 29 ביוני 2016).</w:t>
      </w:r>
    </w:p>
  </w:footnote>
  <w:footnote w:id="97">
    <w:p w:rsidR="00A56708" w:rsidRDefault="00A56708">
      <w:pPr>
        <w:pStyle w:val="a5"/>
        <w:rPr>
          <w:rtl/>
        </w:rPr>
      </w:pPr>
      <w:r>
        <w:rPr>
          <w:rStyle w:val="a7"/>
        </w:rPr>
        <w:footnoteRef/>
      </w:r>
      <w:r>
        <w:rPr>
          <w:rtl/>
        </w:rPr>
        <w:t xml:space="preserve"> </w:t>
      </w:r>
      <w:r>
        <w:rPr>
          <w:rtl/>
        </w:rPr>
        <w:tab/>
      </w:r>
      <w:r w:rsidRPr="00E93B0D">
        <w:rPr>
          <w:rFonts w:hint="cs"/>
          <w:b/>
          <w:bCs/>
          <w:rtl/>
        </w:rPr>
        <w:t>מנחת חינוך</w:t>
      </w:r>
      <w:r>
        <w:rPr>
          <w:rFonts w:hint="cs"/>
          <w:rtl/>
        </w:rPr>
        <w:t xml:space="preserve"> נג ("</w:t>
      </w:r>
      <w:r w:rsidRPr="00E93B0D">
        <w:rPr>
          <w:rtl/>
        </w:rPr>
        <w:t>דודאי לעשות תקלה ברשות הרבים שיוכל להיות מיתה או היזק לאדם ב</w:t>
      </w:r>
      <w:r>
        <w:rPr>
          <w:rFonts w:hint="cs"/>
          <w:rtl/>
        </w:rPr>
        <w:t>ו</w:t>
      </w:r>
      <w:r w:rsidRPr="00E93B0D">
        <w:rPr>
          <w:rtl/>
        </w:rPr>
        <w:t>ודאי הוא איסור תורה, כמו שמבואר ברמב"ם פי"א מרוצח ה"ד, דאפילו ברשותו אסור, מכל שכן ברשות הרבים</w:t>
      </w:r>
      <w:r>
        <w:rPr>
          <w:rFonts w:hint="cs"/>
          <w:rtl/>
        </w:rPr>
        <w:t>").</w:t>
      </w:r>
    </w:p>
  </w:footnote>
  <w:footnote w:id="98">
    <w:p w:rsidR="00A56708" w:rsidRDefault="00A56708" w:rsidP="00AA7D12">
      <w:pPr>
        <w:pStyle w:val="a5"/>
        <w:rPr>
          <w:rtl/>
        </w:rPr>
      </w:pPr>
      <w:r>
        <w:rPr>
          <w:rStyle w:val="a7"/>
        </w:rPr>
        <w:footnoteRef/>
      </w:r>
      <w:r>
        <w:rPr>
          <w:rtl/>
        </w:rPr>
        <w:t xml:space="preserve"> </w:t>
      </w:r>
      <w:r>
        <w:rPr>
          <w:rtl/>
        </w:rPr>
        <w:tab/>
      </w:r>
      <w:r w:rsidRPr="00E93B0D">
        <w:rPr>
          <w:rFonts w:hint="cs"/>
          <w:b/>
          <w:bCs/>
          <w:rtl/>
        </w:rPr>
        <w:t>ויקרא</w:t>
      </w:r>
      <w:r>
        <w:rPr>
          <w:rFonts w:hint="cs"/>
          <w:rtl/>
        </w:rPr>
        <w:t xml:space="preserve"> יט, יד. וראו </w:t>
      </w:r>
      <w:r w:rsidRPr="00E93B0D">
        <w:rPr>
          <w:rFonts w:hint="cs"/>
          <w:b/>
          <w:bCs/>
          <w:rtl/>
        </w:rPr>
        <w:t>משך חכמה</w:t>
      </w:r>
      <w:r>
        <w:rPr>
          <w:rFonts w:hint="cs"/>
          <w:rtl/>
        </w:rPr>
        <w:t xml:space="preserve"> לויקרא שם ("</w:t>
      </w:r>
      <w:r w:rsidRPr="0072131F">
        <w:rPr>
          <w:rtl/>
        </w:rPr>
        <w:t>הכותים מפרשים כמשמעו, שלא ייתן אבן לפני עיוור בדרך להפילו... וכן הוא האמת. ומזה אזהרה לפותח או כורה בור ברשות הרבים. והלאו כולל גם אם מכשיל חברו בדרך שהוא עיוור בדעתו או מחמת תאוותו וזדון לבבו</w:t>
      </w:r>
      <w:r>
        <w:rPr>
          <w:rFonts w:hint="cs"/>
          <w:rtl/>
        </w:rPr>
        <w:t>". מקור לפירושו ניתן למצוא כבר בתלמוד בבלי מועד קטן ה,א, שם מציע אביי שהציווי "לפני עיור לא תתן מכשול הוא המקור להלכה שב</w:t>
      </w:r>
      <w:r>
        <w:rPr>
          <w:rtl/>
        </w:rPr>
        <w:t>משנה</w:t>
      </w:r>
      <w:r>
        <w:rPr>
          <w:rFonts w:hint="cs"/>
          <w:rtl/>
        </w:rPr>
        <w:t>, הקובעת ש"</w:t>
      </w:r>
      <w:r>
        <w:rPr>
          <w:rtl/>
        </w:rPr>
        <w:t>מתקנין את קלקולי המים</w:t>
      </w:r>
      <w:r>
        <w:rPr>
          <w:rFonts w:hint="cs"/>
          <w:rtl/>
        </w:rPr>
        <w:t xml:space="preserve"> </w:t>
      </w:r>
      <w:r>
        <w:rPr>
          <w:rtl/>
        </w:rPr>
        <w:t>שברשות הרבים... ומתקנין את הדרכים ואת הרחובות ואת מקוות המים, ועושין כל צורכי הרבים</w:t>
      </w:r>
      <w:r>
        <w:rPr>
          <w:rFonts w:hint="cs"/>
          <w:rtl/>
        </w:rPr>
        <w:t xml:space="preserve">" בחול המועד). </w:t>
      </w:r>
    </w:p>
  </w:footnote>
  <w:footnote w:id="99">
    <w:p w:rsidR="00A56708" w:rsidRDefault="00A56708" w:rsidP="00E93B0D">
      <w:pPr>
        <w:pStyle w:val="a5"/>
      </w:pPr>
      <w:r>
        <w:rPr>
          <w:rStyle w:val="a7"/>
        </w:rPr>
        <w:footnoteRef/>
      </w:r>
      <w:r>
        <w:rPr>
          <w:rtl/>
        </w:rPr>
        <w:t xml:space="preserve"> </w:t>
      </w:r>
      <w:r>
        <w:rPr>
          <w:rtl/>
        </w:rPr>
        <w:tab/>
      </w:r>
      <w:r w:rsidRPr="00E93B0D">
        <w:rPr>
          <w:rFonts w:hint="cs"/>
          <w:b/>
          <w:bCs/>
          <w:rtl/>
        </w:rPr>
        <w:t>משנה למלך</w:t>
      </w:r>
      <w:r>
        <w:rPr>
          <w:rFonts w:hint="cs"/>
          <w:rtl/>
        </w:rPr>
        <w:t xml:space="preserve"> הלכות רוצח ושמירת נפש ב, ב.</w:t>
      </w:r>
    </w:p>
  </w:footnote>
  <w:footnote w:id="100">
    <w:p w:rsidR="00A56708" w:rsidRDefault="00A56708" w:rsidP="002C136F">
      <w:pPr>
        <w:pStyle w:val="a5"/>
        <w:rPr>
          <w:rtl/>
        </w:rPr>
      </w:pPr>
      <w:r>
        <w:rPr>
          <w:rStyle w:val="a7"/>
        </w:rPr>
        <w:footnoteRef/>
      </w:r>
      <w:r>
        <w:rPr>
          <w:rtl/>
        </w:rPr>
        <w:t xml:space="preserve"> </w:t>
      </w:r>
      <w:r>
        <w:rPr>
          <w:rtl/>
        </w:rPr>
        <w:tab/>
      </w:r>
      <w:r>
        <w:rPr>
          <w:rFonts w:hint="cs"/>
          <w:rtl/>
        </w:rPr>
        <w:t>אמנם בתלמוד מסופר שרב הונא קיצץ ידו של אדם אלים שהיה רגיל לחבול באנשים (</w:t>
      </w:r>
      <w:r w:rsidRPr="002C136F">
        <w:rPr>
          <w:rFonts w:hint="cs"/>
          <w:b/>
          <w:bCs/>
          <w:rtl/>
        </w:rPr>
        <w:t>תלמוד בבלי</w:t>
      </w:r>
      <w:r>
        <w:rPr>
          <w:rFonts w:hint="cs"/>
          <w:rtl/>
        </w:rPr>
        <w:t xml:space="preserve"> סנהדרין נח,ב), ענישה זו תוארה כהוראת שעה, ולא כענישה מעיקר הדין.  </w:t>
      </w:r>
    </w:p>
  </w:footnote>
  <w:footnote w:id="101">
    <w:p w:rsidR="00A56708" w:rsidRDefault="00A56708" w:rsidP="001F5DE9">
      <w:pPr>
        <w:pStyle w:val="a5"/>
      </w:pPr>
      <w:r>
        <w:rPr>
          <w:rStyle w:val="a7"/>
        </w:rPr>
        <w:footnoteRef/>
      </w:r>
      <w:r>
        <w:rPr>
          <w:rtl/>
        </w:rPr>
        <w:t xml:space="preserve"> </w:t>
      </w:r>
      <w:r>
        <w:rPr>
          <w:rtl/>
        </w:rPr>
        <w:tab/>
      </w:r>
      <w:r w:rsidRPr="00C839DE">
        <w:rPr>
          <w:rFonts w:hint="cs"/>
          <w:b/>
          <w:bCs/>
          <w:rtl/>
        </w:rPr>
        <w:t>שמות</w:t>
      </w:r>
      <w:r>
        <w:rPr>
          <w:rFonts w:hint="cs"/>
          <w:rtl/>
        </w:rPr>
        <w:t xml:space="preserve"> כא, טו. וראו גם </w:t>
      </w:r>
      <w:r w:rsidRPr="00C839DE">
        <w:rPr>
          <w:rFonts w:hint="cs"/>
          <w:b/>
          <w:bCs/>
          <w:rtl/>
        </w:rPr>
        <w:t>תלמוד בבלי</w:t>
      </w:r>
      <w:r>
        <w:rPr>
          <w:rFonts w:hint="cs"/>
          <w:rtl/>
        </w:rPr>
        <w:t xml:space="preserve"> מכות ח,ב ופירושו של </w:t>
      </w:r>
      <w:r w:rsidRPr="00C839DE">
        <w:rPr>
          <w:rFonts w:hint="cs"/>
          <w:b/>
          <w:bCs/>
          <w:rtl/>
        </w:rPr>
        <w:t>רש"י</w:t>
      </w:r>
      <w:r>
        <w:rPr>
          <w:rFonts w:hint="cs"/>
          <w:rtl/>
        </w:rPr>
        <w:t xml:space="preserve"> שם, ד"ה פרט למכה אביו.</w:t>
      </w:r>
    </w:p>
  </w:footnote>
  <w:footnote w:id="102">
    <w:p w:rsidR="00A56708" w:rsidRDefault="00A56708" w:rsidP="003F79CE">
      <w:pPr>
        <w:pStyle w:val="a5"/>
      </w:pPr>
      <w:r>
        <w:rPr>
          <w:rStyle w:val="a7"/>
        </w:rPr>
        <w:footnoteRef/>
      </w:r>
      <w:r>
        <w:rPr>
          <w:rtl/>
        </w:rPr>
        <w:t xml:space="preserve"> </w:t>
      </w:r>
      <w:r>
        <w:rPr>
          <w:rtl/>
        </w:rPr>
        <w:tab/>
      </w:r>
      <w:r>
        <w:rPr>
          <w:rFonts w:hint="cs"/>
          <w:rtl/>
        </w:rPr>
        <w:t xml:space="preserve">ראו למשל: </w:t>
      </w:r>
      <w:r w:rsidRPr="003F79CE">
        <w:rPr>
          <w:rFonts w:hint="cs"/>
          <w:b/>
          <w:bCs/>
          <w:rtl/>
        </w:rPr>
        <w:t>מדרש הגדול</w:t>
      </w:r>
      <w:r>
        <w:rPr>
          <w:rFonts w:hint="cs"/>
          <w:rtl/>
        </w:rPr>
        <w:t xml:space="preserve"> משפטים כא, טו ("'מכה אביו' </w:t>
      </w:r>
      <w:r>
        <w:rPr>
          <w:rtl/>
        </w:rPr>
        <w:t>–</w:t>
      </w:r>
      <w:r>
        <w:rPr>
          <w:rFonts w:hint="cs"/>
          <w:rtl/>
        </w:rPr>
        <w:t xml:space="preserve"> ולא אבי אביו, "אמו" </w:t>
      </w:r>
      <w:r>
        <w:rPr>
          <w:rtl/>
        </w:rPr>
        <w:t>–</w:t>
      </w:r>
      <w:r>
        <w:rPr>
          <w:rFonts w:hint="cs"/>
          <w:rtl/>
        </w:rPr>
        <w:t xml:space="preserve"> ולא אם אמו"), וכך משמע מ</w:t>
      </w:r>
      <w:r w:rsidRPr="003F79CE">
        <w:rPr>
          <w:rFonts w:hint="cs"/>
          <w:b/>
          <w:bCs/>
          <w:rtl/>
        </w:rPr>
        <w:t>משנה תורה</w:t>
      </w:r>
      <w:r>
        <w:rPr>
          <w:rFonts w:hint="cs"/>
          <w:rtl/>
        </w:rPr>
        <w:t xml:space="preserve"> ממרים ה, ג (לעניין עונשו של מקלל אביו ואמו).</w:t>
      </w:r>
    </w:p>
  </w:footnote>
  <w:footnote w:id="103">
    <w:p w:rsidR="00A56708" w:rsidRDefault="00A56708" w:rsidP="00EE5646">
      <w:pPr>
        <w:pStyle w:val="a5"/>
      </w:pPr>
      <w:r>
        <w:rPr>
          <w:rStyle w:val="a7"/>
        </w:rPr>
        <w:footnoteRef/>
      </w:r>
      <w:r>
        <w:rPr>
          <w:rtl/>
        </w:rPr>
        <w:t xml:space="preserve"> </w:t>
      </w:r>
      <w:r>
        <w:rPr>
          <w:rtl/>
        </w:rPr>
        <w:tab/>
      </w:r>
      <w:r>
        <w:rPr>
          <w:rFonts w:hint="cs"/>
          <w:rtl/>
        </w:rPr>
        <w:t xml:space="preserve">ראו למשל: </w:t>
      </w:r>
      <w:r w:rsidRPr="00EE5646">
        <w:rPr>
          <w:b/>
          <w:bCs/>
          <w:rtl/>
        </w:rPr>
        <w:t>ילקוט שמעוני</w:t>
      </w:r>
      <w:r>
        <w:rPr>
          <w:rtl/>
        </w:rPr>
        <w:t xml:space="preserve"> ויגש, קנב</w:t>
      </w:r>
      <w:r>
        <w:rPr>
          <w:rFonts w:hint="cs"/>
          <w:rtl/>
        </w:rPr>
        <w:t xml:space="preserve">; </w:t>
      </w:r>
      <w:r w:rsidRPr="00EE5646">
        <w:rPr>
          <w:b/>
          <w:bCs/>
          <w:rtl/>
        </w:rPr>
        <w:t>שו"ת מנחת אלעזר</w:t>
      </w:r>
      <w:r>
        <w:rPr>
          <w:rtl/>
        </w:rPr>
        <w:t xml:space="preserve"> ג, לג</w:t>
      </w:r>
      <w:r>
        <w:rPr>
          <w:rFonts w:hint="cs"/>
          <w:rtl/>
        </w:rPr>
        <w:t xml:space="preserve">; </w:t>
      </w:r>
      <w:r w:rsidRPr="00EE5646">
        <w:rPr>
          <w:b/>
          <w:bCs/>
          <w:rtl/>
        </w:rPr>
        <w:t xml:space="preserve">שדי חמד </w:t>
      </w:r>
      <w:r>
        <w:rPr>
          <w:rtl/>
        </w:rPr>
        <w:t>מערכת כללים, מערכת כ"ף, אות קכא</w:t>
      </w:r>
      <w:r>
        <w:rPr>
          <w:rFonts w:hint="cs"/>
          <w:rtl/>
        </w:rPr>
        <w:t xml:space="preserve">; </w:t>
      </w:r>
      <w:r>
        <w:rPr>
          <w:rFonts w:hint="cs"/>
          <w:b/>
          <w:bCs/>
          <w:rtl/>
        </w:rPr>
        <w:t xml:space="preserve">שו"ת הרמ"א </w:t>
      </w:r>
      <w:r w:rsidRPr="00EE5646">
        <w:rPr>
          <w:rFonts w:hint="cs"/>
          <w:rtl/>
        </w:rPr>
        <w:t xml:space="preserve">קיח. מנגד, ראו למשל: </w:t>
      </w:r>
      <w:r w:rsidRPr="00F00CEC">
        <w:rPr>
          <w:rFonts w:hint="cs"/>
          <w:b/>
          <w:bCs/>
          <w:rtl/>
        </w:rPr>
        <w:t>שו"ת מהרי"ק</w:t>
      </w:r>
      <w:r>
        <w:rPr>
          <w:rFonts w:hint="cs"/>
          <w:rtl/>
        </w:rPr>
        <w:t xml:space="preserve"> מד; </w:t>
      </w:r>
      <w:r w:rsidRPr="00911C82">
        <w:rPr>
          <w:rFonts w:hint="cs"/>
          <w:b/>
          <w:bCs/>
          <w:rtl/>
        </w:rPr>
        <w:t>שו"ת תשובה מאהבה</w:t>
      </w:r>
      <w:r>
        <w:rPr>
          <w:rFonts w:hint="cs"/>
          <w:rtl/>
        </w:rPr>
        <w:t xml:space="preserve"> א, קעח. וראו על עניין זה בהרחבה, במסמך מרכז המחקר והמידע של הכנסת בעניין "</w:t>
      </w:r>
      <w:r>
        <w:rPr>
          <w:rtl/>
        </w:rPr>
        <w:t>"בני בנים הרי הן כבנים"</w:t>
      </w:r>
      <w:r>
        <w:rPr>
          <w:rFonts w:hint="cs"/>
          <w:rtl/>
        </w:rPr>
        <w:t xml:space="preserve">: </w:t>
      </w:r>
      <w:r>
        <w:rPr>
          <w:rtl/>
        </w:rPr>
        <w:t>על הקשר שבין הנכדים לסבם ולסבתם במשפט העברי</w:t>
      </w:r>
      <w:r>
        <w:rPr>
          <w:rFonts w:hint="cs"/>
          <w:rtl/>
        </w:rPr>
        <w:t xml:space="preserve">" (כתיבה: עו"ד ירון אונגר), 7 בפברואר 2011 (זמין בכתובת </w:t>
      </w:r>
      <w:hyperlink r:id="rId3" w:history="1">
        <w:r w:rsidRPr="00814574">
          <w:rPr>
            <w:rStyle w:val="Hyperlink"/>
          </w:rPr>
          <w:t>https://www.knesset.gov.il/mmm/data/pdf/m03136.pdf</w:t>
        </w:r>
      </w:hyperlink>
      <w:r>
        <w:rPr>
          <w:rFonts w:hint="cs"/>
          <w:rtl/>
        </w:rPr>
        <w:t xml:space="preserve"> כניסה אחרונה: 30 ביוני 2016).</w:t>
      </w:r>
    </w:p>
  </w:footnote>
  <w:footnote w:id="104">
    <w:p w:rsidR="007E6685" w:rsidRDefault="007E6685">
      <w:pPr>
        <w:pStyle w:val="a5"/>
        <w:rPr>
          <w:rFonts w:hint="cs"/>
        </w:rPr>
      </w:pPr>
      <w:r>
        <w:rPr>
          <w:rStyle w:val="a7"/>
        </w:rPr>
        <w:footnoteRef/>
      </w:r>
      <w:r>
        <w:rPr>
          <w:rtl/>
        </w:rPr>
        <w:t xml:space="preserve"> </w:t>
      </w:r>
      <w:r>
        <w:rPr>
          <w:rtl/>
        </w:rPr>
        <w:tab/>
      </w:r>
      <w:r>
        <w:rPr>
          <w:rFonts w:hint="cs"/>
          <w:rtl/>
        </w:rPr>
        <w:t>או למצער, לצמצם את הנסיבה המחמירה שבסעיף 300(א)(1) לחוק העונשין כנוסחו היום, לרציחה של הורה בלבד.</w:t>
      </w:r>
    </w:p>
  </w:footnote>
  <w:footnote w:id="105">
    <w:p w:rsidR="00A56708" w:rsidRDefault="00A56708">
      <w:pPr>
        <w:pStyle w:val="a5"/>
      </w:pPr>
      <w:r>
        <w:rPr>
          <w:rStyle w:val="a7"/>
        </w:rPr>
        <w:footnoteRef/>
      </w:r>
      <w:r>
        <w:rPr>
          <w:rtl/>
        </w:rPr>
        <w:t xml:space="preserve"> </w:t>
      </w:r>
      <w:r w:rsidR="007E6685">
        <w:rPr>
          <w:rtl/>
        </w:rPr>
        <w:tab/>
      </w:r>
      <w:r>
        <w:rPr>
          <w:rFonts w:hint="cs"/>
          <w:rtl/>
        </w:rPr>
        <w:t>דברי ההסבר להצעת החוק, עמ' 174.</w:t>
      </w:r>
    </w:p>
  </w:footnote>
  <w:footnote w:id="106">
    <w:p w:rsidR="00A56708" w:rsidRDefault="00A56708" w:rsidP="005F3FFC">
      <w:pPr>
        <w:pStyle w:val="a5"/>
        <w:rPr>
          <w:rtl/>
        </w:rPr>
      </w:pPr>
      <w:r>
        <w:rPr>
          <w:rStyle w:val="a7"/>
        </w:rPr>
        <w:footnoteRef/>
      </w:r>
      <w:r>
        <w:rPr>
          <w:rtl/>
        </w:rPr>
        <w:t xml:space="preserve"> </w:t>
      </w:r>
      <w:r>
        <w:rPr>
          <w:rtl/>
        </w:rPr>
        <w:tab/>
      </w:r>
      <w:r>
        <w:rPr>
          <w:rFonts w:hint="cs"/>
          <w:rtl/>
        </w:rPr>
        <w:t xml:space="preserve">שולמית אלמוג ואביעד הכהן, "על רוצחים ונרצחים </w:t>
      </w:r>
      <w:r>
        <w:rPr>
          <w:rtl/>
        </w:rPr>
        <w:t>–</w:t>
      </w:r>
      <w:r>
        <w:rPr>
          <w:rFonts w:hint="cs"/>
          <w:rtl/>
        </w:rPr>
        <w:t xml:space="preserve"> פרשת בראשית וש"י עגנון" בתוך: </w:t>
      </w:r>
      <w:r w:rsidRPr="00E46258">
        <w:rPr>
          <w:rFonts w:hint="cs"/>
          <w:b/>
          <w:bCs/>
          <w:rtl/>
        </w:rPr>
        <w:t>פרשת</w:t>
      </w:r>
      <w:r w:rsidRPr="00E46258">
        <w:rPr>
          <w:b/>
          <w:bCs/>
          <w:rtl/>
        </w:rPr>
        <w:t xml:space="preserve"> </w:t>
      </w:r>
      <w:r w:rsidRPr="00E46258">
        <w:rPr>
          <w:rFonts w:hint="cs"/>
          <w:b/>
          <w:bCs/>
          <w:rtl/>
        </w:rPr>
        <w:t>השבוע</w:t>
      </w:r>
      <w:r>
        <w:rPr>
          <w:rFonts w:hint="cs"/>
          <w:rtl/>
        </w:rPr>
        <w:t xml:space="preserve">, הוצאת משרד המשפטים ומכללת שערי משפט, ירושלים תשע"ב, בראשית, עמ' 18 (ההדגשה אינה במקור. והשוו להערכת אשמתו של קין </w:t>
      </w:r>
      <w:r>
        <w:rPr>
          <w:rtl/>
        </w:rPr>
        <w:t>בפרשת פוריאדין</w:t>
      </w:r>
      <w:r>
        <w:rPr>
          <w:rFonts w:hint="cs"/>
          <w:rtl/>
        </w:rPr>
        <w:t xml:space="preserve"> (</w:t>
      </w:r>
      <w:r>
        <w:rPr>
          <w:rtl/>
        </w:rPr>
        <w:t>ע</w:t>
      </w:r>
      <w:r>
        <w:rPr>
          <w:rFonts w:hint="cs"/>
          <w:rtl/>
        </w:rPr>
        <w:t>"</w:t>
      </w:r>
      <w:r w:rsidRPr="00776FBD">
        <w:rPr>
          <w:rtl/>
        </w:rPr>
        <w:t xml:space="preserve">פ 04/70 </w:t>
      </w:r>
      <w:r w:rsidRPr="00F83EDA">
        <w:rPr>
          <w:b/>
          <w:bCs/>
          <w:rtl/>
        </w:rPr>
        <w:t>פוריאדין נ' מדינת ישראל</w:t>
      </w:r>
      <w:r w:rsidRPr="00776FBD">
        <w:rPr>
          <w:rtl/>
        </w:rPr>
        <w:t xml:space="preserve"> תק</w:t>
      </w:r>
      <w:r>
        <w:rPr>
          <w:rFonts w:hint="cs"/>
          <w:rtl/>
        </w:rPr>
        <w:t>-</w:t>
      </w:r>
      <w:r w:rsidRPr="00776FBD">
        <w:rPr>
          <w:rtl/>
        </w:rPr>
        <w:t>על 2006 (1)717 ,728</w:t>
      </w:r>
      <w:r>
        <w:rPr>
          <w:rFonts w:hint="cs"/>
          <w:rtl/>
        </w:rPr>
        <w:t>:</w:t>
      </w:r>
      <w:r>
        <w:rPr>
          <w:rtl/>
        </w:rPr>
        <w:t xml:space="preserve"> </w:t>
      </w:r>
      <w:r>
        <w:rPr>
          <w:rFonts w:hint="cs"/>
          <w:rtl/>
        </w:rPr>
        <w:t>"</w:t>
      </w:r>
      <w:r>
        <w:rPr>
          <w:rtl/>
        </w:rPr>
        <w:t>איננו יודעים אם רצח קין את הבל או אם הרגו, ואולם בלשון ימינו דומה שהיה זה, למצער,</w:t>
      </w:r>
      <w:r>
        <w:rPr>
          <w:rFonts w:hint="cs"/>
          <w:rtl/>
        </w:rPr>
        <w:t xml:space="preserve"> </w:t>
      </w:r>
      <w:r>
        <w:rPr>
          <w:rtl/>
        </w:rPr>
        <w:t>רצח מדרגה שניה</w:t>
      </w:r>
      <w:r>
        <w:rPr>
          <w:rFonts w:hint="cs"/>
          <w:rtl/>
        </w:rPr>
        <w:t xml:space="preserve">"). גישה עקרונית זו אומצה בעבר גם על ידי בית המשפט העליון. ראו </w:t>
      </w:r>
      <w:r w:rsidRPr="008D0B42">
        <w:rPr>
          <w:rtl/>
        </w:rPr>
        <w:t>ע"פ 46/54</w:t>
      </w:r>
      <w:r>
        <w:rPr>
          <w:rtl/>
        </w:rPr>
        <w:t xml:space="preserve"> </w:t>
      </w:r>
      <w:r w:rsidRPr="009F41AE">
        <w:rPr>
          <w:b/>
          <w:bCs/>
          <w:rtl/>
        </w:rPr>
        <w:t>היועץ המשפטי נ' סגל</w:t>
      </w:r>
      <w:r>
        <w:rPr>
          <w:rtl/>
        </w:rPr>
        <w:t xml:space="preserve"> פ"ד ט 407</w:t>
      </w:r>
      <w:r>
        <w:rPr>
          <w:rFonts w:hint="cs"/>
          <w:rtl/>
        </w:rPr>
        <w:t xml:space="preserve"> ("</w:t>
      </w:r>
      <w:r>
        <w:rPr>
          <w:rtl/>
        </w:rPr>
        <w:t>אין לך ק</w:t>
      </w:r>
      <w:r w:rsidRPr="00776FBD">
        <w:rPr>
          <w:rtl/>
        </w:rPr>
        <w:t xml:space="preserve">נטור בעולם אשר יצדיק מעשה רצח, ואין לך רצח </w:t>
      </w:r>
      <w:r>
        <w:rPr>
          <w:rtl/>
        </w:rPr>
        <w:t>בעולם שיהיה מעשה סביר, אף אם הק</w:t>
      </w:r>
      <w:r w:rsidRPr="00776FBD">
        <w:rPr>
          <w:rtl/>
        </w:rPr>
        <w:t>נטור שגרם לו עלול היה להשפיע על אדם סביר. כי קדושת חיי האדם היא</w:t>
      </w:r>
      <w:r>
        <w:rPr>
          <w:rtl/>
        </w:rPr>
        <w:t xml:space="preserve"> חובה מוסרית החלטית, ואין שום ק</w:t>
      </w:r>
      <w:r w:rsidRPr="00776FBD">
        <w:rPr>
          <w:rtl/>
        </w:rPr>
        <w:t>נטור והתגרות - כל עוד לא הולידו "צורך" - עשויים לבטל את החובה או לגרוע הימנה</w:t>
      </w:r>
      <w:r>
        <w:rPr>
          <w:rFonts w:hint="cs"/>
          <w:rtl/>
        </w:rPr>
        <w:t>").</w:t>
      </w:r>
    </w:p>
  </w:footnote>
  <w:footnote w:id="107">
    <w:p w:rsidR="00A56708" w:rsidRDefault="00A56708" w:rsidP="005F3FFC">
      <w:pPr>
        <w:pStyle w:val="a5"/>
      </w:pPr>
      <w:r>
        <w:rPr>
          <w:rStyle w:val="a7"/>
        </w:rPr>
        <w:footnoteRef/>
      </w:r>
      <w:r>
        <w:rPr>
          <w:rtl/>
        </w:rPr>
        <w:t xml:space="preserve"> </w:t>
      </w:r>
      <w:r>
        <w:rPr>
          <w:rtl/>
        </w:rPr>
        <w:tab/>
      </w:r>
      <w:r w:rsidRPr="0087502B">
        <w:rPr>
          <w:rFonts w:hint="cs"/>
          <w:b/>
          <w:bCs/>
          <w:rtl/>
        </w:rPr>
        <w:t>שו"ת הריב"ש</w:t>
      </w:r>
      <w:r>
        <w:rPr>
          <w:rFonts w:hint="cs"/>
          <w:rtl/>
        </w:rPr>
        <w:t xml:space="preserve"> רנא (ההדגשה אינה במקור. מובא על ידי כב' השופט סולברג ב</w:t>
      </w:r>
      <w:r>
        <w:rPr>
          <w:rtl/>
        </w:rPr>
        <w:t>ע"פ 1426/12</w:t>
      </w:r>
      <w:r>
        <w:rPr>
          <w:rFonts w:hint="cs"/>
          <w:rtl/>
        </w:rPr>
        <w:t xml:space="preserve"> </w:t>
      </w:r>
      <w:r>
        <w:rPr>
          <w:rtl/>
        </w:rPr>
        <w:t>מוזפר נ' מדינת ישראל</w:t>
      </w:r>
      <w:r>
        <w:rPr>
          <w:rFonts w:hint="cs"/>
          <w:rtl/>
        </w:rPr>
        <w:t xml:space="preserve"> (פורסם ב'נבו')).</w:t>
      </w:r>
    </w:p>
  </w:footnote>
  <w:footnote w:id="108">
    <w:p w:rsidR="00A56708" w:rsidRDefault="00A56708" w:rsidP="005F3FFC">
      <w:pPr>
        <w:pStyle w:val="a5"/>
      </w:pPr>
      <w:r>
        <w:rPr>
          <w:rStyle w:val="a7"/>
        </w:rPr>
        <w:footnoteRef/>
      </w:r>
      <w:r>
        <w:rPr>
          <w:rtl/>
        </w:rPr>
        <w:t xml:space="preserve"> </w:t>
      </w:r>
      <w:r>
        <w:rPr>
          <w:rtl/>
        </w:rPr>
        <w:tab/>
      </w:r>
      <w:r>
        <w:rPr>
          <w:rFonts w:hint="cs"/>
          <w:rtl/>
        </w:rPr>
        <w:t xml:space="preserve">וראו גם, </w:t>
      </w:r>
      <w:r w:rsidRPr="00443BD2">
        <w:rPr>
          <w:rFonts w:hint="cs"/>
          <w:b/>
          <w:bCs/>
          <w:rtl/>
        </w:rPr>
        <w:t>ים של שלמה</w:t>
      </w:r>
      <w:r>
        <w:rPr>
          <w:rFonts w:hint="cs"/>
          <w:rtl/>
        </w:rPr>
        <w:t xml:space="preserve"> בבא קמא ג, כו, שכותב לעניין מי שהוכה ו"</w:t>
      </w:r>
      <w:r>
        <w:rPr>
          <w:rtl/>
        </w:rPr>
        <w:t>נשמט כבר המוכה ממנו, שהציל את עצמו.</w:t>
      </w:r>
      <w:r>
        <w:rPr>
          <w:rFonts w:hint="cs"/>
          <w:rtl/>
        </w:rPr>
        <w:t>..</w:t>
      </w:r>
      <w:r>
        <w:rPr>
          <w:rtl/>
        </w:rPr>
        <w:t xml:space="preserve"> וחוזר עוד המוכה וחבל בו יותר ממה שצריך להציל את עצמו</w:t>
      </w:r>
      <w:r>
        <w:rPr>
          <w:rFonts w:hint="cs"/>
          <w:rtl/>
        </w:rPr>
        <w:t>", ש"</w:t>
      </w:r>
      <w:r>
        <w:rPr>
          <w:rtl/>
        </w:rPr>
        <w:t xml:space="preserve">אין בו דין רשע, דהוי </w:t>
      </w:r>
      <w:r>
        <w:rPr>
          <w:rFonts w:hint="cs"/>
          <w:rtl/>
        </w:rPr>
        <w:t xml:space="preserve">[=שהוא] </w:t>
      </w:r>
      <w:r>
        <w:rPr>
          <w:rtl/>
        </w:rPr>
        <w:t>קצת אונס, דאין אדם נתפס על צערו, ויצרו אגברי</w:t>
      </w:r>
      <w:r>
        <w:rPr>
          <w:rFonts w:hint="cs"/>
          <w:rtl/>
        </w:rPr>
        <w:t xml:space="preserve"> [=יצרו התגבר עליו]</w:t>
      </w:r>
      <w:r>
        <w:rPr>
          <w:rtl/>
        </w:rPr>
        <w:t>. ועוד, דאדרבא הראשון הרשיע והתחיל, ונעשה רשע</w:t>
      </w:r>
      <w:r>
        <w:rPr>
          <w:rFonts w:hint="cs"/>
          <w:rtl/>
        </w:rPr>
        <w:t>", אך בכל זאת "</w:t>
      </w:r>
      <w:r>
        <w:rPr>
          <w:rtl/>
        </w:rPr>
        <w:t>מדין תשלומים לא מפטר השני</w:t>
      </w:r>
      <w:r>
        <w:rPr>
          <w:rFonts w:hint="cs"/>
          <w:rtl/>
        </w:rPr>
        <w:t>". בהמשך, מבחין המחבר בין מי שהכה את חברו בתגובה להתגרות לבין מי שרצח את מי שהתגרה בו, כי "</w:t>
      </w:r>
      <w:r>
        <w:rPr>
          <w:rtl/>
        </w:rPr>
        <w:t>לעניין מיתה אמרינן כה</w:t>
      </w:r>
      <w:r>
        <w:rPr>
          <w:rFonts w:hint="cs"/>
          <w:rtl/>
        </w:rPr>
        <w:t xml:space="preserve">אי גוונא, </w:t>
      </w:r>
      <w:r>
        <w:rPr>
          <w:rtl/>
        </w:rPr>
        <w:t>שהיה לו לדקדק שלא להמיתו כלל</w:t>
      </w:r>
      <w:r>
        <w:rPr>
          <w:rFonts w:hint="cs"/>
          <w:rtl/>
        </w:rPr>
        <w:t>".</w:t>
      </w:r>
    </w:p>
  </w:footnote>
  <w:footnote w:id="109">
    <w:p w:rsidR="00A56708" w:rsidRDefault="00A56708" w:rsidP="005F3FFC">
      <w:pPr>
        <w:pStyle w:val="a5"/>
      </w:pPr>
      <w:r>
        <w:rPr>
          <w:rStyle w:val="a7"/>
        </w:rPr>
        <w:footnoteRef/>
      </w:r>
      <w:r>
        <w:rPr>
          <w:rtl/>
        </w:rPr>
        <w:t xml:space="preserve"> </w:t>
      </w:r>
      <w:r>
        <w:rPr>
          <w:rtl/>
        </w:rPr>
        <w:tab/>
      </w:r>
      <w:r w:rsidRPr="00E46258">
        <w:rPr>
          <w:rFonts w:hint="cs"/>
          <w:b/>
          <w:bCs/>
          <w:rtl/>
        </w:rPr>
        <w:t>משנה</w:t>
      </w:r>
      <w:r w:rsidRPr="00E46258">
        <w:rPr>
          <w:b/>
          <w:bCs/>
          <w:rtl/>
        </w:rPr>
        <w:t xml:space="preserve"> </w:t>
      </w:r>
      <w:r w:rsidRPr="00E46258">
        <w:rPr>
          <w:rFonts w:hint="cs"/>
          <w:b/>
          <w:bCs/>
          <w:rtl/>
        </w:rPr>
        <w:t>תורה</w:t>
      </w:r>
      <w:r>
        <w:rPr>
          <w:rFonts w:hint="cs"/>
          <w:rtl/>
        </w:rPr>
        <w:t xml:space="preserve"> </w:t>
      </w:r>
      <w:r w:rsidRPr="00FB729C">
        <w:rPr>
          <w:rtl/>
        </w:rPr>
        <w:t xml:space="preserve">רוצח ושמירת נפש ה, ט-י, על פי </w:t>
      </w:r>
      <w:r w:rsidRPr="00E46258">
        <w:rPr>
          <w:rFonts w:hint="cs"/>
          <w:b/>
          <w:bCs/>
          <w:rtl/>
        </w:rPr>
        <w:t>תלמוד</w:t>
      </w:r>
      <w:r w:rsidRPr="00E46258">
        <w:rPr>
          <w:b/>
          <w:bCs/>
          <w:rtl/>
        </w:rPr>
        <w:t xml:space="preserve"> </w:t>
      </w:r>
      <w:r w:rsidRPr="00E46258">
        <w:rPr>
          <w:rFonts w:hint="cs"/>
          <w:b/>
          <w:bCs/>
          <w:rtl/>
        </w:rPr>
        <w:t>בבלי</w:t>
      </w:r>
      <w:r>
        <w:rPr>
          <w:rFonts w:hint="cs"/>
          <w:rtl/>
        </w:rPr>
        <w:t xml:space="preserve"> </w:t>
      </w:r>
      <w:r w:rsidRPr="00FB729C">
        <w:rPr>
          <w:rtl/>
        </w:rPr>
        <w:t>מכות י</w:t>
      </w:r>
      <w:r>
        <w:rPr>
          <w:rFonts w:hint="cs"/>
          <w:rtl/>
        </w:rPr>
        <w:t>,ב</w:t>
      </w:r>
      <w:r w:rsidRPr="00FB729C">
        <w:rPr>
          <w:rtl/>
        </w:rPr>
        <w:t>.</w:t>
      </w:r>
    </w:p>
  </w:footnote>
  <w:footnote w:id="110">
    <w:p w:rsidR="00A56708" w:rsidRDefault="00A56708" w:rsidP="005F3FFC">
      <w:pPr>
        <w:pStyle w:val="a5"/>
      </w:pPr>
      <w:r>
        <w:rPr>
          <w:rStyle w:val="a7"/>
        </w:rPr>
        <w:footnoteRef/>
      </w:r>
      <w:r>
        <w:rPr>
          <w:rtl/>
        </w:rPr>
        <w:t xml:space="preserve"> </w:t>
      </w:r>
      <w:r>
        <w:rPr>
          <w:rtl/>
        </w:rPr>
        <w:tab/>
      </w:r>
      <w:r w:rsidRPr="00A56708">
        <w:rPr>
          <w:rFonts w:hint="cs"/>
          <w:b/>
          <w:bCs/>
          <w:rtl/>
        </w:rPr>
        <w:t>דברים</w:t>
      </w:r>
      <w:r>
        <w:rPr>
          <w:rFonts w:hint="cs"/>
          <w:rtl/>
        </w:rPr>
        <w:t xml:space="preserve"> יט, ו.</w:t>
      </w:r>
    </w:p>
  </w:footnote>
  <w:footnote w:id="111">
    <w:p w:rsidR="00A56708" w:rsidRDefault="00A56708" w:rsidP="00247940">
      <w:pPr>
        <w:pStyle w:val="a5"/>
        <w:rPr>
          <w:rtl/>
        </w:rPr>
      </w:pPr>
      <w:r>
        <w:rPr>
          <w:rStyle w:val="a7"/>
        </w:rPr>
        <w:footnoteRef/>
      </w:r>
      <w:r>
        <w:rPr>
          <w:rtl/>
        </w:rPr>
        <w:t xml:space="preserve"> </w:t>
      </w:r>
      <w:r>
        <w:rPr>
          <w:rtl/>
        </w:rPr>
        <w:tab/>
      </w:r>
      <w:r>
        <w:rPr>
          <w:rFonts w:hint="cs"/>
          <w:rtl/>
        </w:rPr>
        <w:t xml:space="preserve">אריה פטר, "על הקנטור", </w:t>
      </w:r>
      <w:r w:rsidRPr="00294590">
        <w:rPr>
          <w:rFonts w:hint="cs"/>
          <w:b/>
          <w:bCs/>
          <w:rtl/>
        </w:rPr>
        <w:t>פרשת השבוע</w:t>
      </w:r>
      <w:r>
        <w:rPr>
          <w:rFonts w:hint="cs"/>
          <w:rtl/>
        </w:rPr>
        <w:t xml:space="preserve"> הוצאת משרד המשפטים ומכללת שערי משפט ( ההדגשה אינה במקור. זמין בכתובת </w:t>
      </w:r>
      <w:hyperlink r:id="rId4" w:history="1">
        <w:r w:rsidRPr="00814574">
          <w:rPr>
            <w:rStyle w:val="Hyperlink"/>
          </w:rPr>
          <w:t>http://www.daat.ac.il/mishpat-ivri/skirot/257-2.htm</w:t>
        </w:r>
      </w:hyperlink>
      <w:r>
        <w:rPr>
          <w:rFonts w:hint="cs"/>
          <w:rtl/>
        </w:rPr>
        <w:t xml:space="preserve">). אמנם, במסגרת הענישה שלא מן הדין בעבירות שאינן עבירת הרצח, ניתן למצוא התחשבות בקנטור כעילה להקלה בעונשו של העבריין. כך למשל, </w:t>
      </w:r>
      <w:r>
        <w:rPr>
          <w:rtl/>
        </w:rPr>
        <w:t>רבי אליהו בן חיים (טורקיה, המאה הט"ז) הקל בעונשו של אדם "שקרא את האישה בשם שפחה", ולא הטיל עליו את העונש הראוי לו מעיקר הדין, נידוי, משום ש"האשה קראתו קודם ממזר"</w:t>
      </w:r>
      <w:r>
        <w:rPr>
          <w:rFonts w:hint="cs"/>
          <w:rtl/>
        </w:rPr>
        <w:t xml:space="preserve"> (</w:t>
      </w:r>
      <w:r w:rsidRPr="00924EEC">
        <w:rPr>
          <w:b/>
          <w:bCs/>
          <w:rtl/>
        </w:rPr>
        <w:t>שו"ת מים עמוקים</w:t>
      </w:r>
      <w:r w:rsidRPr="00BB45CA">
        <w:rPr>
          <w:rtl/>
        </w:rPr>
        <w:t xml:space="preserve"> ב, עז</w:t>
      </w:r>
      <w:r>
        <w:rPr>
          <w:rFonts w:hint="cs"/>
          <w:rtl/>
        </w:rPr>
        <w:t>)</w:t>
      </w:r>
      <w:r>
        <w:rPr>
          <w:rtl/>
        </w:rPr>
        <w:t>. פסיקה זו נסמכה על פסיקתו של רבי יצחק מוינה (המאה ה-13), שהקל בעונשו של מי שכינה את חברו בשם 'ממזר', בעת שהלה הכהו, "והביא ראיה: "והיה כי יחם לבבו", וממנה למד... מהרי"ח במי שחרף את חברו תחלה לקרות מלשין מוסר, וחברו קראו ממזר, שהשני פטור מן הטעם הנזכר"</w:t>
      </w:r>
      <w:r>
        <w:rPr>
          <w:rFonts w:hint="cs"/>
          <w:rtl/>
        </w:rPr>
        <w:t xml:space="preserve"> (וראו מקורות נוספים לעניין זה אצל </w:t>
      </w:r>
      <w:r w:rsidRPr="00BB45CA">
        <w:rPr>
          <w:rtl/>
        </w:rPr>
        <w:t>א</w:t>
      </w:r>
      <w:r>
        <w:rPr>
          <w:rFonts w:hint="cs"/>
          <w:rtl/>
        </w:rPr>
        <w:t>ליהו</w:t>
      </w:r>
      <w:r w:rsidRPr="00BB45CA">
        <w:rPr>
          <w:rtl/>
        </w:rPr>
        <w:t xml:space="preserve"> בן זמרה, "שיקולי ענישה בספרות השו"ת" </w:t>
      </w:r>
      <w:r w:rsidRPr="00294590">
        <w:rPr>
          <w:b/>
          <w:bCs/>
          <w:rtl/>
        </w:rPr>
        <w:t>שנתון המשפט העברי</w:t>
      </w:r>
      <w:r w:rsidRPr="00BB45CA">
        <w:rPr>
          <w:rtl/>
        </w:rPr>
        <w:t xml:space="preserve"> ח</w:t>
      </w:r>
      <w:r>
        <w:rPr>
          <w:rFonts w:hint="cs"/>
          <w:rtl/>
        </w:rPr>
        <w:t xml:space="preserve"> </w:t>
      </w:r>
      <w:r>
        <w:rPr>
          <w:rtl/>
        </w:rPr>
        <w:t>(תשמ"א) 7, בעמ' 36-35</w:t>
      </w:r>
      <w:r>
        <w:rPr>
          <w:rFonts w:hint="cs"/>
          <w:rtl/>
        </w:rPr>
        <w:t>)</w:t>
      </w:r>
      <w:r>
        <w:rPr>
          <w:rtl/>
        </w:rPr>
        <w:t>. ו</w:t>
      </w:r>
      <w:r>
        <w:rPr>
          <w:rFonts w:hint="cs"/>
          <w:rtl/>
        </w:rPr>
        <w:t xml:space="preserve">ראו דוגמאות נוספות להפחתה בעונשו של מקנטר אצל אליאב שוחטמן, "על איסור ההכאה ותוצאותיו" </w:t>
      </w:r>
      <w:r w:rsidRPr="0011371B">
        <w:rPr>
          <w:rFonts w:hint="cs"/>
          <w:b/>
          <w:bCs/>
          <w:rtl/>
        </w:rPr>
        <w:t>פרשת השבוע</w:t>
      </w:r>
      <w:r>
        <w:rPr>
          <w:rFonts w:hint="cs"/>
          <w:rtl/>
        </w:rPr>
        <w:t xml:space="preserve"> הוצאת משרד המשפטים ומכללת שערי משפט, גיליון מס' 298, אחר הציון להערה 42 (זמין בכתובת </w:t>
      </w:r>
      <w:r w:rsidRPr="0011371B">
        <w:t>http://www.daat.ac.il/mishpat-ivri/skirot/298-2.htm</w:t>
      </w:r>
      <w:r w:rsidRPr="0011371B">
        <w:rPr>
          <w:rFonts w:hint="cs"/>
          <w:rtl/>
        </w:rPr>
        <w:t xml:space="preserve"> </w:t>
      </w:r>
      <w:r>
        <w:rPr>
          <w:rFonts w:hint="cs"/>
          <w:rtl/>
        </w:rPr>
        <w:t xml:space="preserve"> כניסה אחרונה: 6 ביולי 2016). וראו גם</w:t>
      </w:r>
      <w:r w:rsidR="00247940">
        <w:rPr>
          <w:rFonts w:hint="cs"/>
          <w:rtl/>
        </w:rPr>
        <w:t>:</w:t>
      </w:r>
      <w:r>
        <w:rPr>
          <w:rFonts w:hint="cs"/>
          <w:rtl/>
        </w:rPr>
        <w:t xml:space="preserve"> </w:t>
      </w:r>
      <w:r w:rsidRPr="0011371B">
        <w:rPr>
          <w:b/>
          <w:bCs/>
          <w:rtl/>
        </w:rPr>
        <w:t>ים של שלמה</w:t>
      </w:r>
      <w:r w:rsidRPr="00120E3F">
        <w:rPr>
          <w:rtl/>
        </w:rPr>
        <w:t xml:space="preserve"> בבא קמא ח, מב, ד"ה ואם אחד </w:t>
      </w:r>
      <w:r>
        <w:rPr>
          <w:rFonts w:hint="cs"/>
          <w:rtl/>
        </w:rPr>
        <w:t>("</w:t>
      </w:r>
      <w:r>
        <w:rPr>
          <w:rtl/>
        </w:rPr>
        <w:t>אם אחד חירף את חברו בשם רע ו</w:t>
      </w:r>
      <w:r>
        <w:rPr>
          <w:rFonts w:hint="cs"/>
          <w:rtl/>
        </w:rPr>
        <w:t xml:space="preserve">[הלה] </w:t>
      </w:r>
      <w:r>
        <w:rPr>
          <w:rtl/>
        </w:rPr>
        <w:t>הכהו, אף שעבר בלאו ד"לא יוסיף", וצריך כפרה - מכל מקום, אין עליו דין רשע כלל, אלא אמרינן: לבו רתחו, אין אדם עומד על צערו</w:t>
      </w:r>
      <w:r>
        <w:rPr>
          <w:rFonts w:hint="cs"/>
          <w:rtl/>
        </w:rPr>
        <w:t xml:space="preserve">"); </w:t>
      </w:r>
      <w:r w:rsidRPr="0011371B">
        <w:rPr>
          <w:b/>
          <w:bCs/>
          <w:rtl/>
        </w:rPr>
        <w:t>שו"ת שבות יעקב</w:t>
      </w:r>
      <w:r w:rsidRPr="00120E3F">
        <w:rPr>
          <w:rtl/>
        </w:rPr>
        <w:t xml:space="preserve"> ב, קעט</w:t>
      </w:r>
      <w:r>
        <w:rPr>
          <w:rFonts w:hint="cs"/>
          <w:rtl/>
        </w:rPr>
        <w:t xml:space="preserve"> (על מי שבעקבות האשמת שווא בגניבה הכה את חברו: "</w:t>
      </w:r>
      <w:r>
        <w:rPr>
          <w:rtl/>
        </w:rPr>
        <w:t>אין לקנוס החובל כולי האי [=כל כך], כיון שחברו ביישו תחילה וקראו גנב, ויש בוטה כמדקרות חרב...</w:t>
      </w:r>
      <w:r>
        <w:rPr>
          <w:rFonts w:hint="cs"/>
          <w:rtl/>
        </w:rPr>
        <w:t>"). ולעניין מי שכינה את חברו 'ממזר</w:t>
      </w:r>
      <w:r w:rsidR="00247940">
        <w:rPr>
          <w:rFonts w:hint="cs"/>
          <w:rtl/>
        </w:rPr>
        <w:t>'</w:t>
      </w:r>
      <w:r>
        <w:rPr>
          <w:rFonts w:hint="cs"/>
          <w:rtl/>
        </w:rPr>
        <w:t xml:space="preserve"> לאחר שהלה היכהו </w:t>
      </w:r>
      <w:r w:rsidR="00247940">
        <w:rPr>
          <w:rFonts w:hint="cs"/>
          <w:rtl/>
        </w:rPr>
        <w:t xml:space="preserve">ראו: </w:t>
      </w:r>
      <w:r w:rsidRPr="0011371B">
        <w:rPr>
          <w:b/>
          <w:bCs/>
          <w:rtl/>
        </w:rPr>
        <w:t>שו"ת מהר"י וייל</w:t>
      </w:r>
      <w:r w:rsidRPr="00120E3F">
        <w:rPr>
          <w:rtl/>
        </w:rPr>
        <w:t xml:space="preserve"> כח; </w:t>
      </w:r>
      <w:r w:rsidRPr="0011371B">
        <w:rPr>
          <w:b/>
          <w:bCs/>
          <w:rtl/>
        </w:rPr>
        <w:t>שו"ת ראנ"ח</w:t>
      </w:r>
      <w:r w:rsidRPr="00120E3F">
        <w:rPr>
          <w:rtl/>
        </w:rPr>
        <w:t xml:space="preserve"> נ; </w:t>
      </w:r>
      <w:r w:rsidRPr="0011371B">
        <w:rPr>
          <w:b/>
          <w:bCs/>
          <w:rtl/>
        </w:rPr>
        <w:t>שו"ת מהר"י הלוי</w:t>
      </w:r>
      <w:r w:rsidRPr="00120E3F">
        <w:rPr>
          <w:rtl/>
        </w:rPr>
        <w:t xml:space="preserve"> מח</w:t>
      </w:r>
      <w:r>
        <w:rPr>
          <w:rFonts w:hint="cs"/>
          <w:rtl/>
        </w:rPr>
        <w:t>.</w:t>
      </w:r>
      <w:r w:rsidRPr="00120E3F">
        <w:rPr>
          <w:rtl/>
        </w:rPr>
        <w:t xml:space="preserve"> </w:t>
      </w:r>
      <w:r>
        <w:rPr>
          <w:rtl/>
        </w:rPr>
        <w:t xml:space="preserve"> </w:t>
      </w:r>
    </w:p>
  </w:footnote>
  <w:footnote w:id="112">
    <w:p w:rsidR="00A56708" w:rsidRDefault="00A56708">
      <w:pPr>
        <w:pStyle w:val="a5"/>
        <w:rPr>
          <w:rFonts w:hint="cs"/>
          <w:rtl/>
        </w:rPr>
      </w:pPr>
      <w:r>
        <w:rPr>
          <w:rStyle w:val="a7"/>
        </w:rPr>
        <w:footnoteRef/>
      </w:r>
      <w:r>
        <w:rPr>
          <w:rtl/>
        </w:rPr>
        <w:t xml:space="preserve"> </w:t>
      </w:r>
      <w:r>
        <w:rPr>
          <w:rtl/>
        </w:rPr>
        <w:tab/>
      </w:r>
      <w:r>
        <w:rPr>
          <w:rFonts w:hint="cs"/>
          <w:rtl/>
        </w:rPr>
        <w:t xml:space="preserve">אחר הציון להערה </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Ref456610748 \h</w:instrText>
      </w:r>
      <w:r>
        <w:rPr>
          <w:rtl/>
        </w:rPr>
        <w:instrText xml:space="preserve"> </w:instrText>
      </w:r>
      <w:r>
        <w:rPr>
          <w:rtl/>
        </w:rPr>
      </w:r>
      <w:r>
        <w:rPr>
          <w:rtl/>
        </w:rPr>
        <w:fldChar w:fldCharType="separate"/>
      </w:r>
      <w:r>
        <w:rPr>
          <w:rtl/>
        </w:rPr>
        <w:t>7</w:t>
      </w:r>
      <w:r>
        <w:rPr>
          <w:rtl/>
        </w:rPr>
        <w:t>4</w:t>
      </w:r>
      <w:r>
        <w:rPr>
          <w:rtl/>
        </w:rPr>
        <w:fldChar w:fldCharType="end"/>
      </w:r>
      <w:r>
        <w:rPr>
          <w:rFonts w:hint="cs"/>
          <w:rtl/>
        </w:rPr>
        <w:t>.</w:t>
      </w:r>
    </w:p>
  </w:footnote>
  <w:footnote w:id="113">
    <w:p w:rsidR="00A56708" w:rsidRPr="00230BD7" w:rsidRDefault="00A56708" w:rsidP="00230BD7">
      <w:pPr>
        <w:pStyle w:val="a5"/>
      </w:pPr>
      <w:r>
        <w:rPr>
          <w:rStyle w:val="a7"/>
        </w:rPr>
        <w:footnoteRef/>
      </w:r>
      <w:r>
        <w:rPr>
          <w:rtl/>
        </w:rPr>
        <w:t xml:space="preserve"> </w:t>
      </w:r>
      <w:r>
        <w:rPr>
          <w:rtl/>
        </w:rPr>
        <w:tab/>
      </w:r>
      <w:r w:rsidRPr="00230BD7">
        <w:rPr>
          <w:rFonts w:hint="cs"/>
          <w:b/>
          <w:bCs/>
          <w:rtl/>
        </w:rPr>
        <w:t>דברי ההסבר להצעת החוק</w:t>
      </w:r>
      <w:r>
        <w:rPr>
          <w:rFonts w:hint="cs"/>
          <w:rtl/>
        </w:rPr>
        <w:t>, עמ' 176.</w:t>
      </w:r>
    </w:p>
  </w:footnote>
  <w:footnote w:id="114">
    <w:p w:rsidR="00A56708" w:rsidRDefault="00A56708" w:rsidP="00230BD7">
      <w:pPr>
        <w:pStyle w:val="a5"/>
      </w:pPr>
      <w:r>
        <w:rPr>
          <w:rStyle w:val="a7"/>
        </w:rPr>
        <w:footnoteRef/>
      </w:r>
      <w:r>
        <w:rPr>
          <w:rtl/>
        </w:rPr>
        <w:t xml:space="preserve"> </w:t>
      </w:r>
      <w:r>
        <w:rPr>
          <w:rtl/>
        </w:rPr>
        <w:tab/>
      </w:r>
      <w:r>
        <w:rPr>
          <w:rFonts w:hint="cs"/>
          <w:rtl/>
        </w:rPr>
        <w:t xml:space="preserve">שם. </w:t>
      </w:r>
    </w:p>
  </w:footnote>
  <w:footnote w:id="115">
    <w:p w:rsidR="00A56708" w:rsidRDefault="00A56708" w:rsidP="004B5FF8">
      <w:pPr>
        <w:pStyle w:val="a5"/>
        <w:rPr>
          <w:rtl/>
        </w:rPr>
      </w:pPr>
      <w:r>
        <w:rPr>
          <w:rStyle w:val="a7"/>
        </w:rPr>
        <w:footnoteRef/>
      </w:r>
      <w:r>
        <w:rPr>
          <w:rtl/>
        </w:rPr>
        <w:t xml:space="preserve"> </w:t>
      </w:r>
      <w:r>
        <w:rPr>
          <w:rtl/>
        </w:rPr>
        <w:tab/>
      </w:r>
      <w:r w:rsidRPr="00230BD7">
        <w:rPr>
          <w:rFonts w:hint="cs"/>
          <w:b/>
          <w:bCs/>
          <w:rtl/>
        </w:rPr>
        <w:t xml:space="preserve">משנה תורה </w:t>
      </w:r>
      <w:r>
        <w:rPr>
          <w:rFonts w:hint="cs"/>
          <w:rtl/>
        </w:rPr>
        <w:t xml:space="preserve">הלכות </w:t>
      </w:r>
      <w:r w:rsidRPr="004B5FF8">
        <w:rPr>
          <w:rtl/>
        </w:rPr>
        <w:t>רוצח</w:t>
      </w:r>
      <w:r>
        <w:rPr>
          <w:rFonts w:hint="cs"/>
          <w:rtl/>
        </w:rPr>
        <w:t xml:space="preserve"> ושמירת נפש </w:t>
      </w:r>
      <w:r w:rsidRPr="004B5FF8">
        <w:rPr>
          <w:rtl/>
        </w:rPr>
        <w:t>א, הלכ</w:t>
      </w:r>
      <w:r>
        <w:rPr>
          <w:rFonts w:hint="cs"/>
          <w:rtl/>
        </w:rPr>
        <w:t xml:space="preserve">ות ו, י. </w:t>
      </w:r>
    </w:p>
  </w:footnote>
  <w:footnote w:id="116">
    <w:p w:rsidR="00A56708" w:rsidRDefault="00A56708" w:rsidP="00A56708">
      <w:pPr>
        <w:pStyle w:val="a5"/>
        <w:rPr>
          <w:rtl/>
        </w:rPr>
      </w:pPr>
      <w:r>
        <w:rPr>
          <w:rStyle w:val="a7"/>
        </w:rPr>
        <w:footnoteRef/>
      </w:r>
      <w:r>
        <w:rPr>
          <w:rtl/>
        </w:rPr>
        <w:t xml:space="preserve"> </w:t>
      </w:r>
      <w:r>
        <w:rPr>
          <w:rtl/>
        </w:rPr>
        <w:tab/>
      </w:r>
      <w:r w:rsidRPr="00A56708">
        <w:rPr>
          <w:rFonts w:hint="cs"/>
          <w:b/>
          <w:bCs/>
          <w:rtl/>
        </w:rPr>
        <w:t>תלמוד בבלי</w:t>
      </w:r>
      <w:r>
        <w:rPr>
          <w:rFonts w:hint="cs"/>
          <w:rtl/>
        </w:rPr>
        <w:t xml:space="preserve"> </w:t>
      </w:r>
      <w:r w:rsidRPr="004B5FF8">
        <w:rPr>
          <w:rtl/>
        </w:rPr>
        <w:t xml:space="preserve">סנהדרין </w:t>
      </w:r>
      <w:r>
        <w:rPr>
          <w:rFonts w:hint="cs"/>
          <w:rtl/>
        </w:rPr>
        <w:t>מט,א ו-</w:t>
      </w:r>
      <w:r w:rsidRPr="004B5FF8">
        <w:rPr>
          <w:rtl/>
        </w:rPr>
        <w:t>עד</w:t>
      </w:r>
      <w:r>
        <w:rPr>
          <w:rFonts w:hint="cs"/>
          <w:rtl/>
        </w:rPr>
        <w:t>,</w:t>
      </w:r>
      <w:r w:rsidRPr="004B5FF8">
        <w:rPr>
          <w:rtl/>
        </w:rPr>
        <w:t xml:space="preserve">א; </w:t>
      </w:r>
      <w:r w:rsidRPr="00A56708">
        <w:rPr>
          <w:rFonts w:hint="cs"/>
          <w:b/>
          <w:bCs/>
          <w:rtl/>
        </w:rPr>
        <w:t>משנה תורה</w:t>
      </w:r>
      <w:r>
        <w:rPr>
          <w:rFonts w:hint="cs"/>
          <w:rtl/>
        </w:rPr>
        <w:t xml:space="preserve"> שם </w:t>
      </w:r>
      <w:r w:rsidRPr="004B5FF8">
        <w:rPr>
          <w:rtl/>
        </w:rPr>
        <w:t>א,</w:t>
      </w:r>
      <w:r>
        <w:rPr>
          <w:rFonts w:hint="cs"/>
          <w:rtl/>
        </w:rPr>
        <w:t xml:space="preserve"> </w:t>
      </w:r>
      <w:r w:rsidRPr="004B5FF8">
        <w:rPr>
          <w:rtl/>
        </w:rPr>
        <w:t>ז.</w:t>
      </w:r>
    </w:p>
  </w:footnote>
  <w:footnote w:id="117">
    <w:p w:rsidR="00A56708" w:rsidRDefault="00A56708" w:rsidP="00A56708">
      <w:pPr>
        <w:pStyle w:val="a5"/>
        <w:rPr>
          <w:rtl/>
        </w:rPr>
      </w:pPr>
      <w:r>
        <w:rPr>
          <w:rStyle w:val="a7"/>
        </w:rPr>
        <w:footnoteRef/>
      </w:r>
      <w:r>
        <w:rPr>
          <w:rtl/>
        </w:rPr>
        <w:t xml:space="preserve"> </w:t>
      </w:r>
      <w:r>
        <w:rPr>
          <w:rtl/>
        </w:rPr>
        <w:tab/>
      </w:r>
      <w:r w:rsidRPr="00230BD7">
        <w:rPr>
          <w:rFonts w:hint="cs"/>
          <w:b/>
          <w:bCs/>
          <w:rtl/>
        </w:rPr>
        <w:t>משנה תורה</w:t>
      </w:r>
      <w:r>
        <w:rPr>
          <w:rFonts w:hint="cs"/>
          <w:rtl/>
        </w:rPr>
        <w:t xml:space="preserve"> שם </w:t>
      </w:r>
      <w:r w:rsidRPr="004B5FF8">
        <w:rPr>
          <w:rtl/>
        </w:rPr>
        <w:t>א,</w:t>
      </w:r>
      <w:r>
        <w:rPr>
          <w:rFonts w:hint="cs"/>
          <w:rtl/>
        </w:rPr>
        <w:t xml:space="preserve"> יג.</w:t>
      </w:r>
    </w:p>
  </w:footnote>
  <w:footnote w:id="118">
    <w:p w:rsidR="00A56708" w:rsidRDefault="00A56708" w:rsidP="00A56708">
      <w:pPr>
        <w:pStyle w:val="a5"/>
      </w:pPr>
      <w:r>
        <w:rPr>
          <w:rStyle w:val="a7"/>
        </w:rPr>
        <w:footnoteRef/>
      </w:r>
      <w:r>
        <w:rPr>
          <w:rtl/>
        </w:rPr>
        <w:t xml:space="preserve"> </w:t>
      </w:r>
      <w:r>
        <w:rPr>
          <w:rtl/>
        </w:rPr>
        <w:tab/>
      </w:r>
      <w:r w:rsidRPr="004B5FF8">
        <w:rPr>
          <w:rtl/>
        </w:rPr>
        <w:t>א</w:t>
      </w:r>
      <w:r>
        <w:rPr>
          <w:rFonts w:hint="cs"/>
          <w:rtl/>
        </w:rPr>
        <w:t>מנ</w:t>
      </w:r>
      <w:r w:rsidRPr="004B5FF8">
        <w:rPr>
          <w:rtl/>
        </w:rPr>
        <w:t>ם</w:t>
      </w:r>
      <w:r>
        <w:rPr>
          <w:rFonts w:hint="cs"/>
          <w:rtl/>
        </w:rPr>
        <w:t xml:space="preserve">, אם יוכח שהאדם שהמית את הרודף ידע בוודאות שניתן להציל את הנרדף באמצעות פגיעה קלה ברודף, שלא תגרום למותו, ובכל זאת הוא המית את הרודף, הוא ייחשב כרוצח במזיד לכל דבר ועניין. על כך ראו: </w:t>
      </w:r>
      <w:r w:rsidRPr="00230BD7">
        <w:rPr>
          <w:b/>
          <w:bCs/>
          <w:rtl/>
        </w:rPr>
        <w:t>אבן האזל</w:t>
      </w:r>
      <w:r>
        <w:rPr>
          <w:rFonts w:hint="cs"/>
          <w:rtl/>
        </w:rPr>
        <w:t xml:space="preserve"> הלכות </w:t>
      </w:r>
      <w:r w:rsidRPr="004B5FF8">
        <w:rPr>
          <w:rtl/>
        </w:rPr>
        <w:t>רוצח</w:t>
      </w:r>
      <w:r>
        <w:rPr>
          <w:rFonts w:hint="cs"/>
          <w:rtl/>
        </w:rPr>
        <w:t xml:space="preserve"> ושמירת נפש </w:t>
      </w:r>
      <w:r w:rsidRPr="004B5FF8">
        <w:rPr>
          <w:rtl/>
        </w:rPr>
        <w:t>א,</w:t>
      </w:r>
      <w:r>
        <w:rPr>
          <w:rFonts w:hint="cs"/>
          <w:rtl/>
        </w:rPr>
        <w:t xml:space="preserve"> יג</w:t>
      </w:r>
      <w:r w:rsidRPr="00070FC9">
        <w:rPr>
          <w:rtl/>
        </w:rPr>
        <w:t xml:space="preserve">; </w:t>
      </w:r>
      <w:r w:rsidRPr="00230BD7">
        <w:rPr>
          <w:b/>
          <w:bCs/>
          <w:rtl/>
        </w:rPr>
        <w:t>שו"ת שואל ומשיב</w:t>
      </w:r>
      <w:r w:rsidRPr="00070FC9">
        <w:rPr>
          <w:rtl/>
        </w:rPr>
        <w:t xml:space="preserve"> מהדורא רביעאה</w:t>
      </w:r>
      <w:r>
        <w:rPr>
          <w:rFonts w:hint="cs"/>
          <w:rtl/>
        </w:rPr>
        <w:t>,</w:t>
      </w:r>
      <w:r w:rsidRPr="00070FC9">
        <w:rPr>
          <w:rtl/>
        </w:rPr>
        <w:t xml:space="preserve"> א</w:t>
      </w:r>
      <w:r>
        <w:rPr>
          <w:rFonts w:hint="cs"/>
          <w:rtl/>
        </w:rPr>
        <w:t>,</w:t>
      </w:r>
      <w:r w:rsidRPr="00070FC9">
        <w:rPr>
          <w:rtl/>
        </w:rPr>
        <w:t xml:space="preserve"> מב.</w:t>
      </w:r>
    </w:p>
  </w:footnote>
  <w:footnote w:id="119">
    <w:p w:rsidR="00A56708" w:rsidRDefault="00A56708">
      <w:pPr>
        <w:pStyle w:val="a5"/>
        <w:rPr>
          <w:rtl/>
        </w:rPr>
      </w:pPr>
      <w:r>
        <w:rPr>
          <w:rStyle w:val="a7"/>
        </w:rPr>
        <w:footnoteRef/>
      </w:r>
      <w:r>
        <w:rPr>
          <w:rtl/>
        </w:rPr>
        <w:t xml:space="preserve"> </w:t>
      </w:r>
      <w:r>
        <w:rPr>
          <w:rtl/>
        </w:rPr>
        <w:tab/>
      </w:r>
      <w:r>
        <w:rPr>
          <w:rFonts w:hint="cs"/>
          <w:rtl/>
        </w:rPr>
        <w:t xml:space="preserve">וראו עוד בעניין זה אצל הרב יעקב אריאל, </w:t>
      </w:r>
      <w:r w:rsidRPr="00230BD7">
        <w:rPr>
          <w:rFonts w:hint="cs"/>
          <w:b/>
          <w:bCs/>
          <w:rtl/>
        </w:rPr>
        <w:t>באהלה של תורה</w:t>
      </w:r>
      <w:r>
        <w:rPr>
          <w:rFonts w:hint="cs"/>
          <w:rtl/>
        </w:rPr>
        <w:t xml:space="preserve"> א, סימן ח, פרק ב.</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60C68"/>
    <w:multiLevelType w:val="hybridMultilevel"/>
    <w:tmpl w:val="CFA6C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46256"/>
    <w:multiLevelType w:val="multilevel"/>
    <w:tmpl w:val="D8A82400"/>
    <w:lvl w:ilvl="0">
      <w:start w:val="1"/>
      <w:numFmt w:val="decimal"/>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D94034"/>
    <w:multiLevelType w:val="hybridMultilevel"/>
    <w:tmpl w:val="7E7A8CE2"/>
    <w:lvl w:ilvl="0" w:tplc="8A2AEE16">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F0103"/>
    <w:multiLevelType w:val="multilevel"/>
    <w:tmpl w:val="F8068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A1D4C"/>
    <w:multiLevelType w:val="hybridMultilevel"/>
    <w:tmpl w:val="FD068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4E082C"/>
    <w:multiLevelType w:val="hybridMultilevel"/>
    <w:tmpl w:val="B3160826"/>
    <w:lvl w:ilvl="0" w:tplc="C882C89E">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F72FB8"/>
    <w:multiLevelType w:val="hybridMultilevel"/>
    <w:tmpl w:val="A9640FD8"/>
    <w:lvl w:ilvl="0" w:tplc="AEE866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A92E90"/>
    <w:multiLevelType w:val="hybridMultilevel"/>
    <w:tmpl w:val="690C5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0B5BCA"/>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 w15:restartNumberingAfterBreak="0">
    <w:nsid w:val="27855C42"/>
    <w:multiLevelType w:val="hybridMultilevel"/>
    <w:tmpl w:val="43E2B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0C0830"/>
    <w:multiLevelType w:val="hybridMultilevel"/>
    <w:tmpl w:val="27846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B04EFD"/>
    <w:multiLevelType w:val="multilevel"/>
    <w:tmpl w:val="9BE08C6C"/>
    <w:lvl w:ilvl="0">
      <w:start w:val="1"/>
      <w:numFmt w:val="decimal"/>
      <w:lvlText w:val="%1."/>
      <w:lvlJc w:val="left"/>
      <w:pPr>
        <w:ind w:left="720" w:hanging="360"/>
      </w:pPr>
      <w:rPr>
        <w:rFonts w:hint="default"/>
        <w:sz w:val="28"/>
        <w:szCs w:val="28"/>
      </w:rPr>
    </w:lvl>
    <w:lvl w:ilvl="1">
      <w:start w:val="4"/>
      <w:numFmt w:val="decimal"/>
      <w:isLgl/>
      <w:lvlText w:val="%1.%2"/>
      <w:lvlJc w:val="left"/>
      <w:pPr>
        <w:ind w:left="39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2C8693F"/>
    <w:multiLevelType w:val="hybridMultilevel"/>
    <w:tmpl w:val="EAB4C41C"/>
    <w:lvl w:ilvl="0" w:tplc="E5D8164C">
      <w:start w:val="2"/>
      <w:numFmt w:val="bullet"/>
      <w:lvlText w:val="-"/>
      <w:lvlJc w:val="left"/>
      <w:pPr>
        <w:ind w:left="1800" w:hanging="360"/>
      </w:pPr>
      <w:rPr>
        <w:rFonts w:ascii="Arial" w:eastAsiaTheme="minorHAnsi" w:hAnsi="Arial"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8BC4977"/>
    <w:multiLevelType w:val="hybridMultilevel"/>
    <w:tmpl w:val="71E000C0"/>
    <w:lvl w:ilvl="0" w:tplc="6B92261A">
      <w:start w:val="16"/>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1244D33"/>
    <w:multiLevelType w:val="hybridMultilevel"/>
    <w:tmpl w:val="BF5009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6294D2C"/>
    <w:multiLevelType w:val="hybridMultilevel"/>
    <w:tmpl w:val="FD068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795F84"/>
    <w:multiLevelType w:val="hybridMultilevel"/>
    <w:tmpl w:val="913059FC"/>
    <w:lvl w:ilvl="0" w:tplc="D280035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C8181E"/>
    <w:multiLevelType w:val="hybridMultilevel"/>
    <w:tmpl w:val="CCFEE1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115506"/>
    <w:multiLevelType w:val="multilevel"/>
    <w:tmpl w:val="1A0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125357"/>
    <w:multiLevelType w:val="hybridMultilevel"/>
    <w:tmpl w:val="1360C2EA"/>
    <w:lvl w:ilvl="0" w:tplc="347A9EE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0B5F5F"/>
    <w:multiLevelType w:val="hybridMultilevel"/>
    <w:tmpl w:val="BC56D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995AB2"/>
    <w:multiLevelType w:val="hybridMultilevel"/>
    <w:tmpl w:val="51F48B26"/>
    <w:lvl w:ilvl="0" w:tplc="CF744418">
      <w:start w:val="1"/>
      <w:numFmt w:val="bullet"/>
      <w:lvlText w:val=""/>
      <w:lvlJc w:val="left"/>
      <w:pPr>
        <w:ind w:left="720" w:hanging="360"/>
      </w:pPr>
      <w:rPr>
        <w:rFonts w:ascii="Symbol" w:hAnsi="Symbol" w:hint="default"/>
        <w:lang w:bidi="he-IL"/>
      </w:rPr>
    </w:lvl>
    <w:lvl w:ilvl="1" w:tplc="9000EB2A">
      <w:start w:val="1"/>
      <w:numFmt w:val="bullet"/>
      <w:lvlText w:val="o"/>
      <w:lvlJc w:val="left"/>
      <w:pPr>
        <w:ind w:left="1440" w:hanging="360"/>
      </w:pPr>
      <w:rPr>
        <w:rFonts w:ascii="Courier New" w:hAnsi="Courier New" w:cs="Courier New" w:hint="default"/>
        <w:lang w:bidi="he-IL"/>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EF25C4"/>
    <w:multiLevelType w:val="multilevel"/>
    <w:tmpl w:val="44328C42"/>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BDA05D3"/>
    <w:multiLevelType w:val="hybridMultilevel"/>
    <w:tmpl w:val="CCA46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5D7744"/>
    <w:multiLevelType w:val="hybridMultilevel"/>
    <w:tmpl w:val="A5A05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3F6211"/>
    <w:multiLevelType w:val="multilevel"/>
    <w:tmpl w:val="44328C42"/>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BC04B4"/>
    <w:multiLevelType w:val="hybridMultilevel"/>
    <w:tmpl w:val="456228D4"/>
    <w:lvl w:ilvl="0" w:tplc="6B30715C">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08C38E3"/>
    <w:multiLevelType w:val="multilevel"/>
    <w:tmpl w:val="44328C42"/>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4F37AEC"/>
    <w:multiLevelType w:val="hybridMultilevel"/>
    <w:tmpl w:val="C6403930"/>
    <w:lvl w:ilvl="0" w:tplc="7376DAB6">
      <w:start w:val="2"/>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53C02AF"/>
    <w:multiLevelType w:val="hybridMultilevel"/>
    <w:tmpl w:val="5E8A5038"/>
    <w:lvl w:ilvl="0" w:tplc="D280035E">
      <w:start w:val="1"/>
      <w:numFmt w:val="hebrew1"/>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5D5C4A"/>
    <w:multiLevelType w:val="hybridMultilevel"/>
    <w:tmpl w:val="E1DE8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8F6C96"/>
    <w:multiLevelType w:val="hybridMultilevel"/>
    <w:tmpl w:val="67800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426867"/>
    <w:multiLevelType w:val="hybridMultilevel"/>
    <w:tmpl w:val="E0269E42"/>
    <w:lvl w:ilvl="0" w:tplc="F23C7C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B26FF5"/>
    <w:multiLevelType w:val="hybridMultilevel"/>
    <w:tmpl w:val="0AF000B8"/>
    <w:lvl w:ilvl="0" w:tplc="1E2CDF5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C520D2"/>
    <w:multiLevelType w:val="multilevel"/>
    <w:tmpl w:val="42A28DD2"/>
    <w:lvl w:ilvl="0">
      <w:start w:val="1"/>
      <w:numFmt w:val="decimal"/>
      <w:lvlText w:val="%1."/>
      <w:lvlJc w:val="left"/>
      <w:pPr>
        <w:ind w:left="360" w:hanging="360"/>
      </w:pPr>
      <w:rPr>
        <w:lang w:val="en-U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9308ED"/>
    <w:multiLevelType w:val="hybridMultilevel"/>
    <w:tmpl w:val="CE7863DA"/>
    <w:lvl w:ilvl="0" w:tplc="31F051F4">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98A0365"/>
    <w:multiLevelType w:val="hybridMultilevel"/>
    <w:tmpl w:val="ED4ABE6A"/>
    <w:lvl w:ilvl="0" w:tplc="D280035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19454B"/>
    <w:multiLevelType w:val="hybridMultilevel"/>
    <w:tmpl w:val="C816AD60"/>
    <w:lvl w:ilvl="0" w:tplc="0409000F">
      <w:start w:val="1"/>
      <w:numFmt w:val="decimal"/>
      <w:lvlText w:val="%1."/>
      <w:lvlJc w:val="left"/>
      <w:pPr>
        <w:ind w:left="720" w:hanging="360"/>
      </w:pPr>
      <w:rPr>
        <w:rFonts w:hint="default"/>
      </w:rPr>
    </w:lvl>
    <w:lvl w:ilvl="1" w:tplc="BA5010C0">
      <w:start w:val="1"/>
      <w:numFmt w:val="hebrew1"/>
      <w:lvlText w:val="%2."/>
      <w:lvlJc w:val="left"/>
      <w:pPr>
        <w:ind w:left="1440" w:hanging="360"/>
      </w:pPr>
      <w:rPr>
        <w:rFonts w:hint="default"/>
        <w:lang w:val="en-U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65316A"/>
    <w:multiLevelType w:val="hybridMultilevel"/>
    <w:tmpl w:val="E1DE8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BE1844"/>
    <w:multiLevelType w:val="hybridMultilevel"/>
    <w:tmpl w:val="C178C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39"/>
  </w:num>
  <w:num w:numId="4">
    <w:abstractNumId w:val="0"/>
  </w:num>
  <w:num w:numId="5">
    <w:abstractNumId w:val="35"/>
  </w:num>
  <w:num w:numId="6">
    <w:abstractNumId w:val="26"/>
  </w:num>
  <w:num w:numId="7">
    <w:abstractNumId w:val="13"/>
  </w:num>
  <w:num w:numId="8">
    <w:abstractNumId w:val="3"/>
  </w:num>
  <w:num w:numId="9">
    <w:abstractNumId w:val="14"/>
  </w:num>
  <w:num w:numId="10">
    <w:abstractNumId w:val="11"/>
  </w:num>
  <w:num w:numId="11">
    <w:abstractNumId w:val="12"/>
  </w:num>
  <w:num w:numId="12">
    <w:abstractNumId w:val="28"/>
  </w:num>
  <w:num w:numId="13">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19"/>
  </w:num>
  <w:num w:numId="15">
    <w:abstractNumId w:val="1"/>
  </w:num>
  <w:num w:numId="16">
    <w:abstractNumId w:val="8"/>
  </w:num>
  <w:num w:numId="17">
    <w:abstractNumId w:val="34"/>
  </w:num>
  <w:num w:numId="18">
    <w:abstractNumId w:val="24"/>
  </w:num>
  <w:num w:numId="19">
    <w:abstractNumId w:val="31"/>
  </w:num>
  <w:num w:numId="20">
    <w:abstractNumId w:val="25"/>
  </w:num>
  <w:num w:numId="21">
    <w:abstractNumId w:val="17"/>
  </w:num>
  <w:num w:numId="22">
    <w:abstractNumId w:val="38"/>
  </w:num>
  <w:num w:numId="23">
    <w:abstractNumId w:val="27"/>
  </w:num>
  <w:num w:numId="24">
    <w:abstractNumId w:val="30"/>
  </w:num>
  <w:num w:numId="25">
    <w:abstractNumId w:val="7"/>
  </w:num>
  <w:num w:numId="26">
    <w:abstractNumId w:val="10"/>
  </w:num>
  <w:num w:numId="27">
    <w:abstractNumId w:val="21"/>
  </w:num>
  <w:num w:numId="28">
    <w:abstractNumId w:val="15"/>
  </w:num>
  <w:num w:numId="29">
    <w:abstractNumId w:val="5"/>
  </w:num>
  <w:num w:numId="30">
    <w:abstractNumId w:val="4"/>
  </w:num>
  <w:num w:numId="31">
    <w:abstractNumId w:val="32"/>
  </w:num>
  <w:num w:numId="32">
    <w:abstractNumId w:val="37"/>
  </w:num>
  <w:num w:numId="33">
    <w:abstractNumId w:val="16"/>
  </w:num>
  <w:num w:numId="34">
    <w:abstractNumId w:val="36"/>
  </w:num>
  <w:num w:numId="35">
    <w:abstractNumId w:val="23"/>
  </w:num>
  <w:num w:numId="36">
    <w:abstractNumId w:val="29"/>
  </w:num>
  <w:num w:numId="37">
    <w:abstractNumId w:val="22"/>
  </w:num>
  <w:num w:numId="38">
    <w:abstractNumId w:val="6"/>
  </w:num>
  <w:num w:numId="39">
    <w:abstractNumId w:val="33"/>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0"/>
  <w:proofState w:spelling="dirty"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335"/>
    <w:rsid w:val="00000CC6"/>
    <w:rsid w:val="0000170F"/>
    <w:rsid w:val="00001B17"/>
    <w:rsid w:val="00003B2F"/>
    <w:rsid w:val="0000409B"/>
    <w:rsid w:val="0000538D"/>
    <w:rsid w:val="000071E2"/>
    <w:rsid w:val="000071E5"/>
    <w:rsid w:val="0000745F"/>
    <w:rsid w:val="0000772A"/>
    <w:rsid w:val="000077C5"/>
    <w:rsid w:val="000107C7"/>
    <w:rsid w:val="0001095C"/>
    <w:rsid w:val="00010CE7"/>
    <w:rsid w:val="00011AAB"/>
    <w:rsid w:val="00013A63"/>
    <w:rsid w:val="0001446B"/>
    <w:rsid w:val="0001586F"/>
    <w:rsid w:val="0001675F"/>
    <w:rsid w:val="00016AA0"/>
    <w:rsid w:val="000202D4"/>
    <w:rsid w:val="00022010"/>
    <w:rsid w:val="000221DE"/>
    <w:rsid w:val="000222B6"/>
    <w:rsid w:val="00022664"/>
    <w:rsid w:val="00022B2F"/>
    <w:rsid w:val="00024EF9"/>
    <w:rsid w:val="00025157"/>
    <w:rsid w:val="00026ED9"/>
    <w:rsid w:val="00027D55"/>
    <w:rsid w:val="00030130"/>
    <w:rsid w:val="00030207"/>
    <w:rsid w:val="000305DE"/>
    <w:rsid w:val="00031DCB"/>
    <w:rsid w:val="0003333F"/>
    <w:rsid w:val="000337D4"/>
    <w:rsid w:val="00034174"/>
    <w:rsid w:val="000342A8"/>
    <w:rsid w:val="000349F1"/>
    <w:rsid w:val="0003548F"/>
    <w:rsid w:val="00035877"/>
    <w:rsid w:val="00035C31"/>
    <w:rsid w:val="00037D32"/>
    <w:rsid w:val="00037DF4"/>
    <w:rsid w:val="00040565"/>
    <w:rsid w:val="00042262"/>
    <w:rsid w:val="00042454"/>
    <w:rsid w:val="000427C8"/>
    <w:rsid w:val="00044ECA"/>
    <w:rsid w:val="00046561"/>
    <w:rsid w:val="000465F2"/>
    <w:rsid w:val="00046F37"/>
    <w:rsid w:val="000507D2"/>
    <w:rsid w:val="000515A7"/>
    <w:rsid w:val="000518CB"/>
    <w:rsid w:val="000522C0"/>
    <w:rsid w:val="00056724"/>
    <w:rsid w:val="00057DD7"/>
    <w:rsid w:val="00060541"/>
    <w:rsid w:val="000616EA"/>
    <w:rsid w:val="00061702"/>
    <w:rsid w:val="00061981"/>
    <w:rsid w:val="00062035"/>
    <w:rsid w:val="0006227A"/>
    <w:rsid w:val="00062313"/>
    <w:rsid w:val="00062754"/>
    <w:rsid w:val="000628F9"/>
    <w:rsid w:val="000654D7"/>
    <w:rsid w:val="000669DB"/>
    <w:rsid w:val="00066C7E"/>
    <w:rsid w:val="00066D6B"/>
    <w:rsid w:val="000703D0"/>
    <w:rsid w:val="000704BD"/>
    <w:rsid w:val="00070FC9"/>
    <w:rsid w:val="00072277"/>
    <w:rsid w:val="00072AB3"/>
    <w:rsid w:val="00073C3C"/>
    <w:rsid w:val="00074226"/>
    <w:rsid w:val="00075E42"/>
    <w:rsid w:val="00075E80"/>
    <w:rsid w:val="0007606F"/>
    <w:rsid w:val="00076A70"/>
    <w:rsid w:val="00077D3D"/>
    <w:rsid w:val="00077F1D"/>
    <w:rsid w:val="000815C8"/>
    <w:rsid w:val="00081910"/>
    <w:rsid w:val="00082B74"/>
    <w:rsid w:val="0008486F"/>
    <w:rsid w:val="0008491F"/>
    <w:rsid w:val="000860CA"/>
    <w:rsid w:val="00086D01"/>
    <w:rsid w:val="000926C7"/>
    <w:rsid w:val="000929BB"/>
    <w:rsid w:val="00093551"/>
    <w:rsid w:val="00093FE1"/>
    <w:rsid w:val="00094512"/>
    <w:rsid w:val="00095759"/>
    <w:rsid w:val="00095919"/>
    <w:rsid w:val="00096208"/>
    <w:rsid w:val="00096491"/>
    <w:rsid w:val="00096E64"/>
    <w:rsid w:val="00097A50"/>
    <w:rsid w:val="000A0C36"/>
    <w:rsid w:val="000A0C55"/>
    <w:rsid w:val="000A35A6"/>
    <w:rsid w:val="000A3806"/>
    <w:rsid w:val="000A3ACC"/>
    <w:rsid w:val="000A481B"/>
    <w:rsid w:val="000A4B55"/>
    <w:rsid w:val="000A4D60"/>
    <w:rsid w:val="000A57A3"/>
    <w:rsid w:val="000A65B7"/>
    <w:rsid w:val="000A65CB"/>
    <w:rsid w:val="000A68BD"/>
    <w:rsid w:val="000B048A"/>
    <w:rsid w:val="000B226E"/>
    <w:rsid w:val="000B232F"/>
    <w:rsid w:val="000B23A2"/>
    <w:rsid w:val="000B3545"/>
    <w:rsid w:val="000B39DE"/>
    <w:rsid w:val="000B5D1C"/>
    <w:rsid w:val="000B6083"/>
    <w:rsid w:val="000B64AC"/>
    <w:rsid w:val="000B7F63"/>
    <w:rsid w:val="000C0094"/>
    <w:rsid w:val="000C0EB8"/>
    <w:rsid w:val="000C156D"/>
    <w:rsid w:val="000C2F0A"/>
    <w:rsid w:val="000C3228"/>
    <w:rsid w:val="000C34C5"/>
    <w:rsid w:val="000C4618"/>
    <w:rsid w:val="000C5FE6"/>
    <w:rsid w:val="000C603A"/>
    <w:rsid w:val="000C7967"/>
    <w:rsid w:val="000D069B"/>
    <w:rsid w:val="000D2299"/>
    <w:rsid w:val="000D2B16"/>
    <w:rsid w:val="000D311F"/>
    <w:rsid w:val="000D6211"/>
    <w:rsid w:val="000D6BFD"/>
    <w:rsid w:val="000D7CA4"/>
    <w:rsid w:val="000D7DA8"/>
    <w:rsid w:val="000D7F68"/>
    <w:rsid w:val="000E0469"/>
    <w:rsid w:val="000E138F"/>
    <w:rsid w:val="000E2167"/>
    <w:rsid w:val="000E2AF8"/>
    <w:rsid w:val="000E573E"/>
    <w:rsid w:val="000E5D76"/>
    <w:rsid w:val="000E65B6"/>
    <w:rsid w:val="000E6913"/>
    <w:rsid w:val="000E7F68"/>
    <w:rsid w:val="000F008C"/>
    <w:rsid w:val="000F0FE0"/>
    <w:rsid w:val="000F216B"/>
    <w:rsid w:val="000F2CA2"/>
    <w:rsid w:val="000F3161"/>
    <w:rsid w:val="000F32BC"/>
    <w:rsid w:val="000F334A"/>
    <w:rsid w:val="000F4705"/>
    <w:rsid w:val="000F526A"/>
    <w:rsid w:val="000F53D0"/>
    <w:rsid w:val="000F572C"/>
    <w:rsid w:val="000F5A1E"/>
    <w:rsid w:val="000F5DD4"/>
    <w:rsid w:val="000F654E"/>
    <w:rsid w:val="000F76BC"/>
    <w:rsid w:val="001000BC"/>
    <w:rsid w:val="00100968"/>
    <w:rsid w:val="001014B3"/>
    <w:rsid w:val="00101720"/>
    <w:rsid w:val="001033EF"/>
    <w:rsid w:val="0010370C"/>
    <w:rsid w:val="0010470A"/>
    <w:rsid w:val="00105122"/>
    <w:rsid w:val="001058C3"/>
    <w:rsid w:val="00106F1B"/>
    <w:rsid w:val="001076FC"/>
    <w:rsid w:val="001079D9"/>
    <w:rsid w:val="00110906"/>
    <w:rsid w:val="0011371B"/>
    <w:rsid w:val="0011460F"/>
    <w:rsid w:val="00115A27"/>
    <w:rsid w:val="00116619"/>
    <w:rsid w:val="0011680C"/>
    <w:rsid w:val="001168A5"/>
    <w:rsid w:val="001172AD"/>
    <w:rsid w:val="00120E3F"/>
    <w:rsid w:val="00120E5B"/>
    <w:rsid w:val="001215B9"/>
    <w:rsid w:val="00121DC0"/>
    <w:rsid w:val="00122955"/>
    <w:rsid w:val="00123119"/>
    <w:rsid w:val="0012358B"/>
    <w:rsid w:val="0012405F"/>
    <w:rsid w:val="001240EE"/>
    <w:rsid w:val="001247FB"/>
    <w:rsid w:val="00124E50"/>
    <w:rsid w:val="001252E0"/>
    <w:rsid w:val="00125ED7"/>
    <w:rsid w:val="0012697D"/>
    <w:rsid w:val="00126EC9"/>
    <w:rsid w:val="00127104"/>
    <w:rsid w:val="00127795"/>
    <w:rsid w:val="00127A54"/>
    <w:rsid w:val="00130076"/>
    <w:rsid w:val="00131007"/>
    <w:rsid w:val="001311DA"/>
    <w:rsid w:val="00131338"/>
    <w:rsid w:val="0013212D"/>
    <w:rsid w:val="001336D7"/>
    <w:rsid w:val="0013416C"/>
    <w:rsid w:val="001343D7"/>
    <w:rsid w:val="00134CB1"/>
    <w:rsid w:val="00134EC7"/>
    <w:rsid w:val="00136695"/>
    <w:rsid w:val="0013672B"/>
    <w:rsid w:val="00137334"/>
    <w:rsid w:val="00137F54"/>
    <w:rsid w:val="001407CE"/>
    <w:rsid w:val="00140BBB"/>
    <w:rsid w:val="00140FDD"/>
    <w:rsid w:val="001413D0"/>
    <w:rsid w:val="0014151D"/>
    <w:rsid w:val="00142789"/>
    <w:rsid w:val="00143156"/>
    <w:rsid w:val="00143FA6"/>
    <w:rsid w:val="00144ACD"/>
    <w:rsid w:val="001452A8"/>
    <w:rsid w:val="00145B4D"/>
    <w:rsid w:val="0014682E"/>
    <w:rsid w:val="0014760D"/>
    <w:rsid w:val="0015012C"/>
    <w:rsid w:val="0015030C"/>
    <w:rsid w:val="00150E9C"/>
    <w:rsid w:val="00151BDF"/>
    <w:rsid w:val="001523B4"/>
    <w:rsid w:val="00154347"/>
    <w:rsid w:val="001547D1"/>
    <w:rsid w:val="00156E5B"/>
    <w:rsid w:val="001601DA"/>
    <w:rsid w:val="001619CF"/>
    <w:rsid w:val="00161F28"/>
    <w:rsid w:val="00163AB6"/>
    <w:rsid w:val="0016429C"/>
    <w:rsid w:val="0016449F"/>
    <w:rsid w:val="001669E6"/>
    <w:rsid w:val="00166ABE"/>
    <w:rsid w:val="00166EA6"/>
    <w:rsid w:val="00166F41"/>
    <w:rsid w:val="001676FF"/>
    <w:rsid w:val="00167F60"/>
    <w:rsid w:val="001700E5"/>
    <w:rsid w:val="0017030E"/>
    <w:rsid w:val="001720D4"/>
    <w:rsid w:val="00172149"/>
    <w:rsid w:val="00173537"/>
    <w:rsid w:val="001739A8"/>
    <w:rsid w:val="00173CD6"/>
    <w:rsid w:val="00174181"/>
    <w:rsid w:val="0017498C"/>
    <w:rsid w:val="001750AB"/>
    <w:rsid w:val="00176071"/>
    <w:rsid w:val="00176BC9"/>
    <w:rsid w:val="00176EE6"/>
    <w:rsid w:val="001776D8"/>
    <w:rsid w:val="00177DD9"/>
    <w:rsid w:val="00180105"/>
    <w:rsid w:val="0018124C"/>
    <w:rsid w:val="00181872"/>
    <w:rsid w:val="001828C2"/>
    <w:rsid w:val="00182A1F"/>
    <w:rsid w:val="00182A20"/>
    <w:rsid w:val="001835DF"/>
    <w:rsid w:val="001847FD"/>
    <w:rsid w:val="0018518F"/>
    <w:rsid w:val="00185510"/>
    <w:rsid w:val="00185F1D"/>
    <w:rsid w:val="00186125"/>
    <w:rsid w:val="001863E0"/>
    <w:rsid w:val="00186819"/>
    <w:rsid w:val="00187077"/>
    <w:rsid w:val="00187440"/>
    <w:rsid w:val="001877EB"/>
    <w:rsid w:val="00190262"/>
    <w:rsid w:val="001915E0"/>
    <w:rsid w:val="00193FD7"/>
    <w:rsid w:val="001944B4"/>
    <w:rsid w:val="00194921"/>
    <w:rsid w:val="00195090"/>
    <w:rsid w:val="001956F3"/>
    <w:rsid w:val="00196308"/>
    <w:rsid w:val="00196A49"/>
    <w:rsid w:val="001975D7"/>
    <w:rsid w:val="001A0519"/>
    <w:rsid w:val="001A0FD2"/>
    <w:rsid w:val="001A2E9F"/>
    <w:rsid w:val="001A33A3"/>
    <w:rsid w:val="001A3821"/>
    <w:rsid w:val="001A52BA"/>
    <w:rsid w:val="001A53FD"/>
    <w:rsid w:val="001A5D96"/>
    <w:rsid w:val="001A5FB2"/>
    <w:rsid w:val="001A7094"/>
    <w:rsid w:val="001A75E3"/>
    <w:rsid w:val="001A7CE0"/>
    <w:rsid w:val="001B2E94"/>
    <w:rsid w:val="001B41B8"/>
    <w:rsid w:val="001B5345"/>
    <w:rsid w:val="001B6A0F"/>
    <w:rsid w:val="001B70BF"/>
    <w:rsid w:val="001B72DB"/>
    <w:rsid w:val="001C4FAD"/>
    <w:rsid w:val="001C5113"/>
    <w:rsid w:val="001C5329"/>
    <w:rsid w:val="001C7F0B"/>
    <w:rsid w:val="001D0B9F"/>
    <w:rsid w:val="001D18EC"/>
    <w:rsid w:val="001D1E48"/>
    <w:rsid w:val="001D25ED"/>
    <w:rsid w:val="001D28D7"/>
    <w:rsid w:val="001D3A82"/>
    <w:rsid w:val="001D3DE2"/>
    <w:rsid w:val="001D52B2"/>
    <w:rsid w:val="001D533E"/>
    <w:rsid w:val="001D5602"/>
    <w:rsid w:val="001D6097"/>
    <w:rsid w:val="001D6770"/>
    <w:rsid w:val="001E13B4"/>
    <w:rsid w:val="001E1EC9"/>
    <w:rsid w:val="001E2172"/>
    <w:rsid w:val="001E3940"/>
    <w:rsid w:val="001E3D71"/>
    <w:rsid w:val="001E65C6"/>
    <w:rsid w:val="001E6A90"/>
    <w:rsid w:val="001F0107"/>
    <w:rsid w:val="001F0171"/>
    <w:rsid w:val="001F05D7"/>
    <w:rsid w:val="001F074E"/>
    <w:rsid w:val="001F1F0B"/>
    <w:rsid w:val="001F29E3"/>
    <w:rsid w:val="001F306F"/>
    <w:rsid w:val="001F380B"/>
    <w:rsid w:val="001F3D53"/>
    <w:rsid w:val="001F43C4"/>
    <w:rsid w:val="001F446F"/>
    <w:rsid w:val="001F5835"/>
    <w:rsid w:val="001F5DE9"/>
    <w:rsid w:val="001F6565"/>
    <w:rsid w:val="001F6A94"/>
    <w:rsid w:val="001F77A0"/>
    <w:rsid w:val="00200D1E"/>
    <w:rsid w:val="00200F6F"/>
    <w:rsid w:val="00201610"/>
    <w:rsid w:val="00201B9B"/>
    <w:rsid w:val="00202553"/>
    <w:rsid w:val="00202E53"/>
    <w:rsid w:val="0020512E"/>
    <w:rsid w:val="00205970"/>
    <w:rsid w:val="00207109"/>
    <w:rsid w:val="0020750C"/>
    <w:rsid w:val="00207B0B"/>
    <w:rsid w:val="00207DCC"/>
    <w:rsid w:val="002103BD"/>
    <w:rsid w:val="0021062A"/>
    <w:rsid w:val="002109D8"/>
    <w:rsid w:val="00211276"/>
    <w:rsid w:val="00212E3C"/>
    <w:rsid w:val="0021351F"/>
    <w:rsid w:val="00213701"/>
    <w:rsid w:val="002138EB"/>
    <w:rsid w:val="00213E9C"/>
    <w:rsid w:val="00213F1E"/>
    <w:rsid w:val="00213F62"/>
    <w:rsid w:val="002145ED"/>
    <w:rsid w:val="00214B12"/>
    <w:rsid w:val="00214B40"/>
    <w:rsid w:val="00214D52"/>
    <w:rsid w:val="00215090"/>
    <w:rsid w:val="002152EF"/>
    <w:rsid w:val="002159A2"/>
    <w:rsid w:val="00217210"/>
    <w:rsid w:val="002176A2"/>
    <w:rsid w:val="002177D2"/>
    <w:rsid w:val="0022002C"/>
    <w:rsid w:val="0022010A"/>
    <w:rsid w:val="00220F91"/>
    <w:rsid w:val="00220FB2"/>
    <w:rsid w:val="00221233"/>
    <w:rsid w:val="00221804"/>
    <w:rsid w:val="00222506"/>
    <w:rsid w:val="00222984"/>
    <w:rsid w:val="00222E72"/>
    <w:rsid w:val="00224CF8"/>
    <w:rsid w:val="0022527E"/>
    <w:rsid w:val="002258D1"/>
    <w:rsid w:val="002262F9"/>
    <w:rsid w:val="00227616"/>
    <w:rsid w:val="00227CBE"/>
    <w:rsid w:val="00230A68"/>
    <w:rsid w:val="00230BD7"/>
    <w:rsid w:val="0023134C"/>
    <w:rsid w:val="002313C8"/>
    <w:rsid w:val="00232056"/>
    <w:rsid w:val="002320CB"/>
    <w:rsid w:val="00232BFB"/>
    <w:rsid w:val="00232C4B"/>
    <w:rsid w:val="002338E2"/>
    <w:rsid w:val="00233B04"/>
    <w:rsid w:val="00235239"/>
    <w:rsid w:val="00235CBE"/>
    <w:rsid w:val="00236771"/>
    <w:rsid w:val="00236B53"/>
    <w:rsid w:val="0024009F"/>
    <w:rsid w:val="0024010B"/>
    <w:rsid w:val="00240A92"/>
    <w:rsid w:val="00241294"/>
    <w:rsid w:val="00241A06"/>
    <w:rsid w:val="0024216D"/>
    <w:rsid w:val="00243717"/>
    <w:rsid w:val="00244149"/>
    <w:rsid w:val="00245891"/>
    <w:rsid w:val="002469A2"/>
    <w:rsid w:val="00246A78"/>
    <w:rsid w:val="00247766"/>
    <w:rsid w:val="00247940"/>
    <w:rsid w:val="00247FE4"/>
    <w:rsid w:val="00250781"/>
    <w:rsid w:val="00251306"/>
    <w:rsid w:val="0025196F"/>
    <w:rsid w:val="00251A8F"/>
    <w:rsid w:val="00251F4C"/>
    <w:rsid w:val="0025214F"/>
    <w:rsid w:val="002536D9"/>
    <w:rsid w:val="00253BEB"/>
    <w:rsid w:val="00254A17"/>
    <w:rsid w:val="00256394"/>
    <w:rsid w:val="00256AA3"/>
    <w:rsid w:val="00257244"/>
    <w:rsid w:val="00260D86"/>
    <w:rsid w:val="00261E8D"/>
    <w:rsid w:val="00263C2C"/>
    <w:rsid w:val="00264EFD"/>
    <w:rsid w:val="002660E5"/>
    <w:rsid w:val="00266A07"/>
    <w:rsid w:val="00270191"/>
    <w:rsid w:val="00270525"/>
    <w:rsid w:val="00270C6B"/>
    <w:rsid w:val="00270D92"/>
    <w:rsid w:val="00271617"/>
    <w:rsid w:val="00271D09"/>
    <w:rsid w:val="002720EE"/>
    <w:rsid w:val="002721F3"/>
    <w:rsid w:val="002731B0"/>
    <w:rsid w:val="00273DDE"/>
    <w:rsid w:val="002755C6"/>
    <w:rsid w:val="00276F2D"/>
    <w:rsid w:val="00280ECD"/>
    <w:rsid w:val="002814C0"/>
    <w:rsid w:val="00281E46"/>
    <w:rsid w:val="0028370F"/>
    <w:rsid w:val="00283749"/>
    <w:rsid w:val="0028382C"/>
    <w:rsid w:val="00283907"/>
    <w:rsid w:val="002844F1"/>
    <w:rsid w:val="002849BF"/>
    <w:rsid w:val="00284A29"/>
    <w:rsid w:val="00284E83"/>
    <w:rsid w:val="002855B5"/>
    <w:rsid w:val="00285BB1"/>
    <w:rsid w:val="002860E2"/>
    <w:rsid w:val="00287626"/>
    <w:rsid w:val="00287779"/>
    <w:rsid w:val="002877E8"/>
    <w:rsid w:val="002879EA"/>
    <w:rsid w:val="0029010A"/>
    <w:rsid w:val="002906EA"/>
    <w:rsid w:val="00290E8F"/>
    <w:rsid w:val="0029229C"/>
    <w:rsid w:val="0029274B"/>
    <w:rsid w:val="00293369"/>
    <w:rsid w:val="00293D51"/>
    <w:rsid w:val="00294590"/>
    <w:rsid w:val="00295242"/>
    <w:rsid w:val="002959CC"/>
    <w:rsid w:val="00295C1A"/>
    <w:rsid w:val="00296DFF"/>
    <w:rsid w:val="002973A4"/>
    <w:rsid w:val="002A0835"/>
    <w:rsid w:val="002A219F"/>
    <w:rsid w:val="002A2468"/>
    <w:rsid w:val="002A24EE"/>
    <w:rsid w:val="002A27C7"/>
    <w:rsid w:val="002A2991"/>
    <w:rsid w:val="002A2F0D"/>
    <w:rsid w:val="002A3A5D"/>
    <w:rsid w:val="002A3C67"/>
    <w:rsid w:val="002A3E5E"/>
    <w:rsid w:val="002A40EE"/>
    <w:rsid w:val="002A49AD"/>
    <w:rsid w:val="002A5478"/>
    <w:rsid w:val="002B0B9D"/>
    <w:rsid w:val="002B298B"/>
    <w:rsid w:val="002B2DDB"/>
    <w:rsid w:val="002B3679"/>
    <w:rsid w:val="002B4E4F"/>
    <w:rsid w:val="002B5634"/>
    <w:rsid w:val="002B58B5"/>
    <w:rsid w:val="002B5B9C"/>
    <w:rsid w:val="002B614A"/>
    <w:rsid w:val="002B6C25"/>
    <w:rsid w:val="002B71AD"/>
    <w:rsid w:val="002B7318"/>
    <w:rsid w:val="002C058A"/>
    <w:rsid w:val="002C0999"/>
    <w:rsid w:val="002C136F"/>
    <w:rsid w:val="002C1F63"/>
    <w:rsid w:val="002C23B8"/>
    <w:rsid w:val="002C5781"/>
    <w:rsid w:val="002C5CBD"/>
    <w:rsid w:val="002C7D38"/>
    <w:rsid w:val="002C7F1D"/>
    <w:rsid w:val="002D013E"/>
    <w:rsid w:val="002D1BCA"/>
    <w:rsid w:val="002D2493"/>
    <w:rsid w:val="002D2B76"/>
    <w:rsid w:val="002D3026"/>
    <w:rsid w:val="002D30D7"/>
    <w:rsid w:val="002D32D7"/>
    <w:rsid w:val="002D39D2"/>
    <w:rsid w:val="002D4592"/>
    <w:rsid w:val="002D51CC"/>
    <w:rsid w:val="002D567D"/>
    <w:rsid w:val="002D5813"/>
    <w:rsid w:val="002D5FFB"/>
    <w:rsid w:val="002D6759"/>
    <w:rsid w:val="002D7ACC"/>
    <w:rsid w:val="002D7DCB"/>
    <w:rsid w:val="002E2662"/>
    <w:rsid w:val="002E2D29"/>
    <w:rsid w:val="002E2F9E"/>
    <w:rsid w:val="002E3CEA"/>
    <w:rsid w:val="002E3DDB"/>
    <w:rsid w:val="002E4140"/>
    <w:rsid w:val="002F07F0"/>
    <w:rsid w:val="002F0B52"/>
    <w:rsid w:val="002F176C"/>
    <w:rsid w:val="002F23B2"/>
    <w:rsid w:val="002F4081"/>
    <w:rsid w:val="002F45FF"/>
    <w:rsid w:val="002F544D"/>
    <w:rsid w:val="002F6461"/>
    <w:rsid w:val="002F64D9"/>
    <w:rsid w:val="002F6740"/>
    <w:rsid w:val="002F6E70"/>
    <w:rsid w:val="002F74D4"/>
    <w:rsid w:val="002F7527"/>
    <w:rsid w:val="002F76D6"/>
    <w:rsid w:val="002F7958"/>
    <w:rsid w:val="00300015"/>
    <w:rsid w:val="00300456"/>
    <w:rsid w:val="003004B7"/>
    <w:rsid w:val="00300A3C"/>
    <w:rsid w:val="00300C2B"/>
    <w:rsid w:val="00300C88"/>
    <w:rsid w:val="00301A89"/>
    <w:rsid w:val="00303616"/>
    <w:rsid w:val="003041F9"/>
    <w:rsid w:val="003058C7"/>
    <w:rsid w:val="00305929"/>
    <w:rsid w:val="003068D6"/>
    <w:rsid w:val="00306AE6"/>
    <w:rsid w:val="00307F74"/>
    <w:rsid w:val="0031007A"/>
    <w:rsid w:val="003120C6"/>
    <w:rsid w:val="00312457"/>
    <w:rsid w:val="00312D5E"/>
    <w:rsid w:val="00314291"/>
    <w:rsid w:val="00314B2C"/>
    <w:rsid w:val="00314B7D"/>
    <w:rsid w:val="00316161"/>
    <w:rsid w:val="0031734E"/>
    <w:rsid w:val="00317517"/>
    <w:rsid w:val="00317A99"/>
    <w:rsid w:val="00317E53"/>
    <w:rsid w:val="003217A2"/>
    <w:rsid w:val="00321BB2"/>
    <w:rsid w:val="00323E20"/>
    <w:rsid w:val="00324044"/>
    <w:rsid w:val="003240C8"/>
    <w:rsid w:val="003250C9"/>
    <w:rsid w:val="00325223"/>
    <w:rsid w:val="00325548"/>
    <w:rsid w:val="00326650"/>
    <w:rsid w:val="00330C2E"/>
    <w:rsid w:val="003311F6"/>
    <w:rsid w:val="00332649"/>
    <w:rsid w:val="00332707"/>
    <w:rsid w:val="00332E44"/>
    <w:rsid w:val="00333B3D"/>
    <w:rsid w:val="003346D4"/>
    <w:rsid w:val="003349A1"/>
    <w:rsid w:val="00334B21"/>
    <w:rsid w:val="00335F95"/>
    <w:rsid w:val="003360B3"/>
    <w:rsid w:val="00337947"/>
    <w:rsid w:val="0034124B"/>
    <w:rsid w:val="003412A2"/>
    <w:rsid w:val="00342294"/>
    <w:rsid w:val="0034517D"/>
    <w:rsid w:val="00345B70"/>
    <w:rsid w:val="003460AA"/>
    <w:rsid w:val="003475F6"/>
    <w:rsid w:val="00347CC2"/>
    <w:rsid w:val="00352DF2"/>
    <w:rsid w:val="00353A37"/>
    <w:rsid w:val="003567FD"/>
    <w:rsid w:val="00357E20"/>
    <w:rsid w:val="0036043B"/>
    <w:rsid w:val="003605F1"/>
    <w:rsid w:val="00361081"/>
    <w:rsid w:val="00363611"/>
    <w:rsid w:val="003638D4"/>
    <w:rsid w:val="00364767"/>
    <w:rsid w:val="00365958"/>
    <w:rsid w:val="00366AC8"/>
    <w:rsid w:val="00366D67"/>
    <w:rsid w:val="003678DE"/>
    <w:rsid w:val="00367D21"/>
    <w:rsid w:val="00370B18"/>
    <w:rsid w:val="00372429"/>
    <w:rsid w:val="00374A9C"/>
    <w:rsid w:val="00374B4B"/>
    <w:rsid w:val="00374F78"/>
    <w:rsid w:val="003762C0"/>
    <w:rsid w:val="00376F7E"/>
    <w:rsid w:val="00377BB6"/>
    <w:rsid w:val="00380EBD"/>
    <w:rsid w:val="00381834"/>
    <w:rsid w:val="00382E1D"/>
    <w:rsid w:val="00383446"/>
    <w:rsid w:val="00383A8D"/>
    <w:rsid w:val="00386D3D"/>
    <w:rsid w:val="00386E00"/>
    <w:rsid w:val="00387169"/>
    <w:rsid w:val="00387737"/>
    <w:rsid w:val="00387C8E"/>
    <w:rsid w:val="00387E7D"/>
    <w:rsid w:val="0039010B"/>
    <w:rsid w:val="00390D71"/>
    <w:rsid w:val="00392851"/>
    <w:rsid w:val="00392DCA"/>
    <w:rsid w:val="00392FD0"/>
    <w:rsid w:val="00394573"/>
    <w:rsid w:val="00394CEC"/>
    <w:rsid w:val="00395016"/>
    <w:rsid w:val="00395F53"/>
    <w:rsid w:val="0039753B"/>
    <w:rsid w:val="003977D5"/>
    <w:rsid w:val="003A29B8"/>
    <w:rsid w:val="003A3467"/>
    <w:rsid w:val="003A3987"/>
    <w:rsid w:val="003A4E0C"/>
    <w:rsid w:val="003A7138"/>
    <w:rsid w:val="003A714F"/>
    <w:rsid w:val="003A785C"/>
    <w:rsid w:val="003A788D"/>
    <w:rsid w:val="003B0B46"/>
    <w:rsid w:val="003B1498"/>
    <w:rsid w:val="003B2A3E"/>
    <w:rsid w:val="003B3DFD"/>
    <w:rsid w:val="003B412F"/>
    <w:rsid w:val="003B5652"/>
    <w:rsid w:val="003B5EA9"/>
    <w:rsid w:val="003C0443"/>
    <w:rsid w:val="003C074D"/>
    <w:rsid w:val="003C0D45"/>
    <w:rsid w:val="003C0F23"/>
    <w:rsid w:val="003C0F31"/>
    <w:rsid w:val="003C2D65"/>
    <w:rsid w:val="003C2FF2"/>
    <w:rsid w:val="003C33AC"/>
    <w:rsid w:val="003C40CB"/>
    <w:rsid w:val="003C4415"/>
    <w:rsid w:val="003C4810"/>
    <w:rsid w:val="003C63D4"/>
    <w:rsid w:val="003C6783"/>
    <w:rsid w:val="003C69F3"/>
    <w:rsid w:val="003C722B"/>
    <w:rsid w:val="003C7F9D"/>
    <w:rsid w:val="003D08D8"/>
    <w:rsid w:val="003D15F9"/>
    <w:rsid w:val="003D1F0A"/>
    <w:rsid w:val="003D2385"/>
    <w:rsid w:val="003D26B3"/>
    <w:rsid w:val="003D3C71"/>
    <w:rsid w:val="003D4421"/>
    <w:rsid w:val="003D476A"/>
    <w:rsid w:val="003D506E"/>
    <w:rsid w:val="003D509E"/>
    <w:rsid w:val="003D5117"/>
    <w:rsid w:val="003D5B0B"/>
    <w:rsid w:val="003D7671"/>
    <w:rsid w:val="003E1143"/>
    <w:rsid w:val="003E16F7"/>
    <w:rsid w:val="003E2C9E"/>
    <w:rsid w:val="003E3261"/>
    <w:rsid w:val="003E3573"/>
    <w:rsid w:val="003E4049"/>
    <w:rsid w:val="003E5CD7"/>
    <w:rsid w:val="003E64AC"/>
    <w:rsid w:val="003E7FD5"/>
    <w:rsid w:val="003F0C5B"/>
    <w:rsid w:val="003F15DB"/>
    <w:rsid w:val="003F1E07"/>
    <w:rsid w:val="003F2020"/>
    <w:rsid w:val="003F2FEE"/>
    <w:rsid w:val="003F2FF8"/>
    <w:rsid w:val="003F3A5D"/>
    <w:rsid w:val="003F3F0C"/>
    <w:rsid w:val="003F4A17"/>
    <w:rsid w:val="003F72E1"/>
    <w:rsid w:val="003F7480"/>
    <w:rsid w:val="003F7986"/>
    <w:rsid w:val="003F79CE"/>
    <w:rsid w:val="00400500"/>
    <w:rsid w:val="00400B8A"/>
    <w:rsid w:val="004012CA"/>
    <w:rsid w:val="00401B5C"/>
    <w:rsid w:val="004021AA"/>
    <w:rsid w:val="00402FB1"/>
    <w:rsid w:val="00403966"/>
    <w:rsid w:val="00403AC1"/>
    <w:rsid w:val="00405359"/>
    <w:rsid w:val="00405A46"/>
    <w:rsid w:val="00407288"/>
    <w:rsid w:val="004075E0"/>
    <w:rsid w:val="00410A2D"/>
    <w:rsid w:val="00410EB8"/>
    <w:rsid w:val="00412EB3"/>
    <w:rsid w:val="0041329A"/>
    <w:rsid w:val="0041350C"/>
    <w:rsid w:val="00414207"/>
    <w:rsid w:val="00414876"/>
    <w:rsid w:val="00414995"/>
    <w:rsid w:val="00414FE5"/>
    <w:rsid w:val="00416016"/>
    <w:rsid w:val="00416396"/>
    <w:rsid w:val="00416949"/>
    <w:rsid w:val="00416A3B"/>
    <w:rsid w:val="00422BEB"/>
    <w:rsid w:val="00423230"/>
    <w:rsid w:val="00423841"/>
    <w:rsid w:val="00424658"/>
    <w:rsid w:val="00425678"/>
    <w:rsid w:val="004265C6"/>
    <w:rsid w:val="00426E9F"/>
    <w:rsid w:val="0042759F"/>
    <w:rsid w:val="00427818"/>
    <w:rsid w:val="00427FAB"/>
    <w:rsid w:val="004301AC"/>
    <w:rsid w:val="0043040C"/>
    <w:rsid w:val="00430816"/>
    <w:rsid w:val="00430C1F"/>
    <w:rsid w:val="00430F9A"/>
    <w:rsid w:val="00432434"/>
    <w:rsid w:val="00432735"/>
    <w:rsid w:val="00432F1D"/>
    <w:rsid w:val="004333E3"/>
    <w:rsid w:val="004335EC"/>
    <w:rsid w:val="004337AE"/>
    <w:rsid w:val="004337F0"/>
    <w:rsid w:val="00434477"/>
    <w:rsid w:val="00435330"/>
    <w:rsid w:val="0043581D"/>
    <w:rsid w:val="0043660D"/>
    <w:rsid w:val="00436770"/>
    <w:rsid w:val="004374A1"/>
    <w:rsid w:val="004379A2"/>
    <w:rsid w:val="004402CC"/>
    <w:rsid w:val="00440CE7"/>
    <w:rsid w:val="004414F9"/>
    <w:rsid w:val="004418DE"/>
    <w:rsid w:val="00442254"/>
    <w:rsid w:val="004429A1"/>
    <w:rsid w:val="00442F55"/>
    <w:rsid w:val="0044313F"/>
    <w:rsid w:val="00443B7B"/>
    <w:rsid w:val="00443BD2"/>
    <w:rsid w:val="00443C58"/>
    <w:rsid w:val="004505FB"/>
    <w:rsid w:val="0045159E"/>
    <w:rsid w:val="004516CB"/>
    <w:rsid w:val="0045405B"/>
    <w:rsid w:val="00454F37"/>
    <w:rsid w:val="00455FE5"/>
    <w:rsid w:val="0045602C"/>
    <w:rsid w:val="00456747"/>
    <w:rsid w:val="00456EDA"/>
    <w:rsid w:val="00457312"/>
    <w:rsid w:val="00460775"/>
    <w:rsid w:val="00461C03"/>
    <w:rsid w:val="00463B78"/>
    <w:rsid w:val="00463E62"/>
    <w:rsid w:val="0046534B"/>
    <w:rsid w:val="00465EFD"/>
    <w:rsid w:val="004669C9"/>
    <w:rsid w:val="00466A05"/>
    <w:rsid w:val="004670AB"/>
    <w:rsid w:val="00467BC0"/>
    <w:rsid w:val="00471DE3"/>
    <w:rsid w:val="00471E1D"/>
    <w:rsid w:val="00471F5F"/>
    <w:rsid w:val="004724A5"/>
    <w:rsid w:val="00472829"/>
    <w:rsid w:val="004729C2"/>
    <w:rsid w:val="00472B25"/>
    <w:rsid w:val="0047327E"/>
    <w:rsid w:val="004741A2"/>
    <w:rsid w:val="00474698"/>
    <w:rsid w:val="004746D6"/>
    <w:rsid w:val="00475498"/>
    <w:rsid w:val="00475C05"/>
    <w:rsid w:val="00475D4E"/>
    <w:rsid w:val="00475F69"/>
    <w:rsid w:val="00480371"/>
    <w:rsid w:val="00480827"/>
    <w:rsid w:val="00480B5A"/>
    <w:rsid w:val="00480DE8"/>
    <w:rsid w:val="00480E1C"/>
    <w:rsid w:val="00481A8B"/>
    <w:rsid w:val="00481DA6"/>
    <w:rsid w:val="0048404C"/>
    <w:rsid w:val="00484BAB"/>
    <w:rsid w:val="0048511B"/>
    <w:rsid w:val="004866D5"/>
    <w:rsid w:val="00487F1B"/>
    <w:rsid w:val="00487F52"/>
    <w:rsid w:val="00491566"/>
    <w:rsid w:val="00492735"/>
    <w:rsid w:val="00493106"/>
    <w:rsid w:val="004A01D9"/>
    <w:rsid w:val="004A1ACA"/>
    <w:rsid w:val="004A1C7D"/>
    <w:rsid w:val="004A1FAA"/>
    <w:rsid w:val="004A2D5F"/>
    <w:rsid w:val="004A3A84"/>
    <w:rsid w:val="004A44F6"/>
    <w:rsid w:val="004A4B3E"/>
    <w:rsid w:val="004A4DE3"/>
    <w:rsid w:val="004A5F1B"/>
    <w:rsid w:val="004A6DB8"/>
    <w:rsid w:val="004A7098"/>
    <w:rsid w:val="004A7B39"/>
    <w:rsid w:val="004A7D11"/>
    <w:rsid w:val="004A7FDE"/>
    <w:rsid w:val="004B24F0"/>
    <w:rsid w:val="004B3418"/>
    <w:rsid w:val="004B377B"/>
    <w:rsid w:val="004B4C4C"/>
    <w:rsid w:val="004B5755"/>
    <w:rsid w:val="004B5789"/>
    <w:rsid w:val="004B5AEA"/>
    <w:rsid w:val="004B5C3D"/>
    <w:rsid w:val="004B5FF8"/>
    <w:rsid w:val="004B6358"/>
    <w:rsid w:val="004B639D"/>
    <w:rsid w:val="004B7268"/>
    <w:rsid w:val="004B7C69"/>
    <w:rsid w:val="004B7D5F"/>
    <w:rsid w:val="004B7FFE"/>
    <w:rsid w:val="004C00BA"/>
    <w:rsid w:val="004C0B75"/>
    <w:rsid w:val="004C0C9F"/>
    <w:rsid w:val="004C16E0"/>
    <w:rsid w:val="004C175A"/>
    <w:rsid w:val="004C17BE"/>
    <w:rsid w:val="004C1B99"/>
    <w:rsid w:val="004C3035"/>
    <w:rsid w:val="004C375D"/>
    <w:rsid w:val="004C37BE"/>
    <w:rsid w:val="004C42EC"/>
    <w:rsid w:val="004C4905"/>
    <w:rsid w:val="004C4EA1"/>
    <w:rsid w:val="004C5024"/>
    <w:rsid w:val="004C5549"/>
    <w:rsid w:val="004C6D5A"/>
    <w:rsid w:val="004C7911"/>
    <w:rsid w:val="004C7937"/>
    <w:rsid w:val="004C7F93"/>
    <w:rsid w:val="004D25B5"/>
    <w:rsid w:val="004D347D"/>
    <w:rsid w:val="004D37E0"/>
    <w:rsid w:val="004D3C51"/>
    <w:rsid w:val="004D411A"/>
    <w:rsid w:val="004D4664"/>
    <w:rsid w:val="004D467F"/>
    <w:rsid w:val="004D4DEA"/>
    <w:rsid w:val="004D50B9"/>
    <w:rsid w:val="004D515C"/>
    <w:rsid w:val="004D54FB"/>
    <w:rsid w:val="004D5BEC"/>
    <w:rsid w:val="004D6936"/>
    <w:rsid w:val="004D6C77"/>
    <w:rsid w:val="004D6FAB"/>
    <w:rsid w:val="004D7155"/>
    <w:rsid w:val="004E01BC"/>
    <w:rsid w:val="004E01E2"/>
    <w:rsid w:val="004E30C3"/>
    <w:rsid w:val="004E3153"/>
    <w:rsid w:val="004E49B3"/>
    <w:rsid w:val="004E53CD"/>
    <w:rsid w:val="004E62E6"/>
    <w:rsid w:val="004E71A7"/>
    <w:rsid w:val="004F0002"/>
    <w:rsid w:val="004F0B36"/>
    <w:rsid w:val="004F1445"/>
    <w:rsid w:val="004F160B"/>
    <w:rsid w:val="004F1BF1"/>
    <w:rsid w:val="004F41DA"/>
    <w:rsid w:val="004F4B38"/>
    <w:rsid w:val="004F6C8D"/>
    <w:rsid w:val="004F7430"/>
    <w:rsid w:val="00501DB0"/>
    <w:rsid w:val="0050310A"/>
    <w:rsid w:val="005045E2"/>
    <w:rsid w:val="0050527A"/>
    <w:rsid w:val="005058ED"/>
    <w:rsid w:val="00505BD4"/>
    <w:rsid w:val="00505DC5"/>
    <w:rsid w:val="00506284"/>
    <w:rsid w:val="0050688D"/>
    <w:rsid w:val="0050734C"/>
    <w:rsid w:val="00510673"/>
    <w:rsid w:val="005109D1"/>
    <w:rsid w:val="00511F97"/>
    <w:rsid w:val="00512987"/>
    <w:rsid w:val="00513540"/>
    <w:rsid w:val="005153B1"/>
    <w:rsid w:val="00516436"/>
    <w:rsid w:val="00516B3A"/>
    <w:rsid w:val="00517C9D"/>
    <w:rsid w:val="00520586"/>
    <w:rsid w:val="0052332B"/>
    <w:rsid w:val="005237D7"/>
    <w:rsid w:val="005237ED"/>
    <w:rsid w:val="0052656A"/>
    <w:rsid w:val="0052663C"/>
    <w:rsid w:val="0052674A"/>
    <w:rsid w:val="00530616"/>
    <w:rsid w:val="00530A30"/>
    <w:rsid w:val="0053106F"/>
    <w:rsid w:val="00531F52"/>
    <w:rsid w:val="005329DA"/>
    <w:rsid w:val="0053503B"/>
    <w:rsid w:val="0053522B"/>
    <w:rsid w:val="0053527A"/>
    <w:rsid w:val="00536DC3"/>
    <w:rsid w:val="005378F4"/>
    <w:rsid w:val="00537C62"/>
    <w:rsid w:val="00537D36"/>
    <w:rsid w:val="00537D81"/>
    <w:rsid w:val="00537E88"/>
    <w:rsid w:val="00537F70"/>
    <w:rsid w:val="00541083"/>
    <w:rsid w:val="00541B8C"/>
    <w:rsid w:val="005420CA"/>
    <w:rsid w:val="0054212D"/>
    <w:rsid w:val="00544115"/>
    <w:rsid w:val="0054413F"/>
    <w:rsid w:val="00544825"/>
    <w:rsid w:val="005453E3"/>
    <w:rsid w:val="0054559D"/>
    <w:rsid w:val="00545A7A"/>
    <w:rsid w:val="005462EB"/>
    <w:rsid w:val="00546583"/>
    <w:rsid w:val="0054679D"/>
    <w:rsid w:val="005469E3"/>
    <w:rsid w:val="00553A6B"/>
    <w:rsid w:val="00554314"/>
    <w:rsid w:val="00554606"/>
    <w:rsid w:val="00555591"/>
    <w:rsid w:val="005559AE"/>
    <w:rsid w:val="005614F5"/>
    <w:rsid w:val="00562403"/>
    <w:rsid w:val="00562498"/>
    <w:rsid w:val="0056428F"/>
    <w:rsid w:val="00564764"/>
    <w:rsid w:val="00565FFF"/>
    <w:rsid w:val="00566C47"/>
    <w:rsid w:val="00566DE0"/>
    <w:rsid w:val="005672EF"/>
    <w:rsid w:val="0056768D"/>
    <w:rsid w:val="00571584"/>
    <w:rsid w:val="00572315"/>
    <w:rsid w:val="00572E83"/>
    <w:rsid w:val="00572F26"/>
    <w:rsid w:val="005739FC"/>
    <w:rsid w:val="00573C5E"/>
    <w:rsid w:val="00573E14"/>
    <w:rsid w:val="00574118"/>
    <w:rsid w:val="0057443E"/>
    <w:rsid w:val="005747AF"/>
    <w:rsid w:val="005749FB"/>
    <w:rsid w:val="00574CAE"/>
    <w:rsid w:val="00575027"/>
    <w:rsid w:val="00576F50"/>
    <w:rsid w:val="0057781B"/>
    <w:rsid w:val="00584066"/>
    <w:rsid w:val="005840CF"/>
    <w:rsid w:val="005842C7"/>
    <w:rsid w:val="005860DA"/>
    <w:rsid w:val="00591AF7"/>
    <w:rsid w:val="0059293E"/>
    <w:rsid w:val="0059521B"/>
    <w:rsid w:val="0059728C"/>
    <w:rsid w:val="00597A7D"/>
    <w:rsid w:val="00597E71"/>
    <w:rsid w:val="005A05F8"/>
    <w:rsid w:val="005A0E81"/>
    <w:rsid w:val="005A11E9"/>
    <w:rsid w:val="005A1481"/>
    <w:rsid w:val="005A188A"/>
    <w:rsid w:val="005A2493"/>
    <w:rsid w:val="005A2BB0"/>
    <w:rsid w:val="005A38EB"/>
    <w:rsid w:val="005A455B"/>
    <w:rsid w:val="005A46F3"/>
    <w:rsid w:val="005A6225"/>
    <w:rsid w:val="005B0116"/>
    <w:rsid w:val="005B04D3"/>
    <w:rsid w:val="005B14BA"/>
    <w:rsid w:val="005B2E9D"/>
    <w:rsid w:val="005B366D"/>
    <w:rsid w:val="005B3844"/>
    <w:rsid w:val="005B3B4F"/>
    <w:rsid w:val="005B498B"/>
    <w:rsid w:val="005B5B40"/>
    <w:rsid w:val="005B6008"/>
    <w:rsid w:val="005B6119"/>
    <w:rsid w:val="005C08D0"/>
    <w:rsid w:val="005C249C"/>
    <w:rsid w:val="005C2884"/>
    <w:rsid w:val="005C2E45"/>
    <w:rsid w:val="005C3071"/>
    <w:rsid w:val="005C46B3"/>
    <w:rsid w:val="005C4A7D"/>
    <w:rsid w:val="005C4E19"/>
    <w:rsid w:val="005C6351"/>
    <w:rsid w:val="005C7713"/>
    <w:rsid w:val="005D1380"/>
    <w:rsid w:val="005D1404"/>
    <w:rsid w:val="005D2ECB"/>
    <w:rsid w:val="005D30DB"/>
    <w:rsid w:val="005D3D92"/>
    <w:rsid w:val="005D5E6F"/>
    <w:rsid w:val="005D7E82"/>
    <w:rsid w:val="005E054F"/>
    <w:rsid w:val="005E1E74"/>
    <w:rsid w:val="005E2944"/>
    <w:rsid w:val="005E2B38"/>
    <w:rsid w:val="005E34F6"/>
    <w:rsid w:val="005E522A"/>
    <w:rsid w:val="005E6C13"/>
    <w:rsid w:val="005F0643"/>
    <w:rsid w:val="005F0AB3"/>
    <w:rsid w:val="005F17AC"/>
    <w:rsid w:val="005F1C9A"/>
    <w:rsid w:val="005F2B82"/>
    <w:rsid w:val="005F2C84"/>
    <w:rsid w:val="005F3FFC"/>
    <w:rsid w:val="005F4560"/>
    <w:rsid w:val="005F4595"/>
    <w:rsid w:val="005F512F"/>
    <w:rsid w:val="005F7196"/>
    <w:rsid w:val="005F7B9F"/>
    <w:rsid w:val="005F7D6C"/>
    <w:rsid w:val="005F7F57"/>
    <w:rsid w:val="00600001"/>
    <w:rsid w:val="006011CE"/>
    <w:rsid w:val="006014EE"/>
    <w:rsid w:val="00601898"/>
    <w:rsid w:val="00602422"/>
    <w:rsid w:val="00603041"/>
    <w:rsid w:val="00603B82"/>
    <w:rsid w:val="00603D13"/>
    <w:rsid w:val="0060466C"/>
    <w:rsid w:val="006049C8"/>
    <w:rsid w:val="00605246"/>
    <w:rsid w:val="006061AD"/>
    <w:rsid w:val="00607021"/>
    <w:rsid w:val="00607927"/>
    <w:rsid w:val="00611A6D"/>
    <w:rsid w:val="00611EF4"/>
    <w:rsid w:val="00613162"/>
    <w:rsid w:val="00614314"/>
    <w:rsid w:val="00615BCE"/>
    <w:rsid w:val="00615E08"/>
    <w:rsid w:val="006177FE"/>
    <w:rsid w:val="0062084B"/>
    <w:rsid w:val="0062090B"/>
    <w:rsid w:val="00620C8A"/>
    <w:rsid w:val="00621B4F"/>
    <w:rsid w:val="00622238"/>
    <w:rsid w:val="006238F9"/>
    <w:rsid w:val="00623DED"/>
    <w:rsid w:val="00624342"/>
    <w:rsid w:val="00625A60"/>
    <w:rsid w:val="00626BEA"/>
    <w:rsid w:val="006275CF"/>
    <w:rsid w:val="00627C76"/>
    <w:rsid w:val="00631B5D"/>
    <w:rsid w:val="00631F4B"/>
    <w:rsid w:val="00632BF2"/>
    <w:rsid w:val="00632F9C"/>
    <w:rsid w:val="00633942"/>
    <w:rsid w:val="00633C31"/>
    <w:rsid w:val="00634120"/>
    <w:rsid w:val="0063570B"/>
    <w:rsid w:val="006366BF"/>
    <w:rsid w:val="006367AD"/>
    <w:rsid w:val="0063685B"/>
    <w:rsid w:val="006369A7"/>
    <w:rsid w:val="00636A8D"/>
    <w:rsid w:val="00636AF3"/>
    <w:rsid w:val="0063771A"/>
    <w:rsid w:val="0063788B"/>
    <w:rsid w:val="00637D74"/>
    <w:rsid w:val="006413CE"/>
    <w:rsid w:val="0064142F"/>
    <w:rsid w:val="00641913"/>
    <w:rsid w:val="00642D34"/>
    <w:rsid w:val="0064309C"/>
    <w:rsid w:val="0064352A"/>
    <w:rsid w:val="00643586"/>
    <w:rsid w:val="00643AEA"/>
    <w:rsid w:val="00643C30"/>
    <w:rsid w:val="00645295"/>
    <w:rsid w:val="006454BE"/>
    <w:rsid w:val="006474AF"/>
    <w:rsid w:val="00647829"/>
    <w:rsid w:val="00647B6B"/>
    <w:rsid w:val="00647F5C"/>
    <w:rsid w:val="006502D5"/>
    <w:rsid w:val="00651678"/>
    <w:rsid w:val="006518B8"/>
    <w:rsid w:val="00652FEA"/>
    <w:rsid w:val="00653009"/>
    <w:rsid w:val="00653214"/>
    <w:rsid w:val="006538C4"/>
    <w:rsid w:val="006541FD"/>
    <w:rsid w:val="00655BD4"/>
    <w:rsid w:val="00655FC1"/>
    <w:rsid w:val="00656841"/>
    <w:rsid w:val="00656858"/>
    <w:rsid w:val="00656D6C"/>
    <w:rsid w:val="006579E3"/>
    <w:rsid w:val="00660E3F"/>
    <w:rsid w:val="0066127E"/>
    <w:rsid w:val="0066131B"/>
    <w:rsid w:val="00661FA3"/>
    <w:rsid w:val="00662DE9"/>
    <w:rsid w:val="00664975"/>
    <w:rsid w:val="00664D43"/>
    <w:rsid w:val="006676B8"/>
    <w:rsid w:val="0067086F"/>
    <w:rsid w:val="00670E07"/>
    <w:rsid w:val="006710BB"/>
    <w:rsid w:val="00671202"/>
    <w:rsid w:val="006735D2"/>
    <w:rsid w:val="00673626"/>
    <w:rsid w:val="00673F68"/>
    <w:rsid w:val="00674D59"/>
    <w:rsid w:val="00674FCE"/>
    <w:rsid w:val="0067607E"/>
    <w:rsid w:val="00677098"/>
    <w:rsid w:val="00677107"/>
    <w:rsid w:val="00677935"/>
    <w:rsid w:val="00677A2D"/>
    <w:rsid w:val="00681062"/>
    <w:rsid w:val="00681347"/>
    <w:rsid w:val="00681513"/>
    <w:rsid w:val="00681737"/>
    <w:rsid w:val="00681E71"/>
    <w:rsid w:val="00682BD1"/>
    <w:rsid w:val="00682EE5"/>
    <w:rsid w:val="00683386"/>
    <w:rsid w:val="00684FE8"/>
    <w:rsid w:val="00685A8C"/>
    <w:rsid w:val="0068688D"/>
    <w:rsid w:val="00686C3B"/>
    <w:rsid w:val="006876BB"/>
    <w:rsid w:val="006917C2"/>
    <w:rsid w:val="00691EE1"/>
    <w:rsid w:val="00693191"/>
    <w:rsid w:val="006942A1"/>
    <w:rsid w:val="006944D5"/>
    <w:rsid w:val="00694576"/>
    <w:rsid w:val="00694C29"/>
    <w:rsid w:val="00694E99"/>
    <w:rsid w:val="00695171"/>
    <w:rsid w:val="006956E0"/>
    <w:rsid w:val="00696455"/>
    <w:rsid w:val="006976A9"/>
    <w:rsid w:val="006A0624"/>
    <w:rsid w:val="006A0B0B"/>
    <w:rsid w:val="006A0EFD"/>
    <w:rsid w:val="006A12BA"/>
    <w:rsid w:val="006A1EE8"/>
    <w:rsid w:val="006A3A2A"/>
    <w:rsid w:val="006A4B46"/>
    <w:rsid w:val="006A5052"/>
    <w:rsid w:val="006A50AA"/>
    <w:rsid w:val="006A62EC"/>
    <w:rsid w:val="006A6A98"/>
    <w:rsid w:val="006A766D"/>
    <w:rsid w:val="006A76D5"/>
    <w:rsid w:val="006A787D"/>
    <w:rsid w:val="006A7B1E"/>
    <w:rsid w:val="006A7BFD"/>
    <w:rsid w:val="006A7CDF"/>
    <w:rsid w:val="006A7E97"/>
    <w:rsid w:val="006B0165"/>
    <w:rsid w:val="006B067D"/>
    <w:rsid w:val="006B0AC8"/>
    <w:rsid w:val="006B117C"/>
    <w:rsid w:val="006B15EF"/>
    <w:rsid w:val="006B1A0F"/>
    <w:rsid w:val="006B1B0B"/>
    <w:rsid w:val="006B227A"/>
    <w:rsid w:val="006B2388"/>
    <w:rsid w:val="006B2596"/>
    <w:rsid w:val="006B28BF"/>
    <w:rsid w:val="006B2FD1"/>
    <w:rsid w:val="006B34FC"/>
    <w:rsid w:val="006B3CFA"/>
    <w:rsid w:val="006B46E0"/>
    <w:rsid w:val="006B59AC"/>
    <w:rsid w:val="006B5C7D"/>
    <w:rsid w:val="006B7502"/>
    <w:rsid w:val="006B7949"/>
    <w:rsid w:val="006B7F59"/>
    <w:rsid w:val="006C09D2"/>
    <w:rsid w:val="006C0A67"/>
    <w:rsid w:val="006C0AF0"/>
    <w:rsid w:val="006C1406"/>
    <w:rsid w:val="006C20E0"/>
    <w:rsid w:val="006C287A"/>
    <w:rsid w:val="006C3F36"/>
    <w:rsid w:val="006C4AB9"/>
    <w:rsid w:val="006C5187"/>
    <w:rsid w:val="006C534B"/>
    <w:rsid w:val="006C5383"/>
    <w:rsid w:val="006C588D"/>
    <w:rsid w:val="006C5A12"/>
    <w:rsid w:val="006C69E1"/>
    <w:rsid w:val="006C6B5F"/>
    <w:rsid w:val="006C7C86"/>
    <w:rsid w:val="006D0090"/>
    <w:rsid w:val="006D032C"/>
    <w:rsid w:val="006D0692"/>
    <w:rsid w:val="006D09E2"/>
    <w:rsid w:val="006D160A"/>
    <w:rsid w:val="006D23EA"/>
    <w:rsid w:val="006D3143"/>
    <w:rsid w:val="006D3597"/>
    <w:rsid w:val="006D5219"/>
    <w:rsid w:val="006D543A"/>
    <w:rsid w:val="006D5B6A"/>
    <w:rsid w:val="006D6315"/>
    <w:rsid w:val="006D653D"/>
    <w:rsid w:val="006D65AB"/>
    <w:rsid w:val="006D70AE"/>
    <w:rsid w:val="006D774E"/>
    <w:rsid w:val="006D799F"/>
    <w:rsid w:val="006D7D2B"/>
    <w:rsid w:val="006E0238"/>
    <w:rsid w:val="006E18F4"/>
    <w:rsid w:val="006E1B0E"/>
    <w:rsid w:val="006E2FA8"/>
    <w:rsid w:val="006E49FD"/>
    <w:rsid w:val="006E4FBD"/>
    <w:rsid w:val="006E563D"/>
    <w:rsid w:val="006E60DC"/>
    <w:rsid w:val="006E796E"/>
    <w:rsid w:val="006F09F2"/>
    <w:rsid w:val="006F2105"/>
    <w:rsid w:val="006F21AC"/>
    <w:rsid w:val="006F279F"/>
    <w:rsid w:val="006F37EF"/>
    <w:rsid w:val="006F380F"/>
    <w:rsid w:val="006F492F"/>
    <w:rsid w:val="006F4DF8"/>
    <w:rsid w:val="006F5456"/>
    <w:rsid w:val="006F54AD"/>
    <w:rsid w:val="006F595B"/>
    <w:rsid w:val="006F5CD9"/>
    <w:rsid w:val="006F68F6"/>
    <w:rsid w:val="006F7C95"/>
    <w:rsid w:val="00700248"/>
    <w:rsid w:val="007017F2"/>
    <w:rsid w:val="0070324C"/>
    <w:rsid w:val="00703777"/>
    <w:rsid w:val="00703A43"/>
    <w:rsid w:val="00704E2C"/>
    <w:rsid w:val="007056CF"/>
    <w:rsid w:val="0070655B"/>
    <w:rsid w:val="00707441"/>
    <w:rsid w:val="00707B6B"/>
    <w:rsid w:val="00710280"/>
    <w:rsid w:val="0071076F"/>
    <w:rsid w:val="0071095E"/>
    <w:rsid w:val="00711616"/>
    <w:rsid w:val="007116B7"/>
    <w:rsid w:val="00711E49"/>
    <w:rsid w:val="00712008"/>
    <w:rsid w:val="0071209B"/>
    <w:rsid w:val="007126D6"/>
    <w:rsid w:val="00712769"/>
    <w:rsid w:val="00712881"/>
    <w:rsid w:val="00712DFC"/>
    <w:rsid w:val="0071551F"/>
    <w:rsid w:val="00715772"/>
    <w:rsid w:val="00716F75"/>
    <w:rsid w:val="00720309"/>
    <w:rsid w:val="00720763"/>
    <w:rsid w:val="0072077E"/>
    <w:rsid w:val="0072131F"/>
    <w:rsid w:val="00721359"/>
    <w:rsid w:val="00722D31"/>
    <w:rsid w:val="007239CD"/>
    <w:rsid w:val="00723A82"/>
    <w:rsid w:val="00724B2C"/>
    <w:rsid w:val="0072542D"/>
    <w:rsid w:val="007262FA"/>
    <w:rsid w:val="00726A11"/>
    <w:rsid w:val="00727C28"/>
    <w:rsid w:val="00730984"/>
    <w:rsid w:val="00731701"/>
    <w:rsid w:val="0073183D"/>
    <w:rsid w:val="00733568"/>
    <w:rsid w:val="00733A7C"/>
    <w:rsid w:val="00733D65"/>
    <w:rsid w:val="00734F29"/>
    <w:rsid w:val="0073586C"/>
    <w:rsid w:val="007369C9"/>
    <w:rsid w:val="00737001"/>
    <w:rsid w:val="00737560"/>
    <w:rsid w:val="00740078"/>
    <w:rsid w:val="0074009E"/>
    <w:rsid w:val="00741193"/>
    <w:rsid w:val="007443E3"/>
    <w:rsid w:val="00744EF8"/>
    <w:rsid w:val="00745E1C"/>
    <w:rsid w:val="007466A2"/>
    <w:rsid w:val="007470FB"/>
    <w:rsid w:val="007472EC"/>
    <w:rsid w:val="00747764"/>
    <w:rsid w:val="007477D0"/>
    <w:rsid w:val="00747EA0"/>
    <w:rsid w:val="00747EFD"/>
    <w:rsid w:val="007520E8"/>
    <w:rsid w:val="0075251E"/>
    <w:rsid w:val="007526E7"/>
    <w:rsid w:val="00752A66"/>
    <w:rsid w:val="00752D28"/>
    <w:rsid w:val="00752E01"/>
    <w:rsid w:val="007533B1"/>
    <w:rsid w:val="0075399B"/>
    <w:rsid w:val="007558CA"/>
    <w:rsid w:val="00755A23"/>
    <w:rsid w:val="007572F5"/>
    <w:rsid w:val="0076143B"/>
    <w:rsid w:val="00761A88"/>
    <w:rsid w:val="00762C74"/>
    <w:rsid w:val="00763F7F"/>
    <w:rsid w:val="00764168"/>
    <w:rsid w:val="00764C72"/>
    <w:rsid w:val="0076548B"/>
    <w:rsid w:val="00766A27"/>
    <w:rsid w:val="00767E42"/>
    <w:rsid w:val="007704AB"/>
    <w:rsid w:val="00770642"/>
    <w:rsid w:val="00771B13"/>
    <w:rsid w:val="00771BBA"/>
    <w:rsid w:val="007733CB"/>
    <w:rsid w:val="0077470E"/>
    <w:rsid w:val="00774731"/>
    <w:rsid w:val="00774D04"/>
    <w:rsid w:val="007755DC"/>
    <w:rsid w:val="0077696B"/>
    <w:rsid w:val="00776FBD"/>
    <w:rsid w:val="007772FC"/>
    <w:rsid w:val="00777DCA"/>
    <w:rsid w:val="007806F3"/>
    <w:rsid w:val="00780A06"/>
    <w:rsid w:val="007822A6"/>
    <w:rsid w:val="007822FC"/>
    <w:rsid w:val="00782E11"/>
    <w:rsid w:val="0078343A"/>
    <w:rsid w:val="00785927"/>
    <w:rsid w:val="00785AC2"/>
    <w:rsid w:val="00786362"/>
    <w:rsid w:val="00786D26"/>
    <w:rsid w:val="00786E36"/>
    <w:rsid w:val="00787F71"/>
    <w:rsid w:val="007911FE"/>
    <w:rsid w:val="0079121A"/>
    <w:rsid w:val="00791CBB"/>
    <w:rsid w:val="0079225B"/>
    <w:rsid w:val="00792311"/>
    <w:rsid w:val="007936F1"/>
    <w:rsid w:val="007937BE"/>
    <w:rsid w:val="00793960"/>
    <w:rsid w:val="00793EDC"/>
    <w:rsid w:val="00794BDA"/>
    <w:rsid w:val="00795E37"/>
    <w:rsid w:val="00796CA2"/>
    <w:rsid w:val="007A0106"/>
    <w:rsid w:val="007A0282"/>
    <w:rsid w:val="007A0AFC"/>
    <w:rsid w:val="007A1478"/>
    <w:rsid w:val="007A29E4"/>
    <w:rsid w:val="007A32D4"/>
    <w:rsid w:val="007A42F4"/>
    <w:rsid w:val="007A4B61"/>
    <w:rsid w:val="007B0317"/>
    <w:rsid w:val="007B0508"/>
    <w:rsid w:val="007B27C5"/>
    <w:rsid w:val="007B2FA0"/>
    <w:rsid w:val="007B3978"/>
    <w:rsid w:val="007B3A66"/>
    <w:rsid w:val="007B3FB5"/>
    <w:rsid w:val="007B4EAB"/>
    <w:rsid w:val="007B5AC3"/>
    <w:rsid w:val="007B67E9"/>
    <w:rsid w:val="007B6AED"/>
    <w:rsid w:val="007C142F"/>
    <w:rsid w:val="007C1761"/>
    <w:rsid w:val="007C1984"/>
    <w:rsid w:val="007C19D7"/>
    <w:rsid w:val="007C1CDB"/>
    <w:rsid w:val="007C20C6"/>
    <w:rsid w:val="007C2773"/>
    <w:rsid w:val="007C2E1D"/>
    <w:rsid w:val="007C3C30"/>
    <w:rsid w:val="007C401D"/>
    <w:rsid w:val="007C4D9A"/>
    <w:rsid w:val="007C515C"/>
    <w:rsid w:val="007C57C9"/>
    <w:rsid w:val="007C5C1B"/>
    <w:rsid w:val="007C6541"/>
    <w:rsid w:val="007C6AAF"/>
    <w:rsid w:val="007C74A1"/>
    <w:rsid w:val="007C7AC3"/>
    <w:rsid w:val="007D015C"/>
    <w:rsid w:val="007D1395"/>
    <w:rsid w:val="007D1452"/>
    <w:rsid w:val="007D22EF"/>
    <w:rsid w:val="007D23C9"/>
    <w:rsid w:val="007D3830"/>
    <w:rsid w:val="007D38CD"/>
    <w:rsid w:val="007D5FFB"/>
    <w:rsid w:val="007D7A0B"/>
    <w:rsid w:val="007E210A"/>
    <w:rsid w:val="007E2187"/>
    <w:rsid w:val="007E2397"/>
    <w:rsid w:val="007E25D3"/>
    <w:rsid w:val="007E2DA0"/>
    <w:rsid w:val="007E2DCF"/>
    <w:rsid w:val="007E423F"/>
    <w:rsid w:val="007E452F"/>
    <w:rsid w:val="007E4DFB"/>
    <w:rsid w:val="007E609A"/>
    <w:rsid w:val="007E6685"/>
    <w:rsid w:val="007E6F57"/>
    <w:rsid w:val="007F07E9"/>
    <w:rsid w:val="007F0916"/>
    <w:rsid w:val="007F0EE1"/>
    <w:rsid w:val="007F169F"/>
    <w:rsid w:val="007F2BF1"/>
    <w:rsid w:val="007F3338"/>
    <w:rsid w:val="007F347D"/>
    <w:rsid w:val="007F42E1"/>
    <w:rsid w:val="007F56BB"/>
    <w:rsid w:val="007F7063"/>
    <w:rsid w:val="007F72E0"/>
    <w:rsid w:val="008008FA"/>
    <w:rsid w:val="00800D79"/>
    <w:rsid w:val="008020E7"/>
    <w:rsid w:val="0080252C"/>
    <w:rsid w:val="00802865"/>
    <w:rsid w:val="0080288E"/>
    <w:rsid w:val="008034BC"/>
    <w:rsid w:val="00803868"/>
    <w:rsid w:val="00804250"/>
    <w:rsid w:val="008050FA"/>
    <w:rsid w:val="00806067"/>
    <w:rsid w:val="00806325"/>
    <w:rsid w:val="0080632D"/>
    <w:rsid w:val="008072E1"/>
    <w:rsid w:val="00807B9B"/>
    <w:rsid w:val="00810B01"/>
    <w:rsid w:val="00810F14"/>
    <w:rsid w:val="00811B84"/>
    <w:rsid w:val="008123C4"/>
    <w:rsid w:val="00812971"/>
    <w:rsid w:val="00814C1E"/>
    <w:rsid w:val="008164A4"/>
    <w:rsid w:val="00817A46"/>
    <w:rsid w:val="0082024F"/>
    <w:rsid w:val="00821360"/>
    <w:rsid w:val="00822CB6"/>
    <w:rsid w:val="008246DA"/>
    <w:rsid w:val="00825402"/>
    <w:rsid w:val="0082644F"/>
    <w:rsid w:val="00826C68"/>
    <w:rsid w:val="0083077E"/>
    <w:rsid w:val="00830AAA"/>
    <w:rsid w:val="0083169D"/>
    <w:rsid w:val="0083192F"/>
    <w:rsid w:val="008319F0"/>
    <w:rsid w:val="00832068"/>
    <w:rsid w:val="008337CB"/>
    <w:rsid w:val="00834573"/>
    <w:rsid w:val="008349E8"/>
    <w:rsid w:val="00835083"/>
    <w:rsid w:val="008362C9"/>
    <w:rsid w:val="00836824"/>
    <w:rsid w:val="008415A1"/>
    <w:rsid w:val="00841F77"/>
    <w:rsid w:val="00842AC2"/>
    <w:rsid w:val="008430AB"/>
    <w:rsid w:val="00843111"/>
    <w:rsid w:val="00843A1D"/>
    <w:rsid w:val="00843E28"/>
    <w:rsid w:val="00843FB2"/>
    <w:rsid w:val="008441BF"/>
    <w:rsid w:val="008459DA"/>
    <w:rsid w:val="00845BDB"/>
    <w:rsid w:val="00845F15"/>
    <w:rsid w:val="00847BEA"/>
    <w:rsid w:val="008521F5"/>
    <w:rsid w:val="00853899"/>
    <w:rsid w:val="00853AEE"/>
    <w:rsid w:val="008546B7"/>
    <w:rsid w:val="00855162"/>
    <w:rsid w:val="0085575C"/>
    <w:rsid w:val="00856304"/>
    <w:rsid w:val="00856D10"/>
    <w:rsid w:val="00857969"/>
    <w:rsid w:val="00857A12"/>
    <w:rsid w:val="008609B6"/>
    <w:rsid w:val="0086112D"/>
    <w:rsid w:val="00861F92"/>
    <w:rsid w:val="00862376"/>
    <w:rsid w:val="008627D7"/>
    <w:rsid w:val="00863E60"/>
    <w:rsid w:val="00864085"/>
    <w:rsid w:val="00865265"/>
    <w:rsid w:val="008653A5"/>
    <w:rsid w:val="00865CFF"/>
    <w:rsid w:val="00866084"/>
    <w:rsid w:val="008667D6"/>
    <w:rsid w:val="00867404"/>
    <w:rsid w:val="008675AF"/>
    <w:rsid w:val="00867792"/>
    <w:rsid w:val="00867B91"/>
    <w:rsid w:val="0087202E"/>
    <w:rsid w:val="008721E1"/>
    <w:rsid w:val="00873759"/>
    <w:rsid w:val="00873C24"/>
    <w:rsid w:val="0087502B"/>
    <w:rsid w:val="00875AC5"/>
    <w:rsid w:val="008763A1"/>
    <w:rsid w:val="00877007"/>
    <w:rsid w:val="00877178"/>
    <w:rsid w:val="008772CE"/>
    <w:rsid w:val="00877E9C"/>
    <w:rsid w:val="00880F60"/>
    <w:rsid w:val="008829B9"/>
    <w:rsid w:val="00882C36"/>
    <w:rsid w:val="0088364A"/>
    <w:rsid w:val="0088454D"/>
    <w:rsid w:val="00884A0A"/>
    <w:rsid w:val="00885B41"/>
    <w:rsid w:val="00886526"/>
    <w:rsid w:val="00886627"/>
    <w:rsid w:val="00886665"/>
    <w:rsid w:val="00886967"/>
    <w:rsid w:val="0089048B"/>
    <w:rsid w:val="00890DA7"/>
    <w:rsid w:val="00890FDE"/>
    <w:rsid w:val="00891B97"/>
    <w:rsid w:val="00893543"/>
    <w:rsid w:val="00896254"/>
    <w:rsid w:val="008A04E0"/>
    <w:rsid w:val="008A2006"/>
    <w:rsid w:val="008A236A"/>
    <w:rsid w:val="008A3584"/>
    <w:rsid w:val="008A45C1"/>
    <w:rsid w:val="008A4ABE"/>
    <w:rsid w:val="008A4F8A"/>
    <w:rsid w:val="008A7DFE"/>
    <w:rsid w:val="008B00BD"/>
    <w:rsid w:val="008B0440"/>
    <w:rsid w:val="008B1360"/>
    <w:rsid w:val="008B1472"/>
    <w:rsid w:val="008B1CBD"/>
    <w:rsid w:val="008B38B2"/>
    <w:rsid w:val="008B4857"/>
    <w:rsid w:val="008B5E9F"/>
    <w:rsid w:val="008B63A4"/>
    <w:rsid w:val="008C0193"/>
    <w:rsid w:val="008C0265"/>
    <w:rsid w:val="008C09DE"/>
    <w:rsid w:val="008C0C28"/>
    <w:rsid w:val="008C0FA2"/>
    <w:rsid w:val="008C2532"/>
    <w:rsid w:val="008C3274"/>
    <w:rsid w:val="008C3335"/>
    <w:rsid w:val="008C3759"/>
    <w:rsid w:val="008C52CF"/>
    <w:rsid w:val="008C5643"/>
    <w:rsid w:val="008C5746"/>
    <w:rsid w:val="008C5F2F"/>
    <w:rsid w:val="008C6948"/>
    <w:rsid w:val="008C6A65"/>
    <w:rsid w:val="008C6FE9"/>
    <w:rsid w:val="008C7654"/>
    <w:rsid w:val="008C7777"/>
    <w:rsid w:val="008C7A41"/>
    <w:rsid w:val="008C7C12"/>
    <w:rsid w:val="008C7E2D"/>
    <w:rsid w:val="008D0B42"/>
    <w:rsid w:val="008D0D77"/>
    <w:rsid w:val="008D2287"/>
    <w:rsid w:val="008D26B1"/>
    <w:rsid w:val="008D3215"/>
    <w:rsid w:val="008D3B36"/>
    <w:rsid w:val="008D415F"/>
    <w:rsid w:val="008D46C3"/>
    <w:rsid w:val="008D47DA"/>
    <w:rsid w:val="008D4F21"/>
    <w:rsid w:val="008D5876"/>
    <w:rsid w:val="008D70B2"/>
    <w:rsid w:val="008E17CB"/>
    <w:rsid w:val="008E2310"/>
    <w:rsid w:val="008E26FC"/>
    <w:rsid w:val="008E38D1"/>
    <w:rsid w:val="008E3928"/>
    <w:rsid w:val="008E3FBB"/>
    <w:rsid w:val="008E4D1E"/>
    <w:rsid w:val="008E4EB4"/>
    <w:rsid w:val="008E65A4"/>
    <w:rsid w:val="008E6608"/>
    <w:rsid w:val="008E6DB3"/>
    <w:rsid w:val="008E7843"/>
    <w:rsid w:val="008E7DC5"/>
    <w:rsid w:val="008F06F6"/>
    <w:rsid w:val="008F07EA"/>
    <w:rsid w:val="008F0EC4"/>
    <w:rsid w:val="008F20F1"/>
    <w:rsid w:val="008F271D"/>
    <w:rsid w:val="008F2A85"/>
    <w:rsid w:val="008F4929"/>
    <w:rsid w:val="008F498C"/>
    <w:rsid w:val="008F4BA1"/>
    <w:rsid w:val="008F55AC"/>
    <w:rsid w:val="008F638F"/>
    <w:rsid w:val="009003B5"/>
    <w:rsid w:val="0090043E"/>
    <w:rsid w:val="00901C6F"/>
    <w:rsid w:val="00901E20"/>
    <w:rsid w:val="009024DD"/>
    <w:rsid w:val="009037E2"/>
    <w:rsid w:val="009048A6"/>
    <w:rsid w:val="009050C7"/>
    <w:rsid w:val="00905D8B"/>
    <w:rsid w:val="00906152"/>
    <w:rsid w:val="0090620C"/>
    <w:rsid w:val="009063D2"/>
    <w:rsid w:val="00906524"/>
    <w:rsid w:val="009102EE"/>
    <w:rsid w:val="00910B66"/>
    <w:rsid w:val="00910ECD"/>
    <w:rsid w:val="00914475"/>
    <w:rsid w:val="00915263"/>
    <w:rsid w:val="009158FC"/>
    <w:rsid w:val="00915A46"/>
    <w:rsid w:val="00916BAA"/>
    <w:rsid w:val="0091704E"/>
    <w:rsid w:val="009204A5"/>
    <w:rsid w:val="00921D09"/>
    <w:rsid w:val="00921FA2"/>
    <w:rsid w:val="00922917"/>
    <w:rsid w:val="009234DC"/>
    <w:rsid w:val="00923592"/>
    <w:rsid w:val="0092434B"/>
    <w:rsid w:val="00924AE0"/>
    <w:rsid w:val="00924EEC"/>
    <w:rsid w:val="00924F30"/>
    <w:rsid w:val="009250C1"/>
    <w:rsid w:val="00925733"/>
    <w:rsid w:val="00925BAB"/>
    <w:rsid w:val="0092616E"/>
    <w:rsid w:val="009269D0"/>
    <w:rsid w:val="00926B62"/>
    <w:rsid w:val="00926FBF"/>
    <w:rsid w:val="00927A96"/>
    <w:rsid w:val="0093005E"/>
    <w:rsid w:val="009306EC"/>
    <w:rsid w:val="0093154D"/>
    <w:rsid w:val="00931802"/>
    <w:rsid w:val="00931899"/>
    <w:rsid w:val="00932187"/>
    <w:rsid w:val="0093370D"/>
    <w:rsid w:val="009339C0"/>
    <w:rsid w:val="0093437C"/>
    <w:rsid w:val="00934649"/>
    <w:rsid w:val="00937384"/>
    <w:rsid w:val="00940013"/>
    <w:rsid w:val="00940906"/>
    <w:rsid w:val="00941629"/>
    <w:rsid w:val="00941EAC"/>
    <w:rsid w:val="00944DD2"/>
    <w:rsid w:val="009458B4"/>
    <w:rsid w:val="00945BC5"/>
    <w:rsid w:val="00945E80"/>
    <w:rsid w:val="00946F59"/>
    <w:rsid w:val="009500A9"/>
    <w:rsid w:val="0095029F"/>
    <w:rsid w:val="00952C4A"/>
    <w:rsid w:val="00952D57"/>
    <w:rsid w:val="00953E21"/>
    <w:rsid w:val="009548C2"/>
    <w:rsid w:val="0095584E"/>
    <w:rsid w:val="00955A65"/>
    <w:rsid w:val="00955AAD"/>
    <w:rsid w:val="00955CBC"/>
    <w:rsid w:val="009567B5"/>
    <w:rsid w:val="00956909"/>
    <w:rsid w:val="009572F3"/>
    <w:rsid w:val="00957B26"/>
    <w:rsid w:val="00957CA9"/>
    <w:rsid w:val="009600BF"/>
    <w:rsid w:val="00960121"/>
    <w:rsid w:val="00960F2F"/>
    <w:rsid w:val="0096178D"/>
    <w:rsid w:val="009617C6"/>
    <w:rsid w:val="00962F18"/>
    <w:rsid w:val="00966699"/>
    <w:rsid w:val="00966D73"/>
    <w:rsid w:val="0096724B"/>
    <w:rsid w:val="00970741"/>
    <w:rsid w:val="00971ECA"/>
    <w:rsid w:val="00972233"/>
    <w:rsid w:val="009733A0"/>
    <w:rsid w:val="009734E1"/>
    <w:rsid w:val="00973889"/>
    <w:rsid w:val="00973D18"/>
    <w:rsid w:val="00973EFF"/>
    <w:rsid w:val="0097435D"/>
    <w:rsid w:val="00976C73"/>
    <w:rsid w:val="0097768B"/>
    <w:rsid w:val="0098045F"/>
    <w:rsid w:val="00980629"/>
    <w:rsid w:val="009817E2"/>
    <w:rsid w:val="00981A99"/>
    <w:rsid w:val="00982697"/>
    <w:rsid w:val="009828F6"/>
    <w:rsid w:val="00982C8B"/>
    <w:rsid w:val="00982C99"/>
    <w:rsid w:val="00982D46"/>
    <w:rsid w:val="00983760"/>
    <w:rsid w:val="00985593"/>
    <w:rsid w:val="00985ED5"/>
    <w:rsid w:val="00986F7A"/>
    <w:rsid w:val="009876B0"/>
    <w:rsid w:val="009877AD"/>
    <w:rsid w:val="00990646"/>
    <w:rsid w:val="00990957"/>
    <w:rsid w:val="00990BE0"/>
    <w:rsid w:val="0099152F"/>
    <w:rsid w:val="0099323F"/>
    <w:rsid w:val="009932FA"/>
    <w:rsid w:val="00994553"/>
    <w:rsid w:val="00995363"/>
    <w:rsid w:val="00996358"/>
    <w:rsid w:val="00996672"/>
    <w:rsid w:val="009966A3"/>
    <w:rsid w:val="00996B89"/>
    <w:rsid w:val="00997520"/>
    <w:rsid w:val="009A01F0"/>
    <w:rsid w:val="009A1F04"/>
    <w:rsid w:val="009A23EE"/>
    <w:rsid w:val="009A34E5"/>
    <w:rsid w:val="009A3DC4"/>
    <w:rsid w:val="009A4587"/>
    <w:rsid w:val="009A4BEB"/>
    <w:rsid w:val="009A585C"/>
    <w:rsid w:val="009A5F55"/>
    <w:rsid w:val="009A5FE0"/>
    <w:rsid w:val="009A6326"/>
    <w:rsid w:val="009A6EE6"/>
    <w:rsid w:val="009A70DD"/>
    <w:rsid w:val="009A7EB2"/>
    <w:rsid w:val="009B3C96"/>
    <w:rsid w:val="009B3D18"/>
    <w:rsid w:val="009B3D56"/>
    <w:rsid w:val="009B4A4E"/>
    <w:rsid w:val="009B5081"/>
    <w:rsid w:val="009B55B5"/>
    <w:rsid w:val="009B5911"/>
    <w:rsid w:val="009B5921"/>
    <w:rsid w:val="009B702C"/>
    <w:rsid w:val="009B7C49"/>
    <w:rsid w:val="009B7D0B"/>
    <w:rsid w:val="009B7F1D"/>
    <w:rsid w:val="009C03AD"/>
    <w:rsid w:val="009C0EC3"/>
    <w:rsid w:val="009C0FC0"/>
    <w:rsid w:val="009C16C7"/>
    <w:rsid w:val="009C26DB"/>
    <w:rsid w:val="009C3248"/>
    <w:rsid w:val="009C3485"/>
    <w:rsid w:val="009C4A94"/>
    <w:rsid w:val="009C4C65"/>
    <w:rsid w:val="009C5DB2"/>
    <w:rsid w:val="009C6A20"/>
    <w:rsid w:val="009C6B9D"/>
    <w:rsid w:val="009C6F03"/>
    <w:rsid w:val="009C6F76"/>
    <w:rsid w:val="009C75B2"/>
    <w:rsid w:val="009D1062"/>
    <w:rsid w:val="009D1882"/>
    <w:rsid w:val="009D2C1B"/>
    <w:rsid w:val="009D3A73"/>
    <w:rsid w:val="009D4226"/>
    <w:rsid w:val="009D4324"/>
    <w:rsid w:val="009D5C72"/>
    <w:rsid w:val="009D7CB1"/>
    <w:rsid w:val="009E1C9E"/>
    <w:rsid w:val="009E1D58"/>
    <w:rsid w:val="009E2D7B"/>
    <w:rsid w:val="009E3131"/>
    <w:rsid w:val="009E39ED"/>
    <w:rsid w:val="009E3E95"/>
    <w:rsid w:val="009E3EDA"/>
    <w:rsid w:val="009E42DA"/>
    <w:rsid w:val="009E4BAC"/>
    <w:rsid w:val="009E6473"/>
    <w:rsid w:val="009E6AC6"/>
    <w:rsid w:val="009E71AA"/>
    <w:rsid w:val="009F018E"/>
    <w:rsid w:val="009F1414"/>
    <w:rsid w:val="009F25E2"/>
    <w:rsid w:val="009F352C"/>
    <w:rsid w:val="009F38FF"/>
    <w:rsid w:val="009F41AE"/>
    <w:rsid w:val="009F4984"/>
    <w:rsid w:val="009F6C3B"/>
    <w:rsid w:val="009F71CF"/>
    <w:rsid w:val="009F7230"/>
    <w:rsid w:val="00A00B4E"/>
    <w:rsid w:val="00A02AD3"/>
    <w:rsid w:val="00A02B4C"/>
    <w:rsid w:val="00A02D79"/>
    <w:rsid w:val="00A03649"/>
    <w:rsid w:val="00A03DA0"/>
    <w:rsid w:val="00A03EE4"/>
    <w:rsid w:val="00A03FB0"/>
    <w:rsid w:val="00A04BD3"/>
    <w:rsid w:val="00A056C2"/>
    <w:rsid w:val="00A05AB8"/>
    <w:rsid w:val="00A060B2"/>
    <w:rsid w:val="00A0628C"/>
    <w:rsid w:val="00A0654B"/>
    <w:rsid w:val="00A06D41"/>
    <w:rsid w:val="00A07728"/>
    <w:rsid w:val="00A1085E"/>
    <w:rsid w:val="00A10F55"/>
    <w:rsid w:val="00A1342A"/>
    <w:rsid w:val="00A139B9"/>
    <w:rsid w:val="00A14005"/>
    <w:rsid w:val="00A14AC2"/>
    <w:rsid w:val="00A15A7A"/>
    <w:rsid w:val="00A2088C"/>
    <w:rsid w:val="00A211B5"/>
    <w:rsid w:val="00A2158C"/>
    <w:rsid w:val="00A2181D"/>
    <w:rsid w:val="00A21C0B"/>
    <w:rsid w:val="00A225CC"/>
    <w:rsid w:val="00A22E3E"/>
    <w:rsid w:val="00A22ED8"/>
    <w:rsid w:val="00A245CA"/>
    <w:rsid w:val="00A26331"/>
    <w:rsid w:val="00A27479"/>
    <w:rsid w:val="00A27A89"/>
    <w:rsid w:val="00A27B53"/>
    <w:rsid w:val="00A30F51"/>
    <w:rsid w:val="00A30FF1"/>
    <w:rsid w:val="00A31427"/>
    <w:rsid w:val="00A31A29"/>
    <w:rsid w:val="00A31E88"/>
    <w:rsid w:val="00A32331"/>
    <w:rsid w:val="00A32F49"/>
    <w:rsid w:val="00A343AE"/>
    <w:rsid w:val="00A35262"/>
    <w:rsid w:val="00A3645A"/>
    <w:rsid w:val="00A36FED"/>
    <w:rsid w:val="00A403C6"/>
    <w:rsid w:val="00A41C52"/>
    <w:rsid w:val="00A42585"/>
    <w:rsid w:val="00A43AD5"/>
    <w:rsid w:val="00A456FB"/>
    <w:rsid w:val="00A458F6"/>
    <w:rsid w:val="00A465B9"/>
    <w:rsid w:val="00A5042B"/>
    <w:rsid w:val="00A50F50"/>
    <w:rsid w:val="00A51C7B"/>
    <w:rsid w:val="00A522CB"/>
    <w:rsid w:val="00A523C9"/>
    <w:rsid w:val="00A52A1B"/>
    <w:rsid w:val="00A52E21"/>
    <w:rsid w:val="00A52E56"/>
    <w:rsid w:val="00A55C5A"/>
    <w:rsid w:val="00A55F03"/>
    <w:rsid w:val="00A55F51"/>
    <w:rsid w:val="00A56490"/>
    <w:rsid w:val="00A56708"/>
    <w:rsid w:val="00A569E6"/>
    <w:rsid w:val="00A5734E"/>
    <w:rsid w:val="00A57683"/>
    <w:rsid w:val="00A6020A"/>
    <w:rsid w:val="00A606DA"/>
    <w:rsid w:val="00A627B6"/>
    <w:rsid w:val="00A62B1F"/>
    <w:rsid w:val="00A6368A"/>
    <w:rsid w:val="00A641BC"/>
    <w:rsid w:val="00A64776"/>
    <w:rsid w:val="00A648D5"/>
    <w:rsid w:val="00A6583E"/>
    <w:rsid w:val="00A663BC"/>
    <w:rsid w:val="00A66F0A"/>
    <w:rsid w:val="00A70130"/>
    <w:rsid w:val="00A70AC9"/>
    <w:rsid w:val="00A71D15"/>
    <w:rsid w:val="00A72AD6"/>
    <w:rsid w:val="00A72EB7"/>
    <w:rsid w:val="00A73EF5"/>
    <w:rsid w:val="00A7416E"/>
    <w:rsid w:val="00A74301"/>
    <w:rsid w:val="00A751BA"/>
    <w:rsid w:val="00A763D8"/>
    <w:rsid w:val="00A80414"/>
    <w:rsid w:val="00A82712"/>
    <w:rsid w:val="00A83837"/>
    <w:rsid w:val="00A83903"/>
    <w:rsid w:val="00A8454F"/>
    <w:rsid w:val="00A867B6"/>
    <w:rsid w:val="00A867EF"/>
    <w:rsid w:val="00A86CE7"/>
    <w:rsid w:val="00A87BE1"/>
    <w:rsid w:val="00A92963"/>
    <w:rsid w:val="00A94576"/>
    <w:rsid w:val="00A94FB9"/>
    <w:rsid w:val="00A95084"/>
    <w:rsid w:val="00A9546D"/>
    <w:rsid w:val="00A95B54"/>
    <w:rsid w:val="00A964A0"/>
    <w:rsid w:val="00A9662C"/>
    <w:rsid w:val="00A9729E"/>
    <w:rsid w:val="00AA19F5"/>
    <w:rsid w:val="00AA1E5E"/>
    <w:rsid w:val="00AA24A4"/>
    <w:rsid w:val="00AA2C87"/>
    <w:rsid w:val="00AA4500"/>
    <w:rsid w:val="00AA4709"/>
    <w:rsid w:val="00AA584B"/>
    <w:rsid w:val="00AA5D93"/>
    <w:rsid w:val="00AA6CA2"/>
    <w:rsid w:val="00AA7B1F"/>
    <w:rsid w:val="00AA7B8E"/>
    <w:rsid w:val="00AA7D12"/>
    <w:rsid w:val="00AB0EAB"/>
    <w:rsid w:val="00AB2BD1"/>
    <w:rsid w:val="00AB38BA"/>
    <w:rsid w:val="00AB4231"/>
    <w:rsid w:val="00AB45EA"/>
    <w:rsid w:val="00AB498C"/>
    <w:rsid w:val="00AB57FB"/>
    <w:rsid w:val="00AB63C5"/>
    <w:rsid w:val="00AB667F"/>
    <w:rsid w:val="00AB6990"/>
    <w:rsid w:val="00AB6C4C"/>
    <w:rsid w:val="00AB71B0"/>
    <w:rsid w:val="00AC0677"/>
    <w:rsid w:val="00AC0698"/>
    <w:rsid w:val="00AC07BC"/>
    <w:rsid w:val="00AC0E76"/>
    <w:rsid w:val="00AC12D4"/>
    <w:rsid w:val="00AC13CE"/>
    <w:rsid w:val="00AC17AB"/>
    <w:rsid w:val="00AC3171"/>
    <w:rsid w:val="00AC3400"/>
    <w:rsid w:val="00AC36AC"/>
    <w:rsid w:val="00AC3815"/>
    <w:rsid w:val="00AC4288"/>
    <w:rsid w:val="00AC4D39"/>
    <w:rsid w:val="00AC6B36"/>
    <w:rsid w:val="00AC6C5A"/>
    <w:rsid w:val="00AC6D0C"/>
    <w:rsid w:val="00AD0844"/>
    <w:rsid w:val="00AD249B"/>
    <w:rsid w:val="00AD3201"/>
    <w:rsid w:val="00AD332B"/>
    <w:rsid w:val="00AD407E"/>
    <w:rsid w:val="00AD5399"/>
    <w:rsid w:val="00AD5B9B"/>
    <w:rsid w:val="00AD5D4B"/>
    <w:rsid w:val="00AD5DF9"/>
    <w:rsid w:val="00AD6704"/>
    <w:rsid w:val="00AE217F"/>
    <w:rsid w:val="00AE2B0B"/>
    <w:rsid w:val="00AE3E34"/>
    <w:rsid w:val="00AE5CA5"/>
    <w:rsid w:val="00AE611E"/>
    <w:rsid w:val="00AE6CA5"/>
    <w:rsid w:val="00AF1022"/>
    <w:rsid w:val="00AF1544"/>
    <w:rsid w:val="00AF1CFD"/>
    <w:rsid w:val="00AF5073"/>
    <w:rsid w:val="00AF5983"/>
    <w:rsid w:val="00AF5D3C"/>
    <w:rsid w:val="00AF6803"/>
    <w:rsid w:val="00AF74AB"/>
    <w:rsid w:val="00B02307"/>
    <w:rsid w:val="00B0295D"/>
    <w:rsid w:val="00B04FBD"/>
    <w:rsid w:val="00B053CD"/>
    <w:rsid w:val="00B0551C"/>
    <w:rsid w:val="00B06594"/>
    <w:rsid w:val="00B10FB1"/>
    <w:rsid w:val="00B11487"/>
    <w:rsid w:val="00B11E62"/>
    <w:rsid w:val="00B12309"/>
    <w:rsid w:val="00B132AA"/>
    <w:rsid w:val="00B132B6"/>
    <w:rsid w:val="00B13626"/>
    <w:rsid w:val="00B1489F"/>
    <w:rsid w:val="00B17FD9"/>
    <w:rsid w:val="00B20C48"/>
    <w:rsid w:val="00B20D86"/>
    <w:rsid w:val="00B212AB"/>
    <w:rsid w:val="00B2132B"/>
    <w:rsid w:val="00B22CC5"/>
    <w:rsid w:val="00B234B6"/>
    <w:rsid w:val="00B24D98"/>
    <w:rsid w:val="00B30538"/>
    <w:rsid w:val="00B31B30"/>
    <w:rsid w:val="00B321A7"/>
    <w:rsid w:val="00B345F1"/>
    <w:rsid w:val="00B35250"/>
    <w:rsid w:val="00B35613"/>
    <w:rsid w:val="00B35BB2"/>
    <w:rsid w:val="00B36582"/>
    <w:rsid w:val="00B36D89"/>
    <w:rsid w:val="00B36DD2"/>
    <w:rsid w:val="00B3726B"/>
    <w:rsid w:val="00B40D82"/>
    <w:rsid w:val="00B4210F"/>
    <w:rsid w:val="00B42395"/>
    <w:rsid w:val="00B44240"/>
    <w:rsid w:val="00B44E1A"/>
    <w:rsid w:val="00B45D07"/>
    <w:rsid w:val="00B45D74"/>
    <w:rsid w:val="00B45E88"/>
    <w:rsid w:val="00B46545"/>
    <w:rsid w:val="00B47831"/>
    <w:rsid w:val="00B50881"/>
    <w:rsid w:val="00B51564"/>
    <w:rsid w:val="00B51B5C"/>
    <w:rsid w:val="00B528E3"/>
    <w:rsid w:val="00B539F0"/>
    <w:rsid w:val="00B549F3"/>
    <w:rsid w:val="00B5503C"/>
    <w:rsid w:val="00B556B1"/>
    <w:rsid w:val="00B55E60"/>
    <w:rsid w:val="00B55EFA"/>
    <w:rsid w:val="00B56BF2"/>
    <w:rsid w:val="00B57AE7"/>
    <w:rsid w:val="00B601FF"/>
    <w:rsid w:val="00B6071E"/>
    <w:rsid w:val="00B61082"/>
    <w:rsid w:val="00B62280"/>
    <w:rsid w:val="00B6256D"/>
    <w:rsid w:val="00B63037"/>
    <w:rsid w:val="00B63B85"/>
    <w:rsid w:val="00B645B7"/>
    <w:rsid w:val="00B656EA"/>
    <w:rsid w:val="00B65EA8"/>
    <w:rsid w:val="00B66623"/>
    <w:rsid w:val="00B66D6C"/>
    <w:rsid w:val="00B66E47"/>
    <w:rsid w:val="00B670CD"/>
    <w:rsid w:val="00B700B6"/>
    <w:rsid w:val="00B7055D"/>
    <w:rsid w:val="00B7072E"/>
    <w:rsid w:val="00B71A1C"/>
    <w:rsid w:val="00B72E44"/>
    <w:rsid w:val="00B74200"/>
    <w:rsid w:val="00B744B1"/>
    <w:rsid w:val="00B767B3"/>
    <w:rsid w:val="00B769D1"/>
    <w:rsid w:val="00B77C2A"/>
    <w:rsid w:val="00B77E17"/>
    <w:rsid w:val="00B77F66"/>
    <w:rsid w:val="00B77FAF"/>
    <w:rsid w:val="00B807D5"/>
    <w:rsid w:val="00B81982"/>
    <w:rsid w:val="00B82147"/>
    <w:rsid w:val="00B82B37"/>
    <w:rsid w:val="00B84006"/>
    <w:rsid w:val="00B85EA7"/>
    <w:rsid w:val="00B8611A"/>
    <w:rsid w:val="00B874D8"/>
    <w:rsid w:val="00B87C0A"/>
    <w:rsid w:val="00B901BC"/>
    <w:rsid w:val="00B9034D"/>
    <w:rsid w:val="00B90CE4"/>
    <w:rsid w:val="00B92934"/>
    <w:rsid w:val="00B934BF"/>
    <w:rsid w:val="00B937AB"/>
    <w:rsid w:val="00B93DD2"/>
    <w:rsid w:val="00B9404D"/>
    <w:rsid w:val="00B94690"/>
    <w:rsid w:val="00B9524E"/>
    <w:rsid w:val="00B95D59"/>
    <w:rsid w:val="00B95F97"/>
    <w:rsid w:val="00B96F57"/>
    <w:rsid w:val="00B971CD"/>
    <w:rsid w:val="00B97270"/>
    <w:rsid w:val="00B9780C"/>
    <w:rsid w:val="00BA177D"/>
    <w:rsid w:val="00BA2FF1"/>
    <w:rsid w:val="00BA3596"/>
    <w:rsid w:val="00BA3773"/>
    <w:rsid w:val="00BA3CFE"/>
    <w:rsid w:val="00BA4441"/>
    <w:rsid w:val="00BA536F"/>
    <w:rsid w:val="00BA578F"/>
    <w:rsid w:val="00BA7091"/>
    <w:rsid w:val="00BA71F9"/>
    <w:rsid w:val="00BB082B"/>
    <w:rsid w:val="00BB2948"/>
    <w:rsid w:val="00BB3E48"/>
    <w:rsid w:val="00BB4339"/>
    <w:rsid w:val="00BB45CA"/>
    <w:rsid w:val="00BB49B2"/>
    <w:rsid w:val="00BB53B0"/>
    <w:rsid w:val="00BB63AE"/>
    <w:rsid w:val="00BB6ACC"/>
    <w:rsid w:val="00BB6C81"/>
    <w:rsid w:val="00BB782D"/>
    <w:rsid w:val="00BB7C10"/>
    <w:rsid w:val="00BC0469"/>
    <w:rsid w:val="00BC0A8D"/>
    <w:rsid w:val="00BC0F2C"/>
    <w:rsid w:val="00BC15AE"/>
    <w:rsid w:val="00BC26F0"/>
    <w:rsid w:val="00BC323E"/>
    <w:rsid w:val="00BC3250"/>
    <w:rsid w:val="00BC32B2"/>
    <w:rsid w:val="00BC430E"/>
    <w:rsid w:val="00BC574B"/>
    <w:rsid w:val="00BC6972"/>
    <w:rsid w:val="00BD0731"/>
    <w:rsid w:val="00BD0BEF"/>
    <w:rsid w:val="00BD100F"/>
    <w:rsid w:val="00BD17AC"/>
    <w:rsid w:val="00BD1A27"/>
    <w:rsid w:val="00BD2049"/>
    <w:rsid w:val="00BD2A6D"/>
    <w:rsid w:val="00BD3E06"/>
    <w:rsid w:val="00BD3FA5"/>
    <w:rsid w:val="00BD40BD"/>
    <w:rsid w:val="00BD4D0B"/>
    <w:rsid w:val="00BD4E2D"/>
    <w:rsid w:val="00BD58C4"/>
    <w:rsid w:val="00BD6E38"/>
    <w:rsid w:val="00BD73C5"/>
    <w:rsid w:val="00BE049D"/>
    <w:rsid w:val="00BE053D"/>
    <w:rsid w:val="00BE1338"/>
    <w:rsid w:val="00BE195C"/>
    <w:rsid w:val="00BE1B04"/>
    <w:rsid w:val="00BE1F0B"/>
    <w:rsid w:val="00BE5423"/>
    <w:rsid w:val="00BE5A50"/>
    <w:rsid w:val="00BF016E"/>
    <w:rsid w:val="00BF1E92"/>
    <w:rsid w:val="00BF2A9C"/>
    <w:rsid w:val="00BF3071"/>
    <w:rsid w:val="00BF342D"/>
    <w:rsid w:val="00BF37ED"/>
    <w:rsid w:val="00BF3E82"/>
    <w:rsid w:val="00BF4A13"/>
    <w:rsid w:val="00BF51F6"/>
    <w:rsid w:val="00BF5925"/>
    <w:rsid w:val="00BF5ACA"/>
    <w:rsid w:val="00BF75EE"/>
    <w:rsid w:val="00BF7BC6"/>
    <w:rsid w:val="00C0029B"/>
    <w:rsid w:val="00C00613"/>
    <w:rsid w:val="00C02138"/>
    <w:rsid w:val="00C02C86"/>
    <w:rsid w:val="00C02CDB"/>
    <w:rsid w:val="00C02DAC"/>
    <w:rsid w:val="00C02F22"/>
    <w:rsid w:val="00C02F36"/>
    <w:rsid w:val="00C030C1"/>
    <w:rsid w:val="00C031ED"/>
    <w:rsid w:val="00C03575"/>
    <w:rsid w:val="00C0424F"/>
    <w:rsid w:val="00C043DE"/>
    <w:rsid w:val="00C047C5"/>
    <w:rsid w:val="00C04917"/>
    <w:rsid w:val="00C04A55"/>
    <w:rsid w:val="00C04B2A"/>
    <w:rsid w:val="00C0509A"/>
    <w:rsid w:val="00C054E8"/>
    <w:rsid w:val="00C065AD"/>
    <w:rsid w:val="00C06960"/>
    <w:rsid w:val="00C10C5A"/>
    <w:rsid w:val="00C10F44"/>
    <w:rsid w:val="00C11899"/>
    <w:rsid w:val="00C11CE4"/>
    <w:rsid w:val="00C12495"/>
    <w:rsid w:val="00C13637"/>
    <w:rsid w:val="00C138F7"/>
    <w:rsid w:val="00C13D43"/>
    <w:rsid w:val="00C142AA"/>
    <w:rsid w:val="00C145E1"/>
    <w:rsid w:val="00C15DF5"/>
    <w:rsid w:val="00C1609A"/>
    <w:rsid w:val="00C16965"/>
    <w:rsid w:val="00C179DA"/>
    <w:rsid w:val="00C17BBD"/>
    <w:rsid w:val="00C21153"/>
    <w:rsid w:val="00C222C1"/>
    <w:rsid w:val="00C22545"/>
    <w:rsid w:val="00C248F2"/>
    <w:rsid w:val="00C24C14"/>
    <w:rsid w:val="00C260A5"/>
    <w:rsid w:val="00C26440"/>
    <w:rsid w:val="00C2734D"/>
    <w:rsid w:val="00C30F15"/>
    <w:rsid w:val="00C33570"/>
    <w:rsid w:val="00C3413F"/>
    <w:rsid w:val="00C34183"/>
    <w:rsid w:val="00C34890"/>
    <w:rsid w:val="00C36758"/>
    <w:rsid w:val="00C36C4E"/>
    <w:rsid w:val="00C37B8F"/>
    <w:rsid w:val="00C4115F"/>
    <w:rsid w:val="00C41AE4"/>
    <w:rsid w:val="00C43328"/>
    <w:rsid w:val="00C43342"/>
    <w:rsid w:val="00C43F6D"/>
    <w:rsid w:val="00C44B82"/>
    <w:rsid w:val="00C45204"/>
    <w:rsid w:val="00C464E2"/>
    <w:rsid w:val="00C46A60"/>
    <w:rsid w:val="00C4749A"/>
    <w:rsid w:val="00C506CB"/>
    <w:rsid w:val="00C50870"/>
    <w:rsid w:val="00C5162F"/>
    <w:rsid w:val="00C52273"/>
    <w:rsid w:val="00C5273D"/>
    <w:rsid w:val="00C52E3E"/>
    <w:rsid w:val="00C54F5F"/>
    <w:rsid w:val="00C55056"/>
    <w:rsid w:val="00C550F6"/>
    <w:rsid w:val="00C55AE8"/>
    <w:rsid w:val="00C56652"/>
    <w:rsid w:val="00C62196"/>
    <w:rsid w:val="00C6289E"/>
    <w:rsid w:val="00C62A22"/>
    <w:rsid w:val="00C62ECB"/>
    <w:rsid w:val="00C62F0E"/>
    <w:rsid w:val="00C63527"/>
    <w:rsid w:val="00C63A05"/>
    <w:rsid w:val="00C6548F"/>
    <w:rsid w:val="00C65A56"/>
    <w:rsid w:val="00C66C3D"/>
    <w:rsid w:val="00C70FCE"/>
    <w:rsid w:val="00C71311"/>
    <w:rsid w:val="00C71EDC"/>
    <w:rsid w:val="00C7269B"/>
    <w:rsid w:val="00C7289E"/>
    <w:rsid w:val="00C73454"/>
    <w:rsid w:val="00C741A4"/>
    <w:rsid w:val="00C74422"/>
    <w:rsid w:val="00C75D94"/>
    <w:rsid w:val="00C75ED0"/>
    <w:rsid w:val="00C806D7"/>
    <w:rsid w:val="00C81AF8"/>
    <w:rsid w:val="00C82CB4"/>
    <w:rsid w:val="00C831BA"/>
    <w:rsid w:val="00C839DE"/>
    <w:rsid w:val="00C83E5C"/>
    <w:rsid w:val="00C851C0"/>
    <w:rsid w:val="00C85326"/>
    <w:rsid w:val="00C86E33"/>
    <w:rsid w:val="00C87362"/>
    <w:rsid w:val="00C87842"/>
    <w:rsid w:val="00C913DA"/>
    <w:rsid w:val="00C91528"/>
    <w:rsid w:val="00C9265E"/>
    <w:rsid w:val="00C92864"/>
    <w:rsid w:val="00C92C92"/>
    <w:rsid w:val="00C932DD"/>
    <w:rsid w:val="00C942F8"/>
    <w:rsid w:val="00C94993"/>
    <w:rsid w:val="00C94EE5"/>
    <w:rsid w:val="00C94EE8"/>
    <w:rsid w:val="00C95C04"/>
    <w:rsid w:val="00C97673"/>
    <w:rsid w:val="00CA034E"/>
    <w:rsid w:val="00CA0869"/>
    <w:rsid w:val="00CA0AF8"/>
    <w:rsid w:val="00CA148C"/>
    <w:rsid w:val="00CA1677"/>
    <w:rsid w:val="00CA17A9"/>
    <w:rsid w:val="00CA22D0"/>
    <w:rsid w:val="00CA372E"/>
    <w:rsid w:val="00CA4284"/>
    <w:rsid w:val="00CA5071"/>
    <w:rsid w:val="00CA6EDD"/>
    <w:rsid w:val="00CA7026"/>
    <w:rsid w:val="00CA7B94"/>
    <w:rsid w:val="00CB0588"/>
    <w:rsid w:val="00CB07DB"/>
    <w:rsid w:val="00CB0FB9"/>
    <w:rsid w:val="00CB1A76"/>
    <w:rsid w:val="00CB1CD4"/>
    <w:rsid w:val="00CB38CB"/>
    <w:rsid w:val="00CB3DF6"/>
    <w:rsid w:val="00CB5DF2"/>
    <w:rsid w:val="00CB67B2"/>
    <w:rsid w:val="00CB69E7"/>
    <w:rsid w:val="00CC0419"/>
    <w:rsid w:val="00CC183F"/>
    <w:rsid w:val="00CC2CBB"/>
    <w:rsid w:val="00CC38DC"/>
    <w:rsid w:val="00CC4B0F"/>
    <w:rsid w:val="00CC4BB9"/>
    <w:rsid w:val="00CC4BFA"/>
    <w:rsid w:val="00CC5693"/>
    <w:rsid w:val="00CC5B63"/>
    <w:rsid w:val="00CC6846"/>
    <w:rsid w:val="00CC7953"/>
    <w:rsid w:val="00CC7CEA"/>
    <w:rsid w:val="00CC7D44"/>
    <w:rsid w:val="00CD0998"/>
    <w:rsid w:val="00CD14E4"/>
    <w:rsid w:val="00CD26BC"/>
    <w:rsid w:val="00CD376C"/>
    <w:rsid w:val="00CD37E6"/>
    <w:rsid w:val="00CD4865"/>
    <w:rsid w:val="00CD4947"/>
    <w:rsid w:val="00CD4A93"/>
    <w:rsid w:val="00CD51E3"/>
    <w:rsid w:val="00CD7061"/>
    <w:rsid w:val="00CD7362"/>
    <w:rsid w:val="00CD7C2F"/>
    <w:rsid w:val="00CE02FA"/>
    <w:rsid w:val="00CE0D8C"/>
    <w:rsid w:val="00CE22C0"/>
    <w:rsid w:val="00CE23AA"/>
    <w:rsid w:val="00CE2797"/>
    <w:rsid w:val="00CE2FC9"/>
    <w:rsid w:val="00CE3099"/>
    <w:rsid w:val="00CE3BF3"/>
    <w:rsid w:val="00CE3CB9"/>
    <w:rsid w:val="00CE42F6"/>
    <w:rsid w:val="00CE5665"/>
    <w:rsid w:val="00CE5751"/>
    <w:rsid w:val="00CE701F"/>
    <w:rsid w:val="00CE7B80"/>
    <w:rsid w:val="00CE7D9B"/>
    <w:rsid w:val="00CF0030"/>
    <w:rsid w:val="00CF0BB0"/>
    <w:rsid w:val="00CF0DE2"/>
    <w:rsid w:val="00CF11FB"/>
    <w:rsid w:val="00CF1B9F"/>
    <w:rsid w:val="00CF27F8"/>
    <w:rsid w:val="00CF295A"/>
    <w:rsid w:val="00CF329B"/>
    <w:rsid w:val="00CF3377"/>
    <w:rsid w:val="00CF348A"/>
    <w:rsid w:val="00CF3BCD"/>
    <w:rsid w:val="00CF4C5C"/>
    <w:rsid w:val="00CF4CDA"/>
    <w:rsid w:val="00CF51EB"/>
    <w:rsid w:val="00CF5490"/>
    <w:rsid w:val="00CF54F6"/>
    <w:rsid w:val="00CF56DF"/>
    <w:rsid w:val="00CF76BD"/>
    <w:rsid w:val="00D0004C"/>
    <w:rsid w:val="00D003B9"/>
    <w:rsid w:val="00D00547"/>
    <w:rsid w:val="00D007DD"/>
    <w:rsid w:val="00D00815"/>
    <w:rsid w:val="00D01900"/>
    <w:rsid w:val="00D01B33"/>
    <w:rsid w:val="00D01B75"/>
    <w:rsid w:val="00D01E63"/>
    <w:rsid w:val="00D02123"/>
    <w:rsid w:val="00D02CAC"/>
    <w:rsid w:val="00D03325"/>
    <w:rsid w:val="00D0398A"/>
    <w:rsid w:val="00D03A42"/>
    <w:rsid w:val="00D04C1E"/>
    <w:rsid w:val="00D04F70"/>
    <w:rsid w:val="00D052A9"/>
    <w:rsid w:val="00D05A56"/>
    <w:rsid w:val="00D06C23"/>
    <w:rsid w:val="00D1014F"/>
    <w:rsid w:val="00D110C2"/>
    <w:rsid w:val="00D11D99"/>
    <w:rsid w:val="00D127BB"/>
    <w:rsid w:val="00D128DB"/>
    <w:rsid w:val="00D13375"/>
    <w:rsid w:val="00D13E77"/>
    <w:rsid w:val="00D13F7F"/>
    <w:rsid w:val="00D149EA"/>
    <w:rsid w:val="00D14DCA"/>
    <w:rsid w:val="00D14DD9"/>
    <w:rsid w:val="00D15560"/>
    <w:rsid w:val="00D15962"/>
    <w:rsid w:val="00D1768D"/>
    <w:rsid w:val="00D17A55"/>
    <w:rsid w:val="00D205C8"/>
    <w:rsid w:val="00D20B7A"/>
    <w:rsid w:val="00D20D3D"/>
    <w:rsid w:val="00D20E66"/>
    <w:rsid w:val="00D210F7"/>
    <w:rsid w:val="00D214B8"/>
    <w:rsid w:val="00D22097"/>
    <w:rsid w:val="00D2352D"/>
    <w:rsid w:val="00D24F8B"/>
    <w:rsid w:val="00D26671"/>
    <w:rsid w:val="00D2679A"/>
    <w:rsid w:val="00D27DE7"/>
    <w:rsid w:val="00D315F7"/>
    <w:rsid w:val="00D319D0"/>
    <w:rsid w:val="00D32024"/>
    <w:rsid w:val="00D32533"/>
    <w:rsid w:val="00D327AB"/>
    <w:rsid w:val="00D32BEC"/>
    <w:rsid w:val="00D33951"/>
    <w:rsid w:val="00D33E37"/>
    <w:rsid w:val="00D35152"/>
    <w:rsid w:val="00D35C92"/>
    <w:rsid w:val="00D360EC"/>
    <w:rsid w:val="00D36EB9"/>
    <w:rsid w:val="00D37497"/>
    <w:rsid w:val="00D37CE9"/>
    <w:rsid w:val="00D4193E"/>
    <w:rsid w:val="00D41C73"/>
    <w:rsid w:val="00D41F48"/>
    <w:rsid w:val="00D431AC"/>
    <w:rsid w:val="00D43777"/>
    <w:rsid w:val="00D43DD5"/>
    <w:rsid w:val="00D4538D"/>
    <w:rsid w:val="00D46818"/>
    <w:rsid w:val="00D47268"/>
    <w:rsid w:val="00D50754"/>
    <w:rsid w:val="00D50F51"/>
    <w:rsid w:val="00D51039"/>
    <w:rsid w:val="00D51B96"/>
    <w:rsid w:val="00D539C4"/>
    <w:rsid w:val="00D545C1"/>
    <w:rsid w:val="00D549C5"/>
    <w:rsid w:val="00D54A5C"/>
    <w:rsid w:val="00D56714"/>
    <w:rsid w:val="00D56992"/>
    <w:rsid w:val="00D56CAC"/>
    <w:rsid w:val="00D56F96"/>
    <w:rsid w:val="00D609F9"/>
    <w:rsid w:val="00D619F7"/>
    <w:rsid w:val="00D62080"/>
    <w:rsid w:val="00D62372"/>
    <w:rsid w:val="00D645A7"/>
    <w:rsid w:val="00D66717"/>
    <w:rsid w:val="00D6778A"/>
    <w:rsid w:val="00D7082B"/>
    <w:rsid w:val="00D70F57"/>
    <w:rsid w:val="00D71765"/>
    <w:rsid w:val="00D725E9"/>
    <w:rsid w:val="00D73E71"/>
    <w:rsid w:val="00D756C9"/>
    <w:rsid w:val="00D756F0"/>
    <w:rsid w:val="00D75833"/>
    <w:rsid w:val="00D7692C"/>
    <w:rsid w:val="00D76A96"/>
    <w:rsid w:val="00D76DEB"/>
    <w:rsid w:val="00D77595"/>
    <w:rsid w:val="00D807E1"/>
    <w:rsid w:val="00D80BD0"/>
    <w:rsid w:val="00D8282E"/>
    <w:rsid w:val="00D831AA"/>
    <w:rsid w:val="00D83B13"/>
    <w:rsid w:val="00D83F59"/>
    <w:rsid w:val="00D84062"/>
    <w:rsid w:val="00D84694"/>
    <w:rsid w:val="00D8496D"/>
    <w:rsid w:val="00D85049"/>
    <w:rsid w:val="00D85203"/>
    <w:rsid w:val="00D856C9"/>
    <w:rsid w:val="00D86FB7"/>
    <w:rsid w:val="00D87DE9"/>
    <w:rsid w:val="00D904AC"/>
    <w:rsid w:val="00D916AA"/>
    <w:rsid w:val="00D91B49"/>
    <w:rsid w:val="00D91DA5"/>
    <w:rsid w:val="00D92495"/>
    <w:rsid w:val="00D93A0C"/>
    <w:rsid w:val="00D93ADA"/>
    <w:rsid w:val="00D93BBA"/>
    <w:rsid w:val="00D94935"/>
    <w:rsid w:val="00D961BC"/>
    <w:rsid w:val="00D964DD"/>
    <w:rsid w:val="00D976CE"/>
    <w:rsid w:val="00D97AF7"/>
    <w:rsid w:val="00DA00B3"/>
    <w:rsid w:val="00DA04EB"/>
    <w:rsid w:val="00DA1AF7"/>
    <w:rsid w:val="00DA29AE"/>
    <w:rsid w:val="00DA35E5"/>
    <w:rsid w:val="00DA5505"/>
    <w:rsid w:val="00DA6D94"/>
    <w:rsid w:val="00DA774D"/>
    <w:rsid w:val="00DA77B3"/>
    <w:rsid w:val="00DB0B4E"/>
    <w:rsid w:val="00DB116E"/>
    <w:rsid w:val="00DB1288"/>
    <w:rsid w:val="00DB2A30"/>
    <w:rsid w:val="00DB4023"/>
    <w:rsid w:val="00DB42E3"/>
    <w:rsid w:val="00DB5FDB"/>
    <w:rsid w:val="00DB6E1D"/>
    <w:rsid w:val="00DB739E"/>
    <w:rsid w:val="00DB76BC"/>
    <w:rsid w:val="00DC083E"/>
    <w:rsid w:val="00DC12A0"/>
    <w:rsid w:val="00DC2DD7"/>
    <w:rsid w:val="00DC4190"/>
    <w:rsid w:val="00DC42FC"/>
    <w:rsid w:val="00DC4491"/>
    <w:rsid w:val="00DC4716"/>
    <w:rsid w:val="00DC6555"/>
    <w:rsid w:val="00DC6C0B"/>
    <w:rsid w:val="00DC7A3F"/>
    <w:rsid w:val="00DD0D6E"/>
    <w:rsid w:val="00DD149B"/>
    <w:rsid w:val="00DD2ACF"/>
    <w:rsid w:val="00DD2F9F"/>
    <w:rsid w:val="00DD339D"/>
    <w:rsid w:val="00DD3983"/>
    <w:rsid w:val="00DD3E50"/>
    <w:rsid w:val="00DD4705"/>
    <w:rsid w:val="00DD6FCE"/>
    <w:rsid w:val="00DD6FD9"/>
    <w:rsid w:val="00DD71F7"/>
    <w:rsid w:val="00DD75ED"/>
    <w:rsid w:val="00DD77C3"/>
    <w:rsid w:val="00DD7824"/>
    <w:rsid w:val="00DE1317"/>
    <w:rsid w:val="00DE1A2A"/>
    <w:rsid w:val="00DE2545"/>
    <w:rsid w:val="00DE323A"/>
    <w:rsid w:val="00DE3295"/>
    <w:rsid w:val="00DE3DCA"/>
    <w:rsid w:val="00DE40FE"/>
    <w:rsid w:val="00DE431F"/>
    <w:rsid w:val="00DE49FC"/>
    <w:rsid w:val="00DE4C72"/>
    <w:rsid w:val="00DE59DC"/>
    <w:rsid w:val="00DE670F"/>
    <w:rsid w:val="00DE6DF5"/>
    <w:rsid w:val="00DE7B61"/>
    <w:rsid w:val="00DF02D2"/>
    <w:rsid w:val="00DF0B3A"/>
    <w:rsid w:val="00DF0F7F"/>
    <w:rsid w:val="00DF1738"/>
    <w:rsid w:val="00DF1743"/>
    <w:rsid w:val="00DF224F"/>
    <w:rsid w:val="00DF225E"/>
    <w:rsid w:val="00DF2592"/>
    <w:rsid w:val="00DF2CF8"/>
    <w:rsid w:val="00DF3272"/>
    <w:rsid w:val="00DF350F"/>
    <w:rsid w:val="00DF3994"/>
    <w:rsid w:val="00DF444C"/>
    <w:rsid w:val="00DF57F9"/>
    <w:rsid w:val="00DF5A4F"/>
    <w:rsid w:val="00DF79C9"/>
    <w:rsid w:val="00E0001D"/>
    <w:rsid w:val="00E015FD"/>
    <w:rsid w:val="00E01FFC"/>
    <w:rsid w:val="00E02375"/>
    <w:rsid w:val="00E02400"/>
    <w:rsid w:val="00E0327C"/>
    <w:rsid w:val="00E0369B"/>
    <w:rsid w:val="00E045DD"/>
    <w:rsid w:val="00E04996"/>
    <w:rsid w:val="00E04DF8"/>
    <w:rsid w:val="00E052A9"/>
    <w:rsid w:val="00E05692"/>
    <w:rsid w:val="00E06259"/>
    <w:rsid w:val="00E0643F"/>
    <w:rsid w:val="00E06A2E"/>
    <w:rsid w:val="00E11B32"/>
    <w:rsid w:val="00E11CE4"/>
    <w:rsid w:val="00E11E06"/>
    <w:rsid w:val="00E13BB6"/>
    <w:rsid w:val="00E14EC8"/>
    <w:rsid w:val="00E20944"/>
    <w:rsid w:val="00E21B24"/>
    <w:rsid w:val="00E238E0"/>
    <w:rsid w:val="00E247B5"/>
    <w:rsid w:val="00E25A98"/>
    <w:rsid w:val="00E260B6"/>
    <w:rsid w:val="00E26643"/>
    <w:rsid w:val="00E26D66"/>
    <w:rsid w:val="00E313E6"/>
    <w:rsid w:val="00E31EE6"/>
    <w:rsid w:val="00E32B32"/>
    <w:rsid w:val="00E32E52"/>
    <w:rsid w:val="00E349CD"/>
    <w:rsid w:val="00E34CF6"/>
    <w:rsid w:val="00E353E2"/>
    <w:rsid w:val="00E35FDD"/>
    <w:rsid w:val="00E36556"/>
    <w:rsid w:val="00E365CF"/>
    <w:rsid w:val="00E36EBA"/>
    <w:rsid w:val="00E37145"/>
    <w:rsid w:val="00E37169"/>
    <w:rsid w:val="00E37F25"/>
    <w:rsid w:val="00E4033E"/>
    <w:rsid w:val="00E40F36"/>
    <w:rsid w:val="00E4117C"/>
    <w:rsid w:val="00E4192E"/>
    <w:rsid w:val="00E43A8E"/>
    <w:rsid w:val="00E43CCE"/>
    <w:rsid w:val="00E43FC3"/>
    <w:rsid w:val="00E44948"/>
    <w:rsid w:val="00E45209"/>
    <w:rsid w:val="00E458F2"/>
    <w:rsid w:val="00E46258"/>
    <w:rsid w:val="00E462FD"/>
    <w:rsid w:val="00E466FB"/>
    <w:rsid w:val="00E47D64"/>
    <w:rsid w:val="00E500EB"/>
    <w:rsid w:val="00E5045F"/>
    <w:rsid w:val="00E50862"/>
    <w:rsid w:val="00E50E68"/>
    <w:rsid w:val="00E50F41"/>
    <w:rsid w:val="00E527AF"/>
    <w:rsid w:val="00E53475"/>
    <w:rsid w:val="00E5370E"/>
    <w:rsid w:val="00E53DF6"/>
    <w:rsid w:val="00E542BD"/>
    <w:rsid w:val="00E54E1D"/>
    <w:rsid w:val="00E559FD"/>
    <w:rsid w:val="00E55E6C"/>
    <w:rsid w:val="00E5708C"/>
    <w:rsid w:val="00E57151"/>
    <w:rsid w:val="00E5768F"/>
    <w:rsid w:val="00E578B6"/>
    <w:rsid w:val="00E600AB"/>
    <w:rsid w:val="00E60237"/>
    <w:rsid w:val="00E60A4E"/>
    <w:rsid w:val="00E60C23"/>
    <w:rsid w:val="00E60DE0"/>
    <w:rsid w:val="00E6136E"/>
    <w:rsid w:val="00E61AA8"/>
    <w:rsid w:val="00E61E27"/>
    <w:rsid w:val="00E62343"/>
    <w:rsid w:val="00E62EA9"/>
    <w:rsid w:val="00E62F44"/>
    <w:rsid w:val="00E63766"/>
    <w:rsid w:val="00E6477F"/>
    <w:rsid w:val="00E65463"/>
    <w:rsid w:val="00E65D2F"/>
    <w:rsid w:val="00E66FBC"/>
    <w:rsid w:val="00E670FE"/>
    <w:rsid w:val="00E67DFC"/>
    <w:rsid w:val="00E67E87"/>
    <w:rsid w:val="00E7042B"/>
    <w:rsid w:val="00E7068F"/>
    <w:rsid w:val="00E707BF"/>
    <w:rsid w:val="00E7197E"/>
    <w:rsid w:val="00E7259D"/>
    <w:rsid w:val="00E72B79"/>
    <w:rsid w:val="00E7369C"/>
    <w:rsid w:val="00E73B15"/>
    <w:rsid w:val="00E7472C"/>
    <w:rsid w:val="00E74D26"/>
    <w:rsid w:val="00E7527A"/>
    <w:rsid w:val="00E75823"/>
    <w:rsid w:val="00E76566"/>
    <w:rsid w:val="00E76883"/>
    <w:rsid w:val="00E77916"/>
    <w:rsid w:val="00E80ECE"/>
    <w:rsid w:val="00E8102C"/>
    <w:rsid w:val="00E829E8"/>
    <w:rsid w:val="00E84F1C"/>
    <w:rsid w:val="00E854B0"/>
    <w:rsid w:val="00E86639"/>
    <w:rsid w:val="00E86E72"/>
    <w:rsid w:val="00E87323"/>
    <w:rsid w:val="00E90030"/>
    <w:rsid w:val="00E903D1"/>
    <w:rsid w:val="00E907E5"/>
    <w:rsid w:val="00E90B38"/>
    <w:rsid w:val="00E91BCB"/>
    <w:rsid w:val="00E91E13"/>
    <w:rsid w:val="00E92E5F"/>
    <w:rsid w:val="00E92E79"/>
    <w:rsid w:val="00E93B0D"/>
    <w:rsid w:val="00E93D19"/>
    <w:rsid w:val="00E9465C"/>
    <w:rsid w:val="00E94F21"/>
    <w:rsid w:val="00E95020"/>
    <w:rsid w:val="00E95421"/>
    <w:rsid w:val="00E95948"/>
    <w:rsid w:val="00E964A9"/>
    <w:rsid w:val="00E96A18"/>
    <w:rsid w:val="00E97B87"/>
    <w:rsid w:val="00EA0B37"/>
    <w:rsid w:val="00EA3E30"/>
    <w:rsid w:val="00EA51CB"/>
    <w:rsid w:val="00EA55F9"/>
    <w:rsid w:val="00EA5CD6"/>
    <w:rsid w:val="00EA68AA"/>
    <w:rsid w:val="00EA6C74"/>
    <w:rsid w:val="00EA6D7C"/>
    <w:rsid w:val="00EA797B"/>
    <w:rsid w:val="00EB14B2"/>
    <w:rsid w:val="00EB2D79"/>
    <w:rsid w:val="00EB31A8"/>
    <w:rsid w:val="00EB4759"/>
    <w:rsid w:val="00EB536B"/>
    <w:rsid w:val="00EB65BE"/>
    <w:rsid w:val="00EB7B78"/>
    <w:rsid w:val="00EC027F"/>
    <w:rsid w:val="00EC0450"/>
    <w:rsid w:val="00EC20D1"/>
    <w:rsid w:val="00EC20D8"/>
    <w:rsid w:val="00EC3200"/>
    <w:rsid w:val="00EC49EF"/>
    <w:rsid w:val="00EC4EEC"/>
    <w:rsid w:val="00EC52A5"/>
    <w:rsid w:val="00EC5581"/>
    <w:rsid w:val="00EC5768"/>
    <w:rsid w:val="00EC597E"/>
    <w:rsid w:val="00EC5EA8"/>
    <w:rsid w:val="00EC6D01"/>
    <w:rsid w:val="00ED1CAE"/>
    <w:rsid w:val="00ED2A2A"/>
    <w:rsid w:val="00ED2BF3"/>
    <w:rsid w:val="00ED2F6D"/>
    <w:rsid w:val="00ED31D5"/>
    <w:rsid w:val="00ED348D"/>
    <w:rsid w:val="00ED3F4F"/>
    <w:rsid w:val="00ED4B93"/>
    <w:rsid w:val="00ED53A9"/>
    <w:rsid w:val="00EE0426"/>
    <w:rsid w:val="00EE0E69"/>
    <w:rsid w:val="00EE0E77"/>
    <w:rsid w:val="00EE202F"/>
    <w:rsid w:val="00EE20FF"/>
    <w:rsid w:val="00EE235D"/>
    <w:rsid w:val="00EE36E2"/>
    <w:rsid w:val="00EE404D"/>
    <w:rsid w:val="00EE422B"/>
    <w:rsid w:val="00EE434B"/>
    <w:rsid w:val="00EE4CC8"/>
    <w:rsid w:val="00EE4E05"/>
    <w:rsid w:val="00EE5646"/>
    <w:rsid w:val="00EE5A95"/>
    <w:rsid w:val="00EE6533"/>
    <w:rsid w:val="00EE7E65"/>
    <w:rsid w:val="00EF064A"/>
    <w:rsid w:val="00EF1F6A"/>
    <w:rsid w:val="00EF24BB"/>
    <w:rsid w:val="00EF2908"/>
    <w:rsid w:val="00EF30AD"/>
    <w:rsid w:val="00EF310C"/>
    <w:rsid w:val="00EF41CF"/>
    <w:rsid w:val="00EF588B"/>
    <w:rsid w:val="00EF5C5F"/>
    <w:rsid w:val="00EF5CF3"/>
    <w:rsid w:val="00EF66A4"/>
    <w:rsid w:val="00F01113"/>
    <w:rsid w:val="00F0131B"/>
    <w:rsid w:val="00F02095"/>
    <w:rsid w:val="00F02E3F"/>
    <w:rsid w:val="00F03FE0"/>
    <w:rsid w:val="00F05025"/>
    <w:rsid w:val="00F05663"/>
    <w:rsid w:val="00F06EE1"/>
    <w:rsid w:val="00F07332"/>
    <w:rsid w:val="00F07492"/>
    <w:rsid w:val="00F104BC"/>
    <w:rsid w:val="00F10612"/>
    <w:rsid w:val="00F127DD"/>
    <w:rsid w:val="00F12887"/>
    <w:rsid w:val="00F146C4"/>
    <w:rsid w:val="00F15585"/>
    <w:rsid w:val="00F174B1"/>
    <w:rsid w:val="00F217E6"/>
    <w:rsid w:val="00F21C73"/>
    <w:rsid w:val="00F21D9B"/>
    <w:rsid w:val="00F22F95"/>
    <w:rsid w:val="00F2345A"/>
    <w:rsid w:val="00F23694"/>
    <w:rsid w:val="00F24178"/>
    <w:rsid w:val="00F25889"/>
    <w:rsid w:val="00F26319"/>
    <w:rsid w:val="00F26712"/>
    <w:rsid w:val="00F26E48"/>
    <w:rsid w:val="00F272EB"/>
    <w:rsid w:val="00F27549"/>
    <w:rsid w:val="00F27C30"/>
    <w:rsid w:val="00F3000E"/>
    <w:rsid w:val="00F30336"/>
    <w:rsid w:val="00F30417"/>
    <w:rsid w:val="00F311AF"/>
    <w:rsid w:val="00F31C68"/>
    <w:rsid w:val="00F32E4C"/>
    <w:rsid w:val="00F32F85"/>
    <w:rsid w:val="00F335F8"/>
    <w:rsid w:val="00F3370C"/>
    <w:rsid w:val="00F33936"/>
    <w:rsid w:val="00F36020"/>
    <w:rsid w:val="00F37822"/>
    <w:rsid w:val="00F37DB7"/>
    <w:rsid w:val="00F40374"/>
    <w:rsid w:val="00F4082A"/>
    <w:rsid w:val="00F40D2B"/>
    <w:rsid w:val="00F42112"/>
    <w:rsid w:val="00F428FA"/>
    <w:rsid w:val="00F43A2E"/>
    <w:rsid w:val="00F44840"/>
    <w:rsid w:val="00F44D89"/>
    <w:rsid w:val="00F4549A"/>
    <w:rsid w:val="00F46CA5"/>
    <w:rsid w:val="00F50026"/>
    <w:rsid w:val="00F5059A"/>
    <w:rsid w:val="00F505EE"/>
    <w:rsid w:val="00F5189B"/>
    <w:rsid w:val="00F51EC2"/>
    <w:rsid w:val="00F53129"/>
    <w:rsid w:val="00F53486"/>
    <w:rsid w:val="00F54E83"/>
    <w:rsid w:val="00F54EF6"/>
    <w:rsid w:val="00F55EA5"/>
    <w:rsid w:val="00F56309"/>
    <w:rsid w:val="00F56D00"/>
    <w:rsid w:val="00F5713C"/>
    <w:rsid w:val="00F574AC"/>
    <w:rsid w:val="00F57AE5"/>
    <w:rsid w:val="00F605B5"/>
    <w:rsid w:val="00F626F3"/>
    <w:rsid w:val="00F63B7A"/>
    <w:rsid w:val="00F63D14"/>
    <w:rsid w:val="00F64992"/>
    <w:rsid w:val="00F64FAF"/>
    <w:rsid w:val="00F65D48"/>
    <w:rsid w:val="00F66BD9"/>
    <w:rsid w:val="00F66D33"/>
    <w:rsid w:val="00F70B12"/>
    <w:rsid w:val="00F70C41"/>
    <w:rsid w:val="00F70FCA"/>
    <w:rsid w:val="00F72C49"/>
    <w:rsid w:val="00F74E5E"/>
    <w:rsid w:val="00F75728"/>
    <w:rsid w:val="00F75DA5"/>
    <w:rsid w:val="00F7660E"/>
    <w:rsid w:val="00F76791"/>
    <w:rsid w:val="00F802C9"/>
    <w:rsid w:val="00F81D75"/>
    <w:rsid w:val="00F820A5"/>
    <w:rsid w:val="00F82F02"/>
    <w:rsid w:val="00F833B0"/>
    <w:rsid w:val="00F833FF"/>
    <w:rsid w:val="00F8390E"/>
    <w:rsid w:val="00F83934"/>
    <w:rsid w:val="00F83EDA"/>
    <w:rsid w:val="00F8463E"/>
    <w:rsid w:val="00F8480E"/>
    <w:rsid w:val="00F858DF"/>
    <w:rsid w:val="00F85D73"/>
    <w:rsid w:val="00F87991"/>
    <w:rsid w:val="00F9090E"/>
    <w:rsid w:val="00F9223E"/>
    <w:rsid w:val="00F93FF4"/>
    <w:rsid w:val="00F959B1"/>
    <w:rsid w:val="00F9675D"/>
    <w:rsid w:val="00F97787"/>
    <w:rsid w:val="00FA0E8A"/>
    <w:rsid w:val="00FA1542"/>
    <w:rsid w:val="00FA1C02"/>
    <w:rsid w:val="00FA20A7"/>
    <w:rsid w:val="00FA3BB9"/>
    <w:rsid w:val="00FA3DED"/>
    <w:rsid w:val="00FA41B9"/>
    <w:rsid w:val="00FA444A"/>
    <w:rsid w:val="00FA5AA9"/>
    <w:rsid w:val="00FA6036"/>
    <w:rsid w:val="00FA6393"/>
    <w:rsid w:val="00FA64D9"/>
    <w:rsid w:val="00FA6BE2"/>
    <w:rsid w:val="00FA6DD9"/>
    <w:rsid w:val="00FA7594"/>
    <w:rsid w:val="00FB0334"/>
    <w:rsid w:val="00FB3610"/>
    <w:rsid w:val="00FB468D"/>
    <w:rsid w:val="00FB4F5E"/>
    <w:rsid w:val="00FB51C7"/>
    <w:rsid w:val="00FB5865"/>
    <w:rsid w:val="00FB5C04"/>
    <w:rsid w:val="00FB6DD8"/>
    <w:rsid w:val="00FB729C"/>
    <w:rsid w:val="00FB7F92"/>
    <w:rsid w:val="00FC1759"/>
    <w:rsid w:val="00FC2D18"/>
    <w:rsid w:val="00FC31F6"/>
    <w:rsid w:val="00FC33BB"/>
    <w:rsid w:val="00FC4D68"/>
    <w:rsid w:val="00FC4FC0"/>
    <w:rsid w:val="00FC52E4"/>
    <w:rsid w:val="00FC5BFC"/>
    <w:rsid w:val="00FC66A5"/>
    <w:rsid w:val="00FD0411"/>
    <w:rsid w:val="00FD0C79"/>
    <w:rsid w:val="00FD13C4"/>
    <w:rsid w:val="00FD1EF4"/>
    <w:rsid w:val="00FD27E8"/>
    <w:rsid w:val="00FD3320"/>
    <w:rsid w:val="00FD43EE"/>
    <w:rsid w:val="00FD4BEB"/>
    <w:rsid w:val="00FD4E52"/>
    <w:rsid w:val="00FD57AE"/>
    <w:rsid w:val="00FD57FE"/>
    <w:rsid w:val="00FD5AD9"/>
    <w:rsid w:val="00FD6BDE"/>
    <w:rsid w:val="00FD7834"/>
    <w:rsid w:val="00FE0E1B"/>
    <w:rsid w:val="00FE0F70"/>
    <w:rsid w:val="00FE20C1"/>
    <w:rsid w:val="00FE300F"/>
    <w:rsid w:val="00FE3276"/>
    <w:rsid w:val="00FE3817"/>
    <w:rsid w:val="00FE5299"/>
    <w:rsid w:val="00FE5975"/>
    <w:rsid w:val="00FE5A5E"/>
    <w:rsid w:val="00FE5F8C"/>
    <w:rsid w:val="00FE674D"/>
    <w:rsid w:val="00FE6849"/>
    <w:rsid w:val="00FE7111"/>
    <w:rsid w:val="00FF007D"/>
    <w:rsid w:val="00FF19C0"/>
    <w:rsid w:val="00FF2B81"/>
    <w:rsid w:val="00FF41F0"/>
    <w:rsid w:val="00FF4499"/>
    <w:rsid w:val="00FF557F"/>
    <w:rsid w:val="00FF5796"/>
    <w:rsid w:val="00FF5F43"/>
    <w:rsid w:val="00FF692F"/>
    <w:rsid w:val="00FF6CE6"/>
    <w:rsid w:val="00FF75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0F51048-CAC1-4F7C-B51C-22CC76BBD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4D60"/>
    <w:pPr>
      <w:widowControl w:val="0"/>
      <w:bidi/>
      <w:spacing w:before="120" w:after="120" w:line="360" w:lineRule="auto"/>
      <w:jc w:val="both"/>
    </w:pPr>
    <w:rPr>
      <w:rFonts w:ascii="Times New Roman" w:hAnsi="Times New Roman" w:cs="David"/>
      <w:sz w:val="24"/>
      <w:szCs w:val="24"/>
    </w:rPr>
  </w:style>
  <w:style w:type="paragraph" w:styleId="1">
    <w:name w:val="heading 1"/>
    <w:basedOn w:val="a"/>
    <w:link w:val="10"/>
    <w:qFormat/>
    <w:rsid w:val="00F858DF"/>
    <w:pPr>
      <w:bidi w:val="0"/>
      <w:spacing w:after="0"/>
      <w:outlineLvl w:val="0"/>
    </w:pPr>
    <w:rPr>
      <w:rFonts w:ascii="Arial Black" w:eastAsia="Times New Roman" w:hAnsi="Arial Black"/>
      <w:bCs/>
      <w:kern w:val="36"/>
      <w:sz w:val="28"/>
      <w:szCs w:val="28"/>
    </w:rPr>
  </w:style>
  <w:style w:type="paragraph" w:styleId="2">
    <w:name w:val="heading 2"/>
    <w:basedOn w:val="a"/>
    <w:next w:val="a"/>
    <w:link w:val="20"/>
    <w:uiPriority w:val="9"/>
    <w:unhideWhenUsed/>
    <w:qFormat/>
    <w:rsid w:val="008B63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66A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2735"/>
    <w:pPr>
      <w:ind w:left="720"/>
      <w:contextualSpacing/>
    </w:pPr>
  </w:style>
  <w:style w:type="paragraph" w:customStyle="1" w:styleId="p-article-paragraph-promo">
    <w:name w:val="p-article-paragraph-promo"/>
    <w:basedOn w:val="a"/>
    <w:rsid w:val="00CE23AA"/>
    <w:pPr>
      <w:bidi w:val="0"/>
      <w:spacing w:before="100" w:beforeAutospacing="1" w:after="100" w:afterAutospacing="1" w:line="240" w:lineRule="auto"/>
    </w:pPr>
    <w:rPr>
      <w:rFonts w:eastAsia="Times New Roman" w:cs="Times New Roman"/>
      <w:color w:val="000000"/>
      <w:sz w:val="21"/>
      <w:szCs w:val="21"/>
    </w:rPr>
  </w:style>
  <w:style w:type="paragraph" w:styleId="NormalWeb">
    <w:name w:val="Normal (Web)"/>
    <w:basedOn w:val="a"/>
    <w:uiPriority w:val="99"/>
    <w:unhideWhenUsed/>
    <w:rsid w:val="0054212D"/>
    <w:pPr>
      <w:bidi w:val="0"/>
      <w:spacing w:before="100" w:beforeAutospacing="1" w:after="100" w:afterAutospacing="1" w:line="240" w:lineRule="auto"/>
    </w:pPr>
    <w:rPr>
      <w:rFonts w:eastAsia="Times New Roman" w:cs="Times New Roman"/>
    </w:rPr>
  </w:style>
  <w:style w:type="character" w:styleId="a4">
    <w:name w:val="Strong"/>
    <w:basedOn w:val="a0"/>
    <w:uiPriority w:val="22"/>
    <w:qFormat/>
    <w:rsid w:val="0054212D"/>
    <w:rPr>
      <w:b/>
      <w:bCs/>
    </w:rPr>
  </w:style>
  <w:style w:type="character" w:customStyle="1" w:styleId="apple-style-span">
    <w:name w:val="apple-style-span"/>
    <w:basedOn w:val="a0"/>
    <w:rsid w:val="004337AE"/>
  </w:style>
  <w:style w:type="paragraph" w:styleId="a5">
    <w:name w:val="footnote text"/>
    <w:basedOn w:val="a"/>
    <w:link w:val="a6"/>
    <w:unhideWhenUsed/>
    <w:rsid w:val="004414F9"/>
    <w:pPr>
      <w:spacing w:before="0" w:after="0" w:line="240" w:lineRule="auto"/>
      <w:ind w:left="284" w:hanging="284"/>
    </w:pPr>
    <w:rPr>
      <w:sz w:val="20"/>
      <w:szCs w:val="20"/>
    </w:rPr>
  </w:style>
  <w:style w:type="character" w:customStyle="1" w:styleId="a6">
    <w:name w:val="טקסט הערת שוליים תו"/>
    <w:basedOn w:val="a0"/>
    <w:link w:val="a5"/>
    <w:rsid w:val="004414F9"/>
    <w:rPr>
      <w:rFonts w:cs="David"/>
      <w:sz w:val="20"/>
      <w:szCs w:val="20"/>
    </w:rPr>
  </w:style>
  <w:style w:type="character" w:styleId="a7">
    <w:name w:val="footnote reference"/>
    <w:basedOn w:val="a0"/>
    <w:unhideWhenUsed/>
    <w:rsid w:val="009D1062"/>
    <w:rPr>
      <w:vertAlign w:val="superscript"/>
    </w:rPr>
  </w:style>
  <w:style w:type="paragraph" w:customStyle="1" w:styleId="Default">
    <w:name w:val="Default"/>
    <w:rsid w:val="009D1062"/>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a0"/>
    <w:uiPriority w:val="99"/>
    <w:unhideWhenUsed/>
    <w:rsid w:val="009D1062"/>
    <w:rPr>
      <w:color w:val="0000FF" w:themeColor="hyperlink"/>
      <w:u w:val="single"/>
    </w:rPr>
  </w:style>
  <w:style w:type="character" w:styleId="FollowedHyperlink">
    <w:name w:val="FollowedHyperlink"/>
    <w:basedOn w:val="a0"/>
    <w:uiPriority w:val="99"/>
    <w:semiHidden/>
    <w:unhideWhenUsed/>
    <w:rsid w:val="004E62E6"/>
    <w:rPr>
      <w:color w:val="800080" w:themeColor="followedHyperlink"/>
      <w:u w:val="single"/>
    </w:rPr>
  </w:style>
  <w:style w:type="character" w:styleId="HTMLCite">
    <w:name w:val="HTML Cite"/>
    <w:basedOn w:val="a0"/>
    <w:uiPriority w:val="99"/>
    <w:semiHidden/>
    <w:unhideWhenUsed/>
    <w:rsid w:val="00B31B30"/>
    <w:rPr>
      <w:i w:val="0"/>
      <w:iCs w:val="0"/>
      <w:color w:val="006621"/>
    </w:rPr>
  </w:style>
  <w:style w:type="character" w:styleId="a8">
    <w:name w:val="Emphasis"/>
    <w:basedOn w:val="a0"/>
    <w:uiPriority w:val="20"/>
    <w:qFormat/>
    <w:rsid w:val="002A3E5E"/>
    <w:rPr>
      <w:i/>
      <w:iCs/>
    </w:rPr>
  </w:style>
  <w:style w:type="character" w:customStyle="1" w:styleId="A11">
    <w:name w:val="A11"/>
    <w:uiPriority w:val="99"/>
    <w:rsid w:val="00FE20C1"/>
    <w:rPr>
      <w:rFonts w:ascii="Halis R" w:hAnsi="Halis R" w:cs="Halis R"/>
      <w:b/>
      <w:bCs/>
      <w:color w:val="000000"/>
      <w:sz w:val="12"/>
      <w:szCs w:val="12"/>
    </w:rPr>
  </w:style>
  <w:style w:type="paragraph" w:customStyle="1" w:styleId="center">
    <w:name w:val="center"/>
    <w:basedOn w:val="a"/>
    <w:rsid w:val="00537E88"/>
    <w:pPr>
      <w:bidi w:val="0"/>
      <w:spacing w:before="100" w:beforeAutospacing="1" w:after="100" w:afterAutospacing="1" w:line="240" w:lineRule="auto"/>
      <w:jc w:val="center"/>
    </w:pPr>
    <w:rPr>
      <w:rFonts w:ascii="Arial" w:eastAsia="Times New Roman" w:hAnsi="Arial" w:cs="Arial"/>
      <w:color w:val="000000"/>
      <w:sz w:val="21"/>
      <w:szCs w:val="21"/>
    </w:rPr>
  </w:style>
  <w:style w:type="character" w:customStyle="1" w:styleId="10">
    <w:name w:val="כותרת 1 תו"/>
    <w:basedOn w:val="a0"/>
    <w:link w:val="1"/>
    <w:rsid w:val="00F858DF"/>
    <w:rPr>
      <w:rFonts w:ascii="Arial Black" w:eastAsia="Times New Roman" w:hAnsi="Arial Black" w:cs="David"/>
      <w:bCs/>
      <w:kern w:val="36"/>
      <w:sz w:val="28"/>
      <w:szCs w:val="28"/>
    </w:rPr>
  </w:style>
  <w:style w:type="character" w:customStyle="1" w:styleId="30">
    <w:name w:val="כותרת 3 תו"/>
    <w:basedOn w:val="a0"/>
    <w:link w:val="3"/>
    <w:uiPriority w:val="9"/>
    <w:semiHidden/>
    <w:rsid w:val="00266A07"/>
    <w:rPr>
      <w:rFonts w:asciiTheme="majorHAnsi" w:eastAsiaTheme="majorEastAsia" w:hAnsiTheme="majorHAnsi" w:cstheme="majorBidi"/>
      <w:b/>
      <w:bCs/>
      <w:color w:val="4F81BD" w:themeColor="accent1"/>
    </w:rPr>
  </w:style>
  <w:style w:type="paragraph" w:customStyle="1" w:styleId="a9">
    <w:name w:val="פסקה רג"/>
    <w:basedOn w:val="a"/>
    <w:link w:val="aa"/>
    <w:rsid w:val="00266A07"/>
    <w:pPr>
      <w:spacing w:line="336" w:lineRule="auto"/>
    </w:pPr>
    <w:rPr>
      <w:rFonts w:eastAsia="Times New Roman"/>
    </w:rPr>
  </w:style>
  <w:style w:type="paragraph" w:styleId="ab">
    <w:name w:val="header"/>
    <w:basedOn w:val="a"/>
    <w:link w:val="ac"/>
    <w:rsid w:val="00266A07"/>
    <w:pPr>
      <w:tabs>
        <w:tab w:val="center" w:pos="4153"/>
        <w:tab w:val="right" w:pos="8306"/>
      </w:tabs>
      <w:spacing w:line="336" w:lineRule="auto"/>
    </w:pPr>
    <w:rPr>
      <w:rFonts w:eastAsia="Times New Roman" w:cs="Times New Roman"/>
      <w:lang w:val="x-none" w:eastAsia="he-IL"/>
    </w:rPr>
  </w:style>
  <w:style w:type="character" w:customStyle="1" w:styleId="ac">
    <w:name w:val="כותרת עליונה תו"/>
    <w:basedOn w:val="a0"/>
    <w:link w:val="ab"/>
    <w:rsid w:val="00266A07"/>
    <w:rPr>
      <w:rFonts w:ascii="Times New Roman" w:eastAsia="Times New Roman" w:hAnsi="Times New Roman" w:cs="Times New Roman"/>
      <w:sz w:val="24"/>
      <w:szCs w:val="24"/>
      <w:lang w:val="x-none" w:eastAsia="he-IL"/>
    </w:rPr>
  </w:style>
  <w:style w:type="paragraph" w:customStyle="1" w:styleId="ad">
    <w:name w:val="כות_ללא מספור"/>
    <w:basedOn w:val="a"/>
    <w:rsid w:val="00266A07"/>
    <w:pPr>
      <w:spacing w:before="240"/>
    </w:pPr>
    <w:rPr>
      <w:rFonts w:eastAsia="Times New Roman"/>
      <w:b/>
      <w:bCs/>
      <w:sz w:val="28"/>
      <w:szCs w:val="28"/>
      <w:lang w:eastAsia="he-IL"/>
    </w:rPr>
  </w:style>
  <w:style w:type="character" w:customStyle="1" w:styleId="aa">
    <w:name w:val="פסקה רג תו"/>
    <w:link w:val="a9"/>
    <w:rsid w:val="00266A07"/>
    <w:rPr>
      <w:rFonts w:ascii="Times New Roman" w:eastAsia="Times New Roman" w:hAnsi="Times New Roman" w:cs="David"/>
      <w:szCs w:val="24"/>
    </w:rPr>
  </w:style>
  <w:style w:type="paragraph" w:styleId="ae">
    <w:name w:val="footer"/>
    <w:basedOn w:val="a"/>
    <w:link w:val="af"/>
    <w:uiPriority w:val="99"/>
    <w:unhideWhenUsed/>
    <w:rsid w:val="00910ECD"/>
    <w:pPr>
      <w:tabs>
        <w:tab w:val="center" w:pos="4153"/>
        <w:tab w:val="right" w:pos="8306"/>
      </w:tabs>
      <w:spacing w:after="0" w:line="240" w:lineRule="auto"/>
    </w:pPr>
  </w:style>
  <w:style w:type="character" w:customStyle="1" w:styleId="af">
    <w:name w:val="כותרת תחתונה תו"/>
    <w:basedOn w:val="a0"/>
    <w:link w:val="ae"/>
    <w:uiPriority w:val="99"/>
    <w:rsid w:val="00910ECD"/>
  </w:style>
  <w:style w:type="paragraph" w:styleId="af0">
    <w:name w:val="Balloon Text"/>
    <w:basedOn w:val="a"/>
    <w:link w:val="af1"/>
    <w:uiPriority w:val="99"/>
    <w:semiHidden/>
    <w:unhideWhenUsed/>
    <w:rsid w:val="00910ECD"/>
    <w:pPr>
      <w:spacing w:after="0" w:line="240" w:lineRule="auto"/>
    </w:pPr>
    <w:rPr>
      <w:rFonts w:ascii="Tahoma" w:hAnsi="Tahoma" w:cs="Tahoma"/>
      <w:sz w:val="16"/>
      <w:szCs w:val="16"/>
    </w:rPr>
  </w:style>
  <w:style w:type="character" w:customStyle="1" w:styleId="af1">
    <w:name w:val="טקסט בלונים תו"/>
    <w:basedOn w:val="a0"/>
    <w:link w:val="af0"/>
    <w:uiPriority w:val="99"/>
    <w:semiHidden/>
    <w:rsid w:val="00910ECD"/>
    <w:rPr>
      <w:rFonts w:ascii="Tahoma" w:hAnsi="Tahoma" w:cs="Tahoma"/>
      <w:sz w:val="16"/>
      <w:szCs w:val="16"/>
    </w:rPr>
  </w:style>
  <w:style w:type="character" w:customStyle="1" w:styleId="20">
    <w:name w:val="כותרת 2 תו"/>
    <w:basedOn w:val="a0"/>
    <w:link w:val="2"/>
    <w:uiPriority w:val="9"/>
    <w:rsid w:val="008B63A4"/>
    <w:rPr>
      <w:rFonts w:asciiTheme="majorHAnsi" w:eastAsiaTheme="majorEastAsia" w:hAnsiTheme="majorHAnsi" w:cstheme="majorBidi"/>
      <w:b/>
      <w:bCs/>
      <w:color w:val="4F81BD" w:themeColor="accent1"/>
      <w:sz w:val="26"/>
      <w:szCs w:val="26"/>
    </w:rPr>
  </w:style>
  <w:style w:type="character" w:styleId="af2">
    <w:name w:val="annotation reference"/>
    <w:basedOn w:val="a0"/>
    <w:uiPriority w:val="99"/>
    <w:semiHidden/>
    <w:unhideWhenUsed/>
    <w:rsid w:val="0048404C"/>
    <w:rPr>
      <w:sz w:val="16"/>
      <w:szCs w:val="16"/>
    </w:rPr>
  </w:style>
  <w:style w:type="paragraph" w:styleId="af3">
    <w:name w:val="annotation text"/>
    <w:basedOn w:val="a"/>
    <w:link w:val="af4"/>
    <w:uiPriority w:val="99"/>
    <w:semiHidden/>
    <w:unhideWhenUsed/>
    <w:rsid w:val="0048404C"/>
    <w:pPr>
      <w:spacing w:line="240" w:lineRule="auto"/>
    </w:pPr>
    <w:rPr>
      <w:sz w:val="20"/>
      <w:szCs w:val="20"/>
    </w:rPr>
  </w:style>
  <w:style w:type="character" w:customStyle="1" w:styleId="af4">
    <w:name w:val="טקסט הערה תו"/>
    <w:basedOn w:val="a0"/>
    <w:link w:val="af3"/>
    <w:uiPriority w:val="99"/>
    <w:semiHidden/>
    <w:rsid w:val="0048404C"/>
    <w:rPr>
      <w:sz w:val="20"/>
      <w:szCs w:val="20"/>
    </w:rPr>
  </w:style>
  <w:style w:type="paragraph" w:styleId="af5">
    <w:name w:val="annotation subject"/>
    <w:basedOn w:val="af3"/>
    <w:next w:val="af3"/>
    <w:link w:val="af6"/>
    <w:uiPriority w:val="99"/>
    <w:semiHidden/>
    <w:unhideWhenUsed/>
    <w:rsid w:val="0048404C"/>
    <w:rPr>
      <w:b/>
      <w:bCs/>
    </w:rPr>
  </w:style>
  <w:style w:type="character" w:customStyle="1" w:styleId="af6">
    <w:name w:val="נושא הערה תו"/>
    <w:basedOn w:val="af4"/>
    <w:link w:val="af5"/>
    <w:uiPriority w:val="99"/>
    <w:semiHidden/>
    <w:rsid w:val="0048404C"/>
    <w:rPr>
      <w:b/>
      <w:bCs/>
      <w:sz w:val="20"/>
      <w:szCs w:val="20"/>
    </w:rPr>
  </w:style>
  <w:style w:type="paragraph" w:customStyle="1" w:styleId="11">
    <w:name w:val="כות_1.1"/>
    <w:basedOn w:val="a"/>
    <w:rsid w:val="00B96F57"/>
    <w:pPr>
      <w:spacing w:before="240"/>
      <w:ind w:right="14"/>
    </w:pPr>
    <w:rPr>
      <w:rFonts w:eastAsia="Times New Roman"/>
      <w:b/>
      <w:bCs/>
      <w:sz w:val="28"/>
      <w:szCs w:val="28"/>
      <w:lang w:eastAsia="he-IL"/>
    </w:rPr>
  </w:style>
  <w:style w:type="paragraph" w:customStyle="1" w:styleId="rteindent1">
    <w:name w:val="rteindent1"/>
    <w:basedOn w:val="a"/>
    <w:rsid w:val="005A1481"/>
    <w:pPr>
      <w:widowControl/>
      <w:bidi w:val="0"/>
      <w:spacing w:before="100" w:beforeAutospacing="1" w:after="100" w:afterAutospacing="1" w:line="240" w:lineRule="auto"/>
      <w:jc w:val="left"/>
    </w:pPr>
    <w:rPr>
      <w:rFonts w:eastAsia="Times New Roman" w:cs="Times New Roman"/>
    </w:rPr>
  </w:style>
  <w:style w:type="character" w:customStyle="1" w:styleId="apple-converted-space">
    <w:name w:val="apple-converted-space"/>
    <w:basedOn w:val="a0"/>
    <w:rsid w:val="0008491F"/>
  </w:style>
  <w:style w:type="paragraph" w:customStyle="1" w:styleId="dropcap">
    <w:name w:val="dropcap"/>
    <w:basedOn w:val="a"/>
    <w:rsid w:val="00DA774D"/>
    <w:pPr>
      <w:widowControl/>
      <w:bidi w:val="0"/>
      <w:spacing w:before="100" w:beforeAutospacing="1" w:after="100" w:afterAutospacing="1" w:line="240" w:lineRule="auto"/>
      <w:jc w:val="left"/>
    </w:pPr>
    <w:rPr>
      <w:rFonts w:eastAsia="Times New Roman" w:cs="Times New Roman"/>
    </w:rPr>
  </w:style>
  <w:style w:type="paragraph" w:customStyle="1" w:styleId="p00">
    <w:name w:val="p00"/>
    <w:basedOn w:val="a"/>
    <w:rsid w:val="002906EA"/>
    <w:pPr>
      <w:widowControl/>
      <w:bidi w:val="0"/>
      <w:spacing w:before="100" w:beforeAutospacing="1" w:after="100" w:afterAutospacing="1" w:line="240" w:lineRule="auto"/>
      <w:jc w:val="left"/>
    </w:pPr>
    <w:rPr>
      <w:rFonts w:eastAsia="Times New Roman" w:cs="Times New Roman"/>
    </w:rPr>
  </w:style>
  <w:style w:type="table" w:styleId="af7">
    <w:name w:val="Table Grid"/>
    <w:basedOn w:val="a1"/>
    <w:uiPriority w:val="59"/>
    <w:rsid w:val="00865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semiHidden/>
    <w:rsid w:val="00BE1F0B"/>
    <w:pPr>
      <w:widowControl/>
      <w:spacing w:before="0" w:after="0" w:line="240" w:lineRule="auto"/>
      <w:jc w:val="left"/>
    </w:pPr>
    <w:rPr>
      <w:rFonts w:eastAsia="Times New Roman" w:cs="Levenim MT"/>
      <w:b/>
      <w:bCs/>
      <w:sz w:val="20"/>
      <w:szCs w:val="20"/>
    </w:rPr>
  </w:style>
  <w:style w:type="character" w:customStyle="1" w:styleId="af9">
    <w:name w:val="גוף טקסט תו"/>
    <w:basedOn w:val="a0"/>
    <w:link w:val="af8"/>
    <w:semiHidden/>
    <w:rsid w:val="00BE1F0B"/>
    <w:rPr>
      <w:rFonts w:ascii="Times New Roman" w:eastAsia="Times New Roman" w:hAnsi="Times New Roman" w:cs="Levenim MT"/>
      <w:b/>
      <w:bCs/>
      <w:sz w:val="20"/>
      <w:szCs w:val="20"/>
    </w:rPr>
  </w:style>
  <w:style w:type="paragraph" w:customStyle="1" w:styleId="ruller4">
    <w:name w:val="ruller4"/>
    <w:basedOn w:val="a"/>
    <w:rsid w:val="004B7D5F"/>
    <w:pPr>
      <w:widowControl/>
      <w:bidi w:val="0"/>
      <w:spacing w:before="100" w:beforeAutospacing="1" w:after="100" w:afterAutospacing="1" w:line="240" w:lineRule="auto"/>
      <w:jc w:val="left"/>
    </w:pPr>
    <w:rPr>
      <w:rFonts w:eastAsia="Times New Roman" w:cs="Times New Roman"/>
    </w:rPr>
  </w:style>
  <w:style w:type="paragraph" w:customStyle="1" w:styleId="p22">
    <w:name w:val="p22"/>
    <w:basedOn w:val="a"/>
    <w:rsid w:val="004D515C"/>
    <w:pPr>
      <w:widowControl/>
      <w:bidi w:val="0"/>
      <w:spacing w:before="100" w:beforeAutospacing="1" w:after="100" w:afterAutospacing="1" w:line="240" w:lineRule="auto"/>
      <w:jc w:val="left"/>
    </w:pPr>
    <w:rPr>
      <w:rFonts w:eastAsia="Times New Roman" w:cs="Times New Roman"/>
    </w:rPr>
  </w:style>
  <w:style w:type="character" w:customStyle="1" w:styleId="default0">
    <w:name w:val="default"/>
    <w:basedOn w:val="a0"/>
    <w:rsid w:val="004D515C"/>
  </w:style>
  <w:style w:type="paragraph" w:styleId="afa">
    <w:name w:val="Quote"/>
    <w:basedOn w:val="a"/>
    <w:link w:val="afb"/>
    <w:autoRedefine/>
    <w:qFormat/>
    <w:rsid w:val="00647829"/>
    <w:pPr>
      <w:widowControl/>
      <w:spacing w:after="0"/>
      <w:ind w:left="720"/>
      <w:outlineLvl w:val="0"/>
    </w:pPr>
    <w:rPr>
      <w:rFonts w:ascii="Narkisim" w:eastAsia="Times New Roman" w:hAnsi="Narkisim" w:cs="Monotype Hadassah"/>
      <w:snapToGrid w:val="0"/>
      <w:sz w:val="17"/>
      <w:szCs w:val="17"/>
      <w:lang w:val="sq-AL" w:eastAsia="sq-AL"/>
    </w:rPr>
  </w:style>
  <w:style w:type="character" w:customStyle="1" w:styleId="afb">
    <w:name w:val="ציטוט תו"/>
    <w:basedOn w:val="a0"/>
    <w:link w:val="afa"/>
    <w:rsid w:val="00647829"/>
    <w:rPr>
      <w:rFonts w:ascii="Narkisim" w:eastAsia="Times New Roman" w:hAnsi="Narkisim" w:cs="Monotype Hadassah"/>
      <w:snapToGrid w:val="0"/>
      <w:sz w:val="17"/>
      <w:szCs w:val="17"/>
      <w:lang w:val="sq-AL" w:eastAsia="sq-AL"/>
    </w:rPr>
  </w:style>
  <w:style w:type="paragraph" w:customStyle="1" w:styleId="p11">
    <w:name w:val="p11"/>
    <w:basedOn w:val="a"/>
    <w:rsid w:val="00173537"/>
    <w:pPr>
      <w:widowControl/>
      <w:bidi w:val="0"/>
      <w:spacing w:before="100" w:beforeAutospacing="1" w:after="100" w:afterAutospacing="1" w:line="240" w:lineRule="auto"/>
      <w:jc w:val="left"/>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936450">
      <w:bodyDiv w:val="1"/>
      <w:marLeft w:val="0"/>
      <w:marRight w:val="0"/>
      <w:marTop w:val="0"/>
      <w:marBottom w:val="0"/>
      <w:divBdr>
        <w:top w:val="none" w:sz="0" w:space="0" w:color="auto"/>
        <w:left w:val="none" w:sz="0" w:space="0" w:color="auto"/>
        <w:bottom w:val="none" w:sz="0" w:space="0" w:color="auto"/>
        <w:right w:val="none" w:sz="0" w:space="0" w:color="auto"/>
      </w:divBdr>
    </w:div>
    <w:div w:id="162211454">
      <w:bodyDiv w:val="1"/>
      <w:marLeft w:val="0"/>
      <w:marRight w:val="0"/>
      <w:marTop w:val="0"/>
      <w:marBottom w:val="0"/>
      <w:divBdr>
        <w:top w:val="none" w:sz="0" w:space="0" w:color="auto"/>
        <w:left w:val="none" w:sz="0" w:space="0" w:color="auto"/>
        <w:bottom w:val="none" w:sz="0" w:space="0" w:color="auto"/>
        <w:right w:val="none" w:sz="0" w:space="0" w:color="auto"/>
      </w:divBdr>
      <w:divsChild>
        <w:div w:id="1258712749">
          <w:marLeft w:val="0"/>
          <w:marRight w:val="0"/>
          <w:marTop w:val="0"/>
          <w:marBottom w:val="0"/>
          <w:divBdr>
            <w:top w:val="none" w:sz="0" w:space="0" w:color="auto"/>
            <w:left w:val="none" w:sz="0" w:space="0" w:color="auto"/>
            <w:bottom w:val="none" w:sz="0" w:space="0" w:color="auto"/>
            <w:right w:val="none" w:sz="0" w:space="0" w:color="auto"/>
          </w:divBdr>
          <w:divsChild>
            <w:div w:id="1518693158">
              <w:marLeft w:val="0"/>
              <w:marRight w:val="0"/>
              <w:marTop w:val="0"/>
              <w:marBottom w:val="0"/>
              <w:divBdr>
                <w:top w:val="none" w:sz="0" w:space="0" w:color="auto"/>
                <w:left w:val="none" w:sz="0" w:space="0" w:color="auto"/>
                <w:bottom w:val="none" w:sz="0" w:space="0" w:color="auto"/>
                <w:right w:val="none" w:sz="0" w:space="0" w:color="auto"/>
              </w:divBdr>
              <w:divsChild>
                <w:div w:id="739598999">
                  <w:marLeft w:val="0"/>
                  <w:marRight w:val="0"/>
                  <w:marTop w:val="0"/>
                  <w:marBottom w:val="0"/>
                  <w:divBdr>
                    <w:top w:val="none" w:sz="0" w:space="0" w:color="auto"/>
                    <w:left w:val="none" w:sz="0" w:space="0" w:color="auto"/>
                    <w:bottom w:val="none" w:sz="0" w:space="0" w:color="auto"/>
                    <w:right w:val="none" w:sz="0" w:space="0" w:color="auto"/>
                  </w:divBdr>
                  <w:divsChild>
                    <w:div w:id="1902521949">
                      <w:marLeft w:val="0"/>
                      <w:marRight w:val="0"/>
                      <w:marTop w:val="0"/>
                      <w:marBottom w:val="300"/>
                      <w:divBdr>
                        <w:top w:val="none" w:sz="0" w:space="0" w:color="auto"/>
                        <w:left w:val="none" w:sz="0" w:space="0" w:color="auto"/>
                        <w:bottom w:val="none" w:sz="0" w:space="0" w:color="auto"/>
                        <w:right w:val="none" w:sz="0" w:space="0" w:color="auto"/>
                      </w:divBdr>
                      <w:divsChild>
                        <w:div w:id="709323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0729314">
      <w:bodyDiv w:val="1"/>
      <w:marLeft w:val="0"/>
      <w:marRight w:val="0"/>
      <w:marTop w:val="0"/>
      <w:marBottom w:val="0"/>
      <w:divBdr>
        <w:top w:val="none" w:sz="0" w:space="0" w:color="auto"/>
        <w:left w:val="none" w:sz="0" w:space="0" w:color="auto"/>
        <w:bottom w:val="none" w:sz="0" w:space="0" w:color="auto"/>
        <w:right w:val="none" w:sz="0" w:space="0" w:color="auto"/>
      </w:divBdr>
      <w:divsChild>
        <w:div w:id="480662334">
          <w:marLeft w:val="0"/>
          <w:marRight w:val="0"/>
          <w:marTop w:val="0"/>
          <w:marBottom w:val="0"/>
          <w:divBdr>
            <w:top w:val="none" w:sz="0" w:space="0" w:color="auto"/>
            <w:left w:val="none" w:sz="0" w:space="0" w:color="auto"/>
            <w:bottom w:val="none" w:sz="0" w:space="0" w:color="auto"/>
            <w:right w:val="none" w:sz="0" w:space="0" w:color="auto"/>
          </w:divBdr>
          <w:divsChild>
            <w:div w:id="1543709566">
              <w:marLeft w:val="0"/>
              <w:marRight w:val="0"/>
              <w:marTop w:val="0"/>
              <w:marBottom w:val="0"/>
              <w:divBdr>
                <w:top w:val="none" w:sz="0" w:space="0" w:color="auto"/>
                <w:left w:val="none" w:sz="0" w:space="0" w:color="auto"/>
                <w:bottom w:val="none" w:sz="0" w:space="0" w:color="auto"/>
                <w:right w:val="none" w:sz="0" w:space="0" w:color="auto"/>
              </w:divBdr>
              <w:divsChild>
                <w:div w:id="7485393">
                  <w:marLeft w:val="0"/>
                  <w:marRight w:val="0"/>
                  <w:marTop w:val="0"/>
                  <w:marBottom w:val="0"/>
                  <w:divBdr>
                    <w:top w:val="none" w:sz="0" w:space="0" w:color="auto"/>
                    <w:left w:val="none" w:sz="0" w:space="0" w:color="auto"/>
                    <w:bottom w:val="none" w:sz="0" w:space="0" w:color="auto"/>
                    <w:right w:val="none" w:sz="0" w:space="0" w:color="auto"/>
                  </w:divBdr>
                  <w:divsChild>
                    <w:div w:id="690299666">
                      <w:marLeft w:val="0"/>
                      <w:marRight w:val="0"/>
                      <w:marTop w:val="0"/>
                      <w:marBottom w:val="0"/>
                      <w:divBdr>
                        <w:top w:val="none" w:sz="0" w:space="0" w:color="auto"/>
                        <w:left w:val="none" w:sz="0" w:space="0" w:color="auto"/>
                        <w:bottom w:val="none" w:sz="0" w:space="0" w:color="auto"/>
                        <w:right w:val="none" w:sz="0" w:space="0" w:color="auto"/>
                      </w:divBdr>
                      <w:divsChild>
                        <w:div w:id="1138382114">
                          <w:marLeft w:val="0"/>
                          <w:marRight w:val="0"/>
                          <w:marTop w:val="0"/>
                          <w:marBottom w:val="0"/>
                          <w:divBdr>
                            <w:top w:val="none" w:sz="0" w:space="0" w:color="auto"/>
                            <w:left w:val="none" w:sz="0" w:space="0" w:color="auto"/>
                            <w:bottom w:val="none" w:sz="0" w:space="0" w:color="auto"/>
                            <w:right w:val="none" w:sz="0" w:space="0" w:color="auto"/>
                          </w:divBdr>
                          <w:divsChild>
                            <w:div w:id="47842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380472">
      <w:bodyDiv w:val="1"/>
      <w:marLeft w:val="0"/>
      <w:marRight w:val="0"/>
      <w:marTop w:val="0"/>
      <w:marBottom w:val="0"/>
      <w:divBdr>
        <w:top w:val="none" w:sz="0" w:space="0" w:color="auto"/>
        <w:left w:val="none" w:sz="0" w:space="0" w:color="auto"/>
        <w:bottom w:val="none" w:sz="0" w:space="0" w:color="auto"/>
        <w:right w:val="none" w:sz="0" w:space="0" w:color="auto"/>
      </w:divBdr>
      <w:divsChild>
        <w:div w:id="956915592">
          <w:marLeft w:val="0"/>
          <w:marRight w:val="0"/>
          <w:marTop w:val="0"/>
          <w:marBottom w:val="0"/>
          <w:divBdr>
            <w:top w:val="single" w:sz="8" w:space="1" w:color="auto"/>
            <w:left w:val="none" w:sz="0" w:space="0" w:color="auto"/>
            <w:bottom w:val="none" w:sz="0" w:space="0" w:color="auto"/>
            <w:right w:val="none" w:sz="0" w:space="0" w:color="auto"/>
          </w:divBdr>
        </w:div>
        <w:div w:id="304546640">
          <w:marLeft w:val="0"/>
          <w:marRight w:val="0"/>
          <w:marTop w:val="0"/>
          <w:marBottom w:val="0"/>
          <w:divBdr>
            <w:top w:val="none" w:sz="0" w:space="0" w:color="auto"/>
            <w:left w:val="none" w:sz="0" w:space="0" w:color="auto"/>
            <w:bottom w:val="single" w:sz="8" w:space="1" w:color="auto"/>
            <w:right w:val="none" w:sz="0" w:space="0" w:color="auto"/>
          </w:divBdr>
        </w:div>
      </w:divsChild>
    </w:div>
    <w:div w:id="283735734">
      <w:bodyDiv w:val="1"/>
      <w:marLeft w:val="0"/>
      <w:marRight w:val="0"/>
      <w:marTop w:val="0"/>
      <w:marBottom w:val="0"/>
      <w:divBdr>
        <w:top w:val="none" w:sz="0" w:space="0" w:color="auto"/>
        <w:left w:val="none" w:sz="0" w:space="0" w:color="auto"/>
        <w:bottom w:val="none" w:sz="0" w:space="0" w:color="auto"/>
        <w:right w:val="none" w:sz="0" w:space="0" w:color="auto"/>
      </w:divBdr>
      <w:divsChild>
        <w:div w:id="1464958528">
          <w:marLeft w:val="0"/>
          <w:marRight w:val="0"/>
          <w:marTop w:val="0"/>
          <w:marBottom w:val="0"/>
          <w:divBdr>
            <w:top w:val="none" w:sz="0" w:space="0" w:color="auto"/>
            <w:left w:val="none" w:sz="0" w:space="0" w:color="auto"/>
            <w:bottom w:val="none" w:sz="0" w:space="0" w:color="auto"/>
            <w:right w:val="none" w:sz="0" w:space="0" w:color="auto"/>
          </w:divBdr>
        </w:div>
      </w:divsChild>
    </w:div>
    <w:div w:id="306470589">
      <w:bodyDiv w:val="1"/>
      <w:marLeft w:val="0"/>
      <w:marRight w:val="0"/>
      <w:marTop w:val="0"/>
      <w:marBottom w:val="0"/>
      <w:divBdr>
        <w:top w:val="none" w:sz="0" w:space="0" w:color="auto"/>
        <w:left w:val="none" w:sz="0" w:space="0" w:color="auto"/>
        <w:bottom w:val="none" w:sz="0" w:space="0" w:color="auto"/>
        <w:right w:val="none" w:sz="0" w:space="0" w:color="auto"/>
      </w:divBdr>
    </w:div>
    <w:div w:id="322204788">
      <w:bodyDiv w:val="1"/>
      <w:marLeft w:val="0"/>
      <w:marRight w:val="0"/>
      <w:marTop w:val="0"/>
      <w:marBottom w:val="0"/>
      <w:divBdr>
        <w:top w:val="none" w:sz="0" w:space="0" w:color="auto"/>
        <w:left w:val="none" w:sz="0" w:space="0" w:color="auto"/>
        <w:bottom w:val="none" w:sz="0" w:space="0" w:color="auto"/>
        <w:right w:val="none" w:sz="0" w:space="0" w:color="auto"/>
      </w:divBdr>
    </w:div>
    <w:div w:id="357239983">
      <w:bodyDiv w:val="1"/>
      <w:marLeft w:val="0"/>
      <w:marRight w:val="0"/>
      <w:marTop w:val="0"/>
      <w:marBottom w:val="0"/>
      <w:divBdr>
        <w:top w:val="none" w:sz="0" w:space="0" w:color="auto"/>
        <w:left w:val="none" w:sz="0" w:space="0" w:color="auto"/>
        <w:bottom w:val="none" w:sz="0" w:space="0" w:color="auto"/>
        <w:right w:val="none" w:sz="0" w:space="0" w:color="auto"/>
      </w:divBdr>
      <w:divsChild>
        <w:div w:id="993223794">
          <w:marLeft w:val="0"/>
          <w:marRight w:val="0"/>
          <w:marTop w:val="0"/>
          <w:marBottom w:val="0"/>
          <w:divBdr>
            <w:top w:val="none" w:sz="0" w:space="0" w:color="auto"/>
            <w:left w:val="none" w:sz="0" w:space="0" w:color="auto"/>
            <w:bottom w:val="none" w:sz="0" w:space="0" w:color="auto"/>
            <w:right w:val="none" w:sz="0" w:space="0" w:color="auto"/>
          </w:divBdr>
          <w:divsChild>
            <w:div w:id="1589073707">
              <w:marLeft w:val="0"/>
              <w:marRight w:val="0"/>
              <w:marTop w:val="0"/>
              <w:marBottom w:val="0"/>
              <w:divBdr>
                <w:top w:val="none" w:sz="0" w:space="0" w:color="auto"/>
                <w:left w:val="none" w:sz="0" w:space="0" w:color="auto"/>
                <w:bottom w:val="none" w:sz="0" w:space="0" w:color="auto"/>
                <w:right w:val="none" w:sz="0" w:space="0" w:color="auto"/>
              </w:divBdr>
              <w:divsChild>
                <w:div w:id="1486094342">
                  <w:marLeft w:val="0"/>
                  <w:marRight w:val="0"/>
                  <w:marTop w:val="300"/>
                  <w:marBottom w:val="375"/>
                  <w:divBdr>
                    <w:top w:val="none" w:sz="0" w:space="0" w:color="auto"/>
                    <w:left w:val="none" w:sz="0" w:space="0" w:color="auto"/>
                    <w:bottom w:val="none" w:sz="0" w:space="0" w:color="auto"/>
                    <w:right w:val="none" w:sz="0" w:space="0" w:color="auto"/>
                  </w:divBdr>
                  <w:divsChild>
                    <w:div w:id="2054844990">
                      <w:marLeft w:val="0"/>
                      <w:marRight w:val="0"/>
                      <w:marTop w:val="0"/>
                      <w:marBottom w:val="0"/>
                      <w:divBdr>
                        <w:top w:val="none" w:sz="0" w:space="0" w:color="auto"/>
                        <w:left w:val="none" w:sz="0" w:space="0" w:color="auto"/>
                        <w:bottom w:val="none" w:sz="0" w:space="0" w:color="auto"/>
                        <w:right w:val="none" w:sz="0" w:space="0" w:color="auto"/>
                      </w:divBdr>
                      <w:divsChild>
                        <w:div w:id="2063870905">
                          <w:marLeft w:val="0"/>
                          <w:marRight w:val="0"/>
                          <w:marTop w:val="0"/>
                          <w:marBottom w:val="0"/>
                          <w:divBdr>
                            <w:top w:val="none" w:sz="0" w:space="0" w:color="auto"/>
                            <w:left w:val="none" w:sz="0" w:space="0" w:color="auto"/>
                            <w:bottom w:val="none" w:sz="0" w:space="0" w:color="auto"/>
                            <w:right w:val="none" w:sz="0" w:space="0" w:color="auto"/>
                          </w:divBdr>
                          <w:divsChild>
                            <w:div w:id="123693790">
                              <w:marLeft w:val="0"/>
                              <w:marRight w:val="0"/>
                              <w:marTop w:val="0"/>
                              <w:marBottom w:val="0"/>
                              <w:divBdr>
                                <w:top w:val="none" w:sz="0" w:space="0" w:color="auto"/>
                                <w:left w:val="none" w:sz="0" w:space="0" w:color="auto"/>
                                <w:bottom w:val="none" w:sz="0" w:space="0" w:color="auto"/>
                                <w:right w:val="none" w:sz="0" w:space="0" w:color="auto"/>
                              </w:divBdr>
                              <w:divsChild>
                                <w:div w:id="7865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841525">
      <w:bodyDiv w:val="1"/>
      <w:marLeft w:val="0"/>
      <w:marRight w:val="0"/>
      <w:marTop w:val="0"/>
      <w:marBottom w:val="0"/>
      <w:divBdr>
        <w:top w:val="none" w:sz="0" w:space="0" w:color="auto"/>
        <w:left w:val="none" w:sz="0" w:space="0" w:color="auto"/>
        <w:bottom w:val="none" w:sz="0" w:space="0" w:color="auto"/>
        <w:right w:val="none" w:sz="0" w:space="0" w:color="auto"/>
      </w:divBdr>
      <w:divsChild>
        <w:div w:id="1334643323">
          <w:marLeft w:val="0"/>
          <w:marRight w:val="0"/>
          <w:marTop w:val="0"/>
          <w:marBottom w:val="0"/>
          <w:divBdr>
            <w:top w:val="none" w:sz="0" w:space="0" w:color="auto"/>
            <w:left w:val="none" w:sz="0" w:space="0" w:color="auto"/>
            <w:bottom w:val="none" w:sz="0" w:space="0" w:color="auto"/>
            <w:right w:val="none" w:sz="0" w:space="0" w:color="auto"/>
          </w:divBdr>
        </w:div>
      </w:divsChild>
    </w:div>
    <w:div w:id="416513686">
      <w:bodyDiv w:val="1"/>
      <w:marLeft w:val="0"/>
      <w:marRight w:val="0"/>
      <w:marTop w:val="0"/>
      <w:marBottom w:val="300"/>
      <w:divBdr>
        <w:top w:val="none" w:sz="0" w:space="0" w:color="auto"/>
        <w:left w:val="none" w:sz="0" w:space="0" w:color="auto"/>
        <w:bottom w:val="none" w:sz="0" w:space="0" w:color="auto"/>
        <w:right w:val="none" w:sz="0" w:space="0" w:color="auto"/>
      </w:divBdr>
      <w:divsChild>
        <w:div w:id="1203133313">
          <w:marLeft w:val="0"/>
          <w:marRight w:val="0"/>
          <w:marTop w:val="0"/>
          <w:marBottom w:val="0"/>
          <w:divBdr>
            <w:top w:val="none" w:sz="0" w:space="0" w:color="auto"/>
            <w:left w:val="none" w:sz="0" w:space="0" w:color="auto"/>
            <w:bottom w:val="none" w:sz="0" w:space="0" w:color="auto"/>
            <w:right w:val="none" w:sz="0" w:space="0" w:color="auto"/>
          </w:divBdr>
          <w:divsChild>
            <w:div w:id="1027875881">
              <w:marLeft w:val="0"/>
              <w:marRight w:val="0"/>
              <w:marTop w:val="0"/>
              <w:marBottom w:val="0"/>
              <w:divBdr>
                <w:top w:val="none" w:sz="0" w:space="0" w:color="auto"/>
                <w:left w:val="none" w:sz="0" w:space="0" w:color="auto"/>
                <w:bottom w:val="none" w:sz="0" w:space="0" w:color="auto"/>
                <w:right w:val="none" w:sz="0" w:space="0" w:color="auto"/>
              </w:divBdr>
              <w:divsChild>
                <w:div w:id="133106704">
                  <w:marLeft w:val="150"/>
                  <w:marRight w:val="0"/>
                  <w:marTop w:val="0"/>
                  <w:marBottom w:val="0"/>
                  <w:divBdr>
                    <w:top w:val="single" w:sz="24" w:space="0" w:color="D2D2D2"/>
                    <w:left w:val="single" w:sz="2" w:space="23" w:color="D2D2D2"/>
                    <w:bottom w:val="single" w:sz="24" w:space="23" w:color="D2D2D2"/>
                    <w:right w:val="single" w:sz="2" w:space="23" w:color="D2D2D2"/>
                  </w:divBdr>
                  <w:divsChild>
                    <w:div w:id="1887600502">
                      <w:marLeft w:val="0"/>
                      <w:marRight w:val="0"/>
                      <w:marTop w:val="0"/>
                      <w:marBottom w:val="0"/>
                      <w:divBdr>
                        <w:top w:val="none" w:sz="0" w:space="0" w:color="auto"/>
                        <w:left w:val="none" w:sz="0" w:space="0" w:color="auto"/>
                        <w:bottom w:val="none" w:sz="0" w:space="0" w:color="auto"/>
                        <w:right w:val="none" w:sz="0" w:space="0" w:color="auto"/>
                      </w:divBdr>
                      <w:divsChild>
                        <w:div w:id="35384591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452138111">
      <w:bodyDiv w:val="1"/>
      <w:marLeft w:val="0"/>
      <w:marRight w:val="0"/>
      <w:marTop w:val="0"/>
      <w:marBottom w:val="0"/>
      <w:divBdr>
        <w:top w:val="none" w:sz="0" w:space="0" w:color="auto"/>
        <w:left w:val="none" w:sz="0" w:space="0" w:color="auto"/>
        <w:bottom w:val="none" w:sz="0" w:space="0" w:color="auto"/>
        <w:right w:val="none" w:sz="0" w:space="0" w:color="auto"/>
      </w:divBdr>
    </w:div>
    <w:div w:id="566764306">
      <w:bodyDiv w:val="1"/>
      <w:marLeft w:val="0"/>
      <w:marRight w:val="0"/>
      <w:marTop w:val="0"/>
      <w:marBottom w:val="0"/>
      <w:divBdr>
        <w:top w:val="none" w:sz="0" w:space="0" w:color="auto"/>
        <w:left w:val="none" w:sz="0" w:space="0" w:color="auto"/>
        <w:bottom w:val="none" w:sz="0" w:space="0" w:color="auto"/>
        <w:right w:val="none" w:sz="0" w:space="0" w:color="auto"/>
      </w:divBdr>
      <w:divsChild>
        <w:div w:id="316765547">
          <w:marLeft w:val="0"/>
          <w:marRight w:val="0"/>
          <w:marTop w:val="0"/>
          <w:marBottom w:val="0"/>
          <w:divBdr>
            <w:top w:val="none" w:sz="0" w:space="0" w:color="auto"/>
            <w:left w:val="none" w:sz="0" w:space="0" w:color="auto"/>
            <w:bottom w:val="none" w:sz="0" w:space="0" w:color="auto"/>
            <w:right w:val="none" w:sz="0" w:space="0" w:color="auto"/>
          </w:divBdr>
        </w:div>
      </w:divsChild>
    </w:div>
    <w:div w:id="603004274">
      <w:bodyDiv w:val="1"/>
      <w:marLeft w:val="0"/>
      <w:marRight w:val="0"/>
      <w:marTop w:val="0"/>
      <w:marBottom w:val="0"/>
      <w:divBdr>
        <w:top w:val="none" w:sz="0" w:space="0" w:color="auto"/>
        <w:left w:val="none" w:sz="0" w:space="0" w:color="auto"/>
        <w:bottom w:val="none" w:sz="0" w:space="0" w:color="auto"/>
        <w:right w:val="none" w:sz="0" w:space="0" w:color="auto"/>
      </w:divBdr>
      <w:divsChild>
        <w:div w:id="1469858615">
          <w:marLeft w:val="0"/>
          <w:marRight w:val="0"/>
          <w:marTop w:val="0"/>
          <w:marBottom w:val="0"/>
          <w:divBdr>
            <w:top w:val="none" w:sz="0" w:space="0" w:color="auto"/>
            <w:left w:val="none" w:sz="0" w:space="0" w:color="auto"/>
            <w:bottom w:val="none" w:sz="0" w:space="0" w:color="auto"/>
            <w:right w:val="none" w:sz="0" w:space="0" w:color="auto"/>
          </w:divBdr>
          <w:divsChild>
            <w:div w:id="2033601917">
              <w:marLeft w:val="0"/>
              <w:marRight w:val="0"/>
              <w:marTop w:val="0"/>
              <w:marBottom w:val="0"/>
              <w:divBdr>
                <w:top w:val="none" w:sz="0" w:space="0" w:color="auto"/>
                <w:left w:val="none" w:sz="0" w:space="0" w:color="auto"/>
                <w:bottom w:val="none" w:sz="0" w:space="0" w:color="auto"/>
                <w:right w:val="none" w:sz="0" w:space="0" w:color="auto"/>
              </w:divBdr>
              <w:divsChild>
                <w:div w:id="149443650">
                  <w:marLeft w:val="0"/>
                  <w:marRight w:val="0"/>
                  <w:marTop w:val="300"/>
                  <w:marBottom w:val="375"/>
                  <w:divBdr>
                    <w:top w:val="none" w:sz="0" w:space="0" w:color="auto"/>
                    <w:left w:val="none" w:sz="0" w:space="0" w:color="auto"/>
                    <w:bottom w:val="none" w:sz="0" w:space="0" w:color="auto"/>
                    <w:right w:val="none" w:sz="0" w:space="0" w:color="auto"/>
                  </w:divBdr>
                  <w:divsChild>
                    <w:div w:id="1512064345">
                      <w:marLeft w:val="0"/>
                      <w:marRight w:val="0"/>
                      <w:marTop w:val="0"/>
                      <w:marBottom w:val="0"/>
                      <w:divBdr>
                        <w:top w:val="none" w:sz="0" w:space="0" w:color="auto"/>
                        <w:left w:val="none" w:sz="0" w:space="0" w:color="auto"/>
                        <w:bottom w:val="none" w:sz="0" w:space="0" w:color="auto"/>
                        <w:right w:val="none" w:sz="0" w:space="0" w:color="auto"/>
                      </w:divBdr>
                      <w:divsChild>
                        <w:div w:id="507673014">
                          <w:marLeft w:val="0"/>
                          <w:marRight w:val="0"/>
                          <w:marTop w:val="0"/>
                          <w:marBottom w:val="0"/>
                          <w:divBdr>
                            <w:top w:val="none" w:sz="0" w:space="0" w:color="auto"/>
                            <w:left w:val="none" w:sz="0" w:space="0" w:color="auto"/>
                            <w:bottom w:val="none" w:sz="0" w:space="0" w:color="auto"/>
                            <w:right w:val="none" w:sz="0" w:space="0" w:color="auto"/>
                          </w:divBdr>
                          <w:divsChild>
                            <w:div w:id="1649436930">
                              <w:marLeft w:val="0"/>
                              <w:marRight w:val="0"/>
                              <w:marTop w:val="0"/>
                              <w:marBottom w:val="0"/>
                              <w:divBdr>
                                <w:top w:val="none" w:sz="0" w:space="0" w:color="auto"/>
                                <w:left w:val="none" w:sz="0" w:space="0" w:color="auto"/>
                                <w:bottom w:val="none" w:sz="0" w:space="0" w:color="auto"/>
                                <w:right w:val="none" w:sz="0" w:space="0" w:color="auto"/>
                              </w:divBdr>
                              <w:divsChild>
                                <w:div w:id="25494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4335061">
      <w:bodyDiv w:val="1"/>
      <w:marLeft w:val="0"/>
      <w:marRight w:val="0"/>
      <w:marTop w:val="0"/>
      <w:marBottom w:val="0"/>
      <w:divBdr>
        <w:top w:val="none" w:sz="0" w:space="0" w:color="auto"/>
        <w:left w:val="none" w:sz="0" w:space="0" w:color="auto"/>
        <w:bottom w:val="none" w:sz="0" w:space="0" w:color="auto"/>
        <w:right w:val="none" w:sz="0" w:space="0" w:color="auto"/>
      </w:divBdr>
      <w:divsChild>
        <w:div w:id="1031229420">
          <w:marLeft w:val="0"/>
          <w:marRight w:val="0"/>
          <w:marTop w:val="0"/>
          <w:marBottom w:val="0"/>
          <w:divBdr>
            <w:top w:val="none" w:sz="0" w:space="0" w:color="auto"/>
            <w:left w:val="none" w:sz="0" w:space="0" w:color="auto"/>
            <w:bottom w:val="none" w:sz="0" w:space="0" w:color="auto"/>
            <w:right w:val="none" w:sz="0" w:space="0" w:color="auto"/>
          </w:divBdr>
          <w:divsChild>
            <w:div w:id="1388912674">
              <w:marLeft w:val="0"/>
              <w:marRight w:val="0"/>
              <w:marTop w:val="75"/>
              <w:marBottom w:val="0"/>
              <w:divBdr>
                <w:top w:val="none" w:sz="0" w:space="0" w:color="auto"/>
                <w:left w:val="none" w:sz="0" w:space="0" w:color="auto"/>
                <w:bottom w:val="none" w:sz="0" w:space="0" w:color="auto"/>
                <w:right w:val="none" w:sz="0" w:space="0" w:color="auto"/>
              </w:divBdr>
              <w:divsChild>
                <w:div w:id="1863083047">
                  <w:marLeft w:val="0"/>
                  <w:marRight w:val="0"/>
                  <w:marTop w:val="0"/>
                  <w:marBottom w:val="0"/>
                  <w:divBdr>
                    <w:top w:val="none" w:sz="0" w:space="0" w:color="auto"/>
                    <w:left w:val="none" w:sz="0" w:space="0" w:color="auto"/>
                    <w:bottom w:val="none" w:sz="0" w:space="0" w:color="auto"/>
                    <w:right w:val="none" w:sz="0" w:space="0" w:color="auto"/>
                  </w:divBdr>
                  <w:divsChild>
                    <w:div w:id="1110585457">
                      <w:marLeft w:val="0"/>
                      <w:marRight w:val="0"/>
                      <w:marTop w:val="0"/>
                      <w:marBottom w:val="0"/>
                      <w:divBdr>
                        <w:top w:val="none" w:sz="0" w:space="0" w:color="auto"/>
                        <w:left w:val="none" w:sz="0" w:space="0" w:color="auto"/>
                        <w:bottom w:val="none" w:sz="0" w:space="0" w:color="auto"/>
                        <w:right w:val="none" w:sz="0" w:space="0" w:color="auto"/>
                      </w:divBdr>
                      <w:divsChild>
                        <w:div w:id="2006130962">
                          <w:marLeft w:val="0"/>
                          <w:marRight w:val="0"/>
                          <w:marTop w:val="150"/>
                          <w:marBottom w:val="0"/>
                          <w:divBdr>
                            <w:top w:val="none" w:sz="0" w:space="0" w:color="auto"/>
                            <w:left w:val="none" w:sz="0" w:space="0" w:color="auto"/>
                            <w:bottom w:val="none" w:sz="0" w:space="0" w:color="auto"/>
                            <w:right w:val="none" w:sz="0" w:space="0" w:color="auto"/>
                          </w:divBdr>
                          <w:divsChild>
                            <w:div w:id="916287976">
                              <w:marLeft w:val="0"/>
                              <w:marRight w:val="0"/>
                              <w:marTop w:val="0"/>
                              <w:marBottom w:val="0"/>
                              <w:divBdr>
                                <w:top w:val="none" w:sz="0" w:space="0" w:color="auto"/>
                                <w:left w:val="none" w:sz="0" w:space="0" w:color="auto"/>
                                <w:bottom w:val="none" w:sz="0" w:space="0" w:color="auto"/>
                                <w:right w:val="none" w:sz="0" w:space="0" w:color="auto"/>
                              </w:divBdr>
                              <w:divsChild>
                                <w:div w:id="145267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786277">
      <w:bodyDiv w:val="1"/>
      <w:marLeft w:val="0"/>
      <w:marRight w:val="0"/>
      <w:marTop w:val="0"/>
      <w:marBottom w:val="0"/>
      <w:divBdr>
        <w:top w:val="none" w:sz="0" w:space="0" w:color="auto"/>
        <w:left w:val="none" w:sz="0" w:space="0" w:color="auto"/>
        <w:bottom w:val="none" w:sz="0" w:space="0" w:color="auto"/>
        <w:right w:val="none" w:sz="0" w:space="0" w:color="auto"/>
      </w:divBdr>
    </w:div>
    <w:div w:id="743525600">
      <w:bodyDiv w:val="1"/>
      <w:marLeft w:val="0"/>
      <w:marRight w:val="0"/>
      <w:marTop w:val="0"/>
      <w:marBottom w:val="0"/>
      <w:divBdr>
        <w:top w:val="none" w:sz="0" w:space="0" w:color="auto"/>
        <w:left w:val="none" w:sz="0" w:space="0" w:color="auto"/>
        <w:bottom w:val="none" w:sz="0" w:space="0" w:color="auto"/>
        <w:right w:val="none" w:sz="0" w:space="0" w:color="auto"/>
      </w:divBdr>
      <w:divsChild>
        <w:div w:id="1875384997">
          <w:marLeft w:val="0"/>
          <w:marRight w:val="0"/>
          <w:marTop w:val="0"/>
          <w:marBottom w:val="0"/>
          <w:divBdr>
            <w:top w:val="none" w:sz="0" w:space="0" w:color="auto"/>
            <w:left w:val="none" w:sz="0" w:space="0" w:color="auto"/>
            <w:bottom w:val="none" w:sz="0" w:space="0" w:color="auto"/>
            <w:right w:val="none" w:sz="0" w:space="0" w:color="auto"/>
          </w:divBdr>
          <w:divsChild>
            <w:div w:id="947354175">
              <w:marLeft w:val="0"/>
              <w:marRight w:val="0"/>
              <w:marTop w:val="0"/>
              <w:marBottom w:val="0"/>
              <w:divBdr>
                <w:top w:val="none" w:sz="0" w:space="0" w:color="auto"/>
                <w:left w:val="none" w:sz="0" w:space="0" w:color="auto"/>
                <w:bottom w:val="none" w:sz="0" w:space="0" w:color="auto"/>
                <w:right w:val="none" w:sz="0" w:space="0" w:color="auto"/>
              </w:divBdr>
              <w:divsChild>
                <w:div w:id="181556822">
                  <w:marLeft w:val="0"/>
                  <w:marRight w:val="0"/>
                  <w:marTop w:val="0"/>
                  <w:marBottom w:val="0"/>
                  <w:divBdr>
                    <w:top w:val="none" w:sz="0" w:space="0" w:color="auto"/>
                    <w:left w:val="none" w:sz="0" w:space="0" w:color="auto"/>
                    <w:bottom w:val="none" w:sz="0" w:space="0" w:color="auto"/>
                    <w:right w:val="none" w:sz="0" w:space="0" w:color="auto"/>
                  </w:divBdr>
                  <w:divsChild>
                    <w:div w:id="681248745">
                      <w:marLeft w:val="0"/>
                      <w:marRight w:val="0"/>
                      <w:marTop w:val="0"/>
                      <w:marBottom w:val="0"/>
                      <w:divBdr>
                        <w:top w:val="none" w:sz="0" w:space="0" w:color="auto"/>
                        <w:left w:val="none" w:sz="0" w:space="0" w:color="auto"/>
                        <w:bottom w:val="none" w:sz="0" w:space="0" w:color="auto"/>
                        <w:right w:val="none" w:sz="0" w:space="0" w:color="auto"/>
                      </w:divBdr>
                      <w:divsChild>
                        <w:div w:id="182480941">
                          <w:marLeft w:val="0"/>
                          <w:marRight w:val="0"/>
                          <w:marTop w:val="0"/>
                          <w:marBottom w:val="0"/>
                          <w:divBdr>
                            <w:top w:val="none" w:sz="0" w:space="0" w:color="auto"/>
                            <w:left w:val="none" w:sz="0" w:space="0" w:color="auto"/>
                            <w:bottom w:val="none" w:sz="0" w:space="0" w:color="auto"/>
                            <w:right w:val="none" w:sz="0" w:space="0" w:color="auto"/>
                          </w:divBdr>
                          <w:divsChild>
                            <w:div w:id="532815447">
                              <w:marLeft w:val="0"/>
                              <w:marRight w:val="0"/>
                              <w:marTop w:val="120"/>
                              <w:marBottom w:val="0"/>
                              <w:divBdr>
                                <w:top w:val="none" w:sz="0" w:space="0" w:color="auto"/>
                                <w:left w:val="none" w:sz="0" w:space="0" w:color="auto"/>
                                <w:bottom w:val="none" w:sz="0" w:space="0" w:color="auto"/>
                                <w:right w:val="none" w:sz="0" w:space="0" w:color="auto"/>
                              </w:divBdr>
                              <w:divsChild>
                                <w:div w:id="13409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8016763">
      <w:bodyDiv w:val="1"/>
      <w:marLeft w:val="0"/>
      <w:marRight w:val="0"/>
      <w:marTop w:val="0"/>
      <w:marBottom w:val="0"/>
      <w:divBdr>
        <w:top w:val="none" w:sz="0" w:space="0" w:color="auto"/>
        <w:left w:val="none" w:sz="0" w:space="0" w:color="auto"/>
        <w:bottom w:val="none" w:sz="0" w:space="0" w:color="auto"/>
        <w:right w:val="none" w:sz="0" w:space="0" w:color="auto"/>
      </w:divBdr>
      <w:divsChild>
        <w:div w:id="145634497">
          <w:marLeft w:val="0"/>
          <w:marRight w:val="0"/>
          <w:marTop w:val="0"/>
          <w:marBottom w:val="0"/>
          <w:divBdr>
            <w:top w:val="single" w:sz="2" w:space="0" w:color="FF0000"/>
            <w:left w:val="single" w:sz="2" w:space="0" w:color="FF0000"/>
            <w:bottom w:val="single" w:sz="2" w:space="0" w:color="FF0000"/>
            <w:right w:val="single" w:sz="2" w:space="0" w:color="FF0000"/>
          </w:divBdr>
          <w:divsChild>
            <w:div w:id="1406800697">
              <w:marLeft w:val="0"/>
              <w:marRight w:val="0"/>
              <w:marTop w:val="0"/>
              <w:marBottom w:val="0"/>
              <w:divBdr>
                <w:top w:val="none" w:sz="0" w:space="0" w:color="auto"/>
                <w:left w:val="none" w:sz="0" w:space="0" w:color="auto"/>
                <w:bottom w:val="none" w:sz="0" w:space="0" w:color="auto"/>
                <w:right w:val="none" w:sz="0" w:space="0" w:color="auto"/>
              </w:divBdr>
              <w:divsChild>
                <w:div w:id="71231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254800">
      <w:bodyDiv w:val="1"/>
      <w:marLeft w:val="0"/>
      <w:marRight w:val="0"/>
      <w:marTop w:val="0"/>
      <w:marBottom w:val="0"/>
      <w:divBdr>
        <w:top w:val="none" w:sz="0" w:space="0" w:color="auto"/>
        <w:left w:val="none" w:sz="0" w:space="0" w:color="auto"/>
        <w:bottom w:val="none" w:sz="0" w:space="0" w:color="auto"/>
        <w:right w:val="none" w:sz="0" w:space="0" w:color="auto"/>
      </w:divBdr>
      <w:divsChild>
        <w:div w:id="20673639">
          <w:marLeft w:val="0"/>
          <w:marRight w:val="0"/>
          <w:marTop w:val="0"/>
          <w:marBottom w:val="0"/>
          <w:divBdr>
            <w:top w:val="none" w:sz="0" w:space="0" w:color="auto"/>
            <w:left w:val="none" w:sz="0" w:space="0" w:color="auto"/>
            <w:bottom w:val="none" w:sz="0" w:space="0" w:color="auto"/>
            <w:right w:val="none" w:sz="0" w:space="0" w:color="auto"/>
          </w:divBdr>
          <w:divsChild>
            <w:div w:id="1074400494">
              <w:marLeft w:val="0"/>
              <w:marRight w:val="0"/>
              <w:marTop w:val="0"/>
              <w:marBottom w:val="0"/>
              <w:divBdr>
                <w:top w:val="none" w:sz="0" w:space="0" w:color="auto"/>
                <w:left w:val="none" w:sz="0" w:space="0" w:color="auto"/>
                <w:bottom w:val="none" w:sz="0" w:space="0" w:color="auto"/>
                <w:right w:val="none" w:sz="0" w:space="0" w:color="auto"/>
              </w:divBdr>
              <w:divsChild>
                <w:div w:id="288972972">
                  <w:marLeft w:val="0"/>
                  <w:marRight w:val="0"/>
                  <w:marTop w:val="0"/>
                  <w:marBottom w:val="0"/>
                  <w:divBdr>
                    <w:top w:val="none" w:sz="0" w:space="0" w:color="auto"/>
                    <w:left w:val="none" w:sz="0" w:space="0" w:color="auto"/>
                    <w:bottom w:val="none" w:sz="0" w:space="0" w:color="auto"/>
                    <w:right w:val="none" w:sz="0" w:space="0" w:color="auto"/>
                  </w:divBdr>
                  <w:divsChild>
                    <w:div w:id="2062438699">
                      <w:marLeft w:val="0"/>
                      <w:marRight w:val="0"/>
                      <w:marTop w:val="0"/>
                      <w:marBottom w:val="0"/>
                      <w:divBdr>
                        <w:top w:val="none" w:sz="0" w:space="0" w:color="auto"/>
                        <w:left w:val="none" w:sz="0" w:space="0" w:color="auto"/>
                        <w:bottom w:val="none" w:sz="0" w:space="0" w:color="auto"/>
                        <w:right w:val="none" w:sz="0" w:space="0" w:color="auto"/>
                      </w:divBdr>
                      <w:divsChild>
                        <w:div w:id="928537403">
                          <w:marLeft w:val="0"/>
                          <w:marRight w:val="0"/>
                          <w:marTop w:val="0"/>
                          <w:marBottom w:val="0"/>
                          <w:divBdr>
                            <w:top w:val="none" w:sz="0" w:space="0" w:color="auto"/>
                            <w:left w:val="none" w:sz="0" w:space="0" w:color="auto"/>
                            <w:bottom w:val="none" w:sz="0" w:space="0" w:color="auto"/>
                            <w:right w:val="none" w:sz="0" w:space="0" w:color="auto"/>
                          </w:divBdr>
                          <w:divsChild>
                            <w:div w:id="1474253064">
                              <w:marLeft w:val="0"/>
                              <w:marRight w:val="0"/>
                              <w:marTop w:val="0"/>
                              <w:marBottom w:val="0"/>
                              <w:divBdr>
                                <w:top w:val="none" w:sz="0" w:space="0" w:color="auto"/>
                                <w:left w:val="none" w:sz="0" w:space="0" w:color="auto"/>
                                <w:bottom w:val="none" w:sz="0" w:space="0" w:color="auto"/>
                                <w:right w:val="none" w:sz="0" w:space="0" w:color="auto"/>
                              </w:divBdr>
                              <w:divsChild>
                                <w:div w:id="362245433">
                                  <w:marLeft w:val="0"/>
                                  <w:marRight w:val="0"/>
                                  <w:marTop w:val="0"/>
                                  <w:marBottom w:val="0"/>
                                  <w:divBdr>
                                    <w:top w:val="none" w:sz="0" w:space="0" w:color="auto"/>
                                    <w:left w:val="none" w:sz="0" w:space="0" w:color="auto"/>
                                    <w:bottom w:val="none" w:sz="0" w:space="0" w:color="auto"/>
                                    <w:right w:val="none" w:sz="0" w:space="0" w:color="auto"/>
                                  </w:divBdr>
                                  <w:divsChild>
                                    <w:div w:id="135253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1090639">
      <w:bodyDiv w:val="1"/>
      <w:marLeft w:val="0"/>
      <w:marRight w:val="0"/>
      <w:marTop w:val="0"/>
      <w:marBottom w:val="0"/>
      <w:divBdr>
        <w:top w:val="none" w:sz="0" w:space="0" w:color="auto"/>
        <w:left w:val="none" w:sz="0" w:space="0" w:color="auto"/>
        <w:bottom w:val="none" w:sz="0" w:space="0" w:color="auto"/>
        <w:right w:val="none" w:sz="0" w:space="0" w:color="auto"/>
      </w:divBdr>
    </w:div>
    <w:div w:id="958730870">
      <w:bodyDiv w:val="1"/>
      <w:marLeft w:val="0"/>
      <w:marRight w:val="0"/>
      <w:marTop w:val="0"/>
      <w:marBottom w:val="0"/>
      <w:divBdr>
        <w:top w:val="none" w:sz="0" w:space="0" w:color="auto"/>
        <w:left w:val="none" w:sz="0" w:space="0" w:color="auto"/>
        <w:bottom w:val="none" w:sz="0" w:space="0" w:color="auto"/>
        <w:right w:val="none" w:sz="0" w:space="0" w:color="auto"/>
      </w:divBdr>
      <w:divsChild>
        <w:div w:id="1515454959">
          <w:marLeft w:val="0"/>
          <w:marRight w:val="0"/>
          <w:marTop w:val="0"/>
          <w:marBottom w:val="0"/>
          <w:divBdr>
            <w:top w:val="none" w:sz="0" w:space="0" w:color="auto"/>
            <w:left w:val="single" w:sz="6" w:space="0" w:color="DDDDDD"/>
            <w:bottom w:val="none" w:sz="0" w:space="0" w:color="auto"/>
            <w:right w:val="single" w:sz="6" w:space="0" w:color="DDDDDD"/>
          </w:divBdr>
          <w:divsChild>
            <w:div w:id="457995151">
              <w:marLeft w:val="0"/>
              <w:marRight w:val="0"/>
              <w:marTop w:val="0"/>
              <w:marBottom w:val="0"/>
              <w:divBdr>
                <w:top w:val="none" w:sz="0" w:space="0" w:color="auto"/>
                <w:left w:val="none" w:sz="0" w:space="0" w:color="auto"/>
                <w:bottom w:val="none" w:sz="0" w:space="0" w:color="auto"/>
                <w:right w:val="none" w:sz="0" w:space="0" w:color="auto"/>
              </w:divBdr>
              <w:divsChild>
                <w:div w:id="1434588699">
                  <w:marLeft w:val="0"/>
                  <w:marRight w:val="0"/>
                  <w:marTop w:val="0"/>
                  <w:marBottom w:val="0"/>
                  <w:divBdr>
                    <w:top w:val="none" w:sz="0" w:space="0" w:color="auto"/>
                    <w:left w:val="none" w:sz="0" w:space="0" w:color="auto"/>
                    <w:bottom w:val="none" w:sz="0" w:space="0" w:color="auto"/>
                    <w:right w:val="none" w:sz="0" w:space="0" w:color="auto"/>
                  </w:divBdr>
                  <w:divsChild>
                    <w:div w:id="485055773">
                      <w:marLeft w:val="0"/>
                      <w:marRight w:val="0"/>
                      <w:marTop w:val="0"/>
                      <w:marBottom w:val="0"/>
                      <w:divBdr>
                        <w:top w:val="none" w:sz="0" w:space="0" w:color="auto"/>
                        <w:left w:val="none" w:sz="0" w:space="0" w:color="auto"/>
                        <w:bottom w:val="none" w:sz="0" w:space="0" w:color="auto"/>
                        <w:right w:val="none" w:sz="0" w:space="0" w:color="auto"/>
                      </w:divBdr>
                      <w:divsChild>
                        <w:div w:id="1678074571">
                          <w:marLeft w:val="0"/>
                          <w:marRight w:val="0"/>
                          <w:marTop w:val="0"/>
                          <w:marBottom w:val="0"/>
                          <w:divBdr>
                            <w:top w:val="none" w:sz="0" w:space="0" w:color="auto"/>
                            <w:left w:val="none" w:sz="0" w:space="0" w:color="auto"/>
                            <w:bottom w:val="none" w:sz="0" w:space="0" w:color="auto"/>
                            <w:right w:val="none" w:sz="0" w:space="0" w:color="auto"/>
                          </w:divBdr>
                          <w:divsChild>
                            <w:div w:id="1151945452">
                              <w:marLeft w:val="0"/>
                              <w:marRight w:val="0"/>
                              <w:marTop w:val="0"/>
                              <w:marBottom w:val="0"/>
                              <w:divBdr>
                                <w:top w:val="none" w:sz="0" w:space="0" w:color="auto"/>
                                <w:left w:val="none" w:sz="0" w:space="0" w:color="auto"/>
                                <w:bottom w:val="none" w:sz="0" w:space="0" w:color="auto"/>
                                <w:right w:val="none" w:sz="0" w:space="0" w:color="auto"/>
                              </w:divBdr>
                              <w:divsChild>
                                <w:div w:id="1709834632">
                                  <w:marLeft w:val="0"/>
                                  <w:marRight w:val="0"/>
                                  <w:marTop w:val="0"/>
                                  <w:marBottom w:val="0"/>
                                  <w:divBdr>
                                    <w:top w:val="none" w:sz="0" w:space="0" w:color="auto"/>
                                    <w:left w:val="none" w:sz="0" w:space="0" w:color="auto"/>
                                    <w:bottom w:val="none" w:sz="0" w:space="0" w:color="auto"/>
                                    <w:right w:val="none" w:sz="0" w:space="0" w:color="auto"/>
                                  </w:divBdr>
                                  <w:divsChild>
                                    <w:div w:id="189609280">
                                      <w:marLeft w:val="0"/>
                                      <w:marRight w:val="0"/>
                                      <w:marTop w:val="0"/>
                                      <w:marBottom w:val="0"/>
                                      <w:divBdr>
                                        <w:top w:val="none" w:sz="0" w:space="0" w:color="auto"/>
                                        <w:left w:val="none" w:sz="0" w:space="0" w:color="auto"/>
                                        <w:bottom w:val="none" w:sz="0" w:space="0" w:color="auto"/>
                                        <w:right w:val="none" w:sz="0" w:space="0" w:color="auto"/>
                                      </w:divBdr>
                                      <w:divsChild>
                                        <w:div w:id="854734655">
                                          <w:marLeft w:val="0"/>
                                          <w:marRight w:val="0"/>
                                          <w:marTop w:val="0"/>
                                          <w:marBottom w:val="0"/>
                                          <w:divBdr>
                                            <w:top w:val="none" w:sz="0" w:space="0" w:color="auto"/>
                                            <w:left w:val="none" w:sz="0" w:space="0" w:color="auto"/>
                                            <w:bottom w:val="none" w:sz="0" w:space="0" w:color="auto"/>
                                            <w:right w:val="none" w:sz="0" w:space="0" w:color="auto"/>
                                          </w:divBdr>
                                          <w:divsChild>
                                            <w:div w:id="1846675087">
                                              <w:marLeft w:val="0"/>
                                              <w:marRight w:val="0"/>
                                              <w:marTop w:val="0"/>
                                              <w:marBottom w:val="0"/>
                                              <w:divBdr>
                                                <w:top w:val="none" w:sz="0" w:space="0" w:color="auto"/>
                                                <w:left w:val="none" w:sz="0" w:space="0" w:color="auto"/>
                                                <w:bottom w:val="none" w:sz="0" w:space="0" w:color="auto"/>
                                                <w:right w:val="none" w:sz="0" w:space="0" w:color="auto"/>
                                              </w:divBdr>
                                              <w:divsChild>
                                                <w:div w:id="2799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3050484">
      <w:bodyDiv w:val="1"/>
      <w:marLeft w:val="0"/>
      <w:marRight w:val="0"/>
      <w:marTop w:val="0"/>
      <w:marBottom w:val="0"/>
      <w:divBdr>
        <w:top w:val="none" w:sz="0" w:space="0" w:color="auto"/>
        <w:left w:val="none" w:sz="0" w:space="0" w:color="auto"/>
        <w:bottom w:val="none" w:sz="0" w:space="0" w:color="auto"/>
        <w:right w:val="none" w:sz="0" w:space="0" w:color="auto"/>
      </w:divBdr>
    </w:div>
    <w:div w:id="1017468161">
      <w:bodyDiv w:val="1"/>
      <w:marLeft w:val="0"/>
      <w:marRight w:val="0"/>
      <w:marTop w:val="0"/>
      <w:marBottom w:val="0"/>
      <w:divBdr>
        <w:top w:val="none" w:sz="0" w:space="0" w:color="auto"/>
        <w:left w:val="none" w:sz="0" w:space="0" w:color="auto"/>
        <w:bottom w:val="none" w:sz="0" w:space="0" w:color="auto"/>
        <w:right w:val="none" w:sz="0" w:space="0" w:color="auto"/>
      </w:divBdr>
      <w:divsChild>
        <w:div w:id="680813249">
          <w:marLeft w:val="0"/>
          <w:marRight w:val="0"/>
          <w:marTop w:val="0"/>
          <w:marBottom w:val="0"/>
          <w:divBdr>
            <w:top w:val="none" w:sz="0" w:space="0" w:color="auto"/>
            <w:left w:val="none" w:sz="0" w:space="0" w:color="auto"/>
            <w:bottom w:val="none" w:sz="0" w:space="0" w:color="auto"/>
            <w:right w:val="none" w:sz="0" w:space="0" w:color="auto"/>
          </w:divBdr>
          <w:divsChild>
            <w:div w:id="286592282">
              <w:marLeft w:val="0"/>
              <w:marRight w:val="0"/>
              <w:marTop w:val="0"/>
              <w:marBottom w:val="0"/>
              <w:divBdr>
                <w:top w:val="none" w:sz="0" w:space="0" w:color="auto"/>
                <w:left w:val="none" w:sz="0" w:space="0" w:color="auto"/>
                <w:bottom w:val="none" w:sz="0" w:space="0" w:color="auto"/>
                <w:right w:val="none" w:sz="0" w:space="0" w:color="auto"/>
              </w:divBdr>
              <w:divsChild>
                <w:div w:id="126827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80276">
      <w:bodyDiv w:val="1"/>
      <w:marLeft w:val="0"/>
      <w:marRight w:val="0"/>
      <w:marTop w:val="0"/>
      <w:marBottom w:val="0"/>
      <w:divBdr>
        <w:top w:val="none" w:sz="0" w:space="0" w:color="auto"/>
        <w:left w:val="none" w:sz="0" w:space="0" w:color="auto"/>
        <w:bottom w:val="none" w:sz="0" w:space="0" w:color="auto"/>
        <w:right w:val="none" w:sz="0" w:space="0" w:color="auto"/>
      </w:divBdr>
      <w:divsChild>
        <w:div w:id="1949314553">
          <w:marLeft w:val="0"/>
          <w:marRight w:val="0"/>
          <w:marTop w:val="0"/>
          <w:marBottom w:val="0"/>
          <w:divBdr>
            <w:top w:val="none" w:sz="0" w:space="0" w:color="auto"/>
            <w:left w:val="none" w:sz="0" w:space="0" w:color="auto"/>
            <w:bottom w:val="none" w:sz="0" w:space="0" w:color="auto"/>
            <w:right w:val="none" w:sz="0" w:space="0" w:color="auto"/>
          </w:divBdr>
          <w:divsChild>
            <w:div w:id="514072721">
              <w:marLeft w:val="0"/>
              <w:marRight w:val="0"/>
              <w:marTop w:val="75"/>
              <w:marBottom w:val="0"/>
              <w:divBdr>
                <w:top w:val="none" w:sz="0" w:space="0" w:color="auto"/>
                <w:left w:val="none" w:sz="0" w:space="0" w:color="auto"/>
                <w:bottom w:val="none" w:sz="0" w:space="0" w:color="auto"/>
                <w:right w:val="none" w:sz="0" w:space="0" w:color="auto"/>
              </w:divBdr>
              <w:divsChild>
                <w:div w:id="26293516">
                  <w:marLeft w:val="0"/>
                  <w:marRight w:val="0"/>
                  <w:marTop w:val="0"/>
                  <w:marBottom w:val="0"/>
                  <w:divBdr>
                    <w:top w:val="none" w:sz="0" w:space="0" w:color="auto"/>
                    <w:left w:val="none" w:sz="0" w:space="0" w:color="auto"/>
                    <w:bottom w:val="none" w:sz="0" w:space="0" w:color="auto"/>
                    <w:right w:val="none" w:sz="0" w:space="0" w:color="auto"/>
                  </w:divBdr>
                  <w:divsChild>
                    <w:div w:id="1863545057">
                      <w:marLeft w:val="0"/>
                      <w:marRight w:val="0"/>
                      <w:marTop w:val="0"/>
                      <w:marBottom w:val="0"/>
                      <w:divBdr>
                        <w:top w:val="none" w:sz="0" w:space="0" w:color="auto"/>
                        <w:left w:val="none" w:sz="0" w:space="0" w:color="auto"/>
                        <w:bottom w:val="none" w:sz="0" w:space="0" w:color="auto"/>
                        <w:right w:val="none" w:sz="0" w:space="0" w:color="auto"/>
                      </w:divBdr>
                      <w:divsChild>
                        <w:div w:id="75325126">
                          <w:marLeft w:val="0"/>
                          <w:marRight w:val="0"/>
                          <w:marTop w:val="150"/>
                          <w:marBottom w:val="0"/>
                          <w:divBdr>
                            <w:top w:val="none" w:sz="0" w:space="0" w:color="auto"/>
                            <w:left w:val="none" w:sz="0" w:space="0" w:color="auto"/>
                            <w:bottom w:val="none" w:sz="0" w:space="0" w:color="auto"/>
                            <w:right w:val="none" w:sz="0" w:space="0" w:color="auto"/>
                          </w:divBdr>
                          <w:divsChild>
                            <w:div w:id="587621883">
                              <w:marLeft w:val="0"/>
                              <w:marRight w:val="0"/>
                              <w:marTop w:val="0"/>
                              <w:marBottom w:val="0"/>
                              <w:divBdr>
                                <w:top w:val="none" w:sz="0" w:space="0" w:color="auto"/>
                                <w:left w:val="none" w:sz="0" w:space="0" w:color="auto"/>
                                <w:bottom w:val="none" w:sz="0" w:space="0" w:color="auto"/>
                                <w:right w:val="none" w:sz="0" w:space="0" w:color="auto"/>
                              </w:divBdr>
                              <w:divsChild>
                                <w:div w:id="2937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2351">
      <w:bodyDiv w:val="1"/>
      <w:marLeft w:val="0"/>
      <w:marRight w:val="0"/>
      <w:marTop w:val="0"/>
      <w:marBottom w:val="0"/>
      <w:divBdr>
        <w:top w:val="none" w:sz="0" w:space="0" w:color="auto"/>
        <w:left w:val="none" w:sz="0" w:space="0" w:color="auto"/>
        <w:bottom w:val="none" w:sz="0" w:space="0" w:color="auto"/>
        <w:right w:val="none" w:sz="0" w:space="0" w:color="auto"/>
      </w:divBdr>
      <w:divsChild>
        <w:div w:id="309989135">
          <w:marLeft w:val="0"/>
          <w:marRight w:val="0"/>
          <w:marTop w:val="0"/>
          <w:marBottom w:val="0"/>
          <w:divBdr>
            <w:top w:val="none" w:sz="0" w:space="0" w:color="auto"/>
            <w:left w:val="single" w:sz="6" w:space="0" w:color="000000"/>
            <w:bottom w:val="single" w:sz="6" w:space="0" w:color="000000"/>
            <w:right w:val="single" w:sz="6" w:space="0" w:color="000000"/>
          </w:divBdr>
        </w:div>
      </w:divsChild>
    </w:div>
    <w:div w:id="1117984848">
      <w:bodyDiv w:val="1"/>
      <w:marLeft w:val="0"/>
      <w:marRight w:val="0"/>
      <w:marTop w:val="0"/>
      <w:marBottom w:val="0"/>
      <w:divBdr>
        <w:top w:val="none" w:sz="0" w:space="0" w:color="auto"/>
        <w:left w:val="none" w:sz="0" w:space="0" w:color="auto"/>
        <w:bottom w:val="none" w:sz="0" w:space="0" w:color="auto"/>
        <w:right w:val="none" w:sz="0" w:space="0" w:color="auto"/>
      </w:divBdr>
      <w:divsChild>
        <w:div w:id="1001198318">
          <w:marLeft w:val="0"/>
          <w:marRight w:val="0"/>
          <w:marTop w:val="0"/>
          <w:marBottom w:val="0"/>
          <w:divBdr>
            <w:top w:val="none" w:sz="0" w:space="0" w:color="auto"/>
            <w:left w:val="none" w:sz="0" w:space="0" w:color="auto"/>
            <w:bottom w:val="none" w:sz="0" w:space="0" w:color="auto"/>
            <w:right w:val="none" w:sz="0" w:space="0" w:color="auto"/>
          </w:divBdr>
          <w:divsChild>
            <w:div w:id="1951008393">
              <w:marLeft w:val="0"/>
              <w:marRight w:val="0"/>
              <w:marTop w:val="1200"/>
              <w:marBottom w:val="900"/>
              <w:divBdr>
                <w:top w:val="none" w:sz="0" w:space="0" w:color="auto"/>
                <w:left w:val="none" w:sz="0" w:space="0" w:color="auto"/>
                <w:bottom w:val="none" w:sz="0" w:space="0" w:color="auto"/>
                <w:right w:val="none" w:sz="0" w:space="0" w:color="auto"/>
              </w:divBdr>
              <w:divsChild>
                <w:div w:id="94014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68407">
      <w:bodyDiv w:val="1"/>
      <w:marLeft w:val="0"/>
      <w:marRight w:val="0"/>
      <w:marTop w:val="0"/>
      <w:marBottom w:val="0"/>
      <w:divBdr>
        <w:top w:val="none" w:sz="0" w:space="0" w:color="auto"/>
        <w:left w:val="none" w:sz="0" w:space="0" w:color="auto"/>
        <w:bottom w:val="none" w:sz="0" w:space="0" w:color="auto"/>
        <w:right w:val="none" w:sz="0" w:space="0" w:color="auto"/>
      </w:divBdr>
      <w:divsChild>
        <w:div w:id="607858389">
          <w:marLeft w:val="0"/>
          <w:marRight w:val="0"/>
          <w:marTop w:val="0"/>
          <w:marBottom w:val="0"/>
          <w:divBdr>
            <w:top w:val="none" w:sz="0" w:space="0" w:color="auto"/>
            <w:left w:val="none" w:sz="0" w:space="0" w:color="auto"/>
            <w:bottom w:val="none" w:sz="0" w:space="0" w:color="auto"/>
            <w:right w:val="none" w:sz="0" w:space="0" w:color="auto"/>
          </w:divBdr>
          <w:divsChild>
            <w:div w:id="1091512434">
              <w:marLeft w:val="0"/>
              <w:marRight w:val="0"/>
              <w:marTop w:val="0"/>
              <w:marBottom w:val="0"/>
              <w:divBdr>
                <w:top w:val="none" w:sz="0" w:space="0" w:color="auto"/>
                <w:left w:val="none" w:sz="0" w:space="0" w:color="auto"/>
                <w:bottom w:val="none" w:sz="0" w:space="0" w:color="auto"/>
                <w:right w:val="none" w:sz="0" w:space="0" w:color="auto"/>
              </w:divBdr>
              <w:divsChild>
                <w:div w:id="491139407">
                  <w:marLeft w:val="0"/>
                  <w:marRight w:val="0"/>
                  <w:marTop w:val="300"/>
                  <w:marBottom w:val="375"/>
                  <w:divBdr>
                    <w:top w:val="none" w:sz="0" w:space="0" w:color="auto"/>
                    <w:left w:val="none" w:sz="0" w:space="0" w:color="auto"/>
                    <w:bottom w:val="none" w:sz="0" w:space="0" w:color="auto"/>
                    <w:right w:val="none" w:sz="0" w:space="0" w:color="auto"/>
                  </w:divBdr>
                  <w:divsChild>
                    <w:div w:id="1086458594">
                      <w:marLeft w:val="0"/>
                      <w:marRight w:val="0"/>
                      <w:marTop w:val="0"/>
                      <w:marBottom w:val="0"/>
                      <w:divBdr>
                        <w:top w:val="none" w:sz="0" w:space="0" w:color="auto"/>
                        <w:left w:val="none" w:sz="0" w:space="0" w:color="auto"/>
                        <w:bottom w:val="none" w:sz="0" w:space="0" w:color="auto"/>
                        <w:right w:val="none" w:sz="0" w:space="0" w:color="auto"/>
                      </w:divBdr>
                      <w:divsChild>
                        <w:div w:id="1377311707">
                          <w:marLeft w:val="0"/>
                          <w:marRight w:val="0"/>
                          <w:marTop w:val="0"/>
                          <w:marBottom w:val="0"/>
                          <w:divBdr>
                            <w:top w:val="none" w:sz="0" w:space="0" w:color="auto"/>
                            <w:left w:val="none" w:sz="0" w:space="0" w:color="auto"/>
                            <w:bottom w:val="none" w:sz="0" w:space="0" w:color="auto"/>
                            <w:right w:val="none" w:sz="0" w:space="0" w:color="auto"/>
                          </w:divBdr>
                          <w:divsChild>
                            <w:div w:id="1274941620">
                              <w:marLeft w:val="0"/>
                              <w:marRight w:val="0"/>
                              <w:marTop w:val="0"/>
                              <w:marBottom w:val="0"/>
                              <w:divBdr>
                                <w:top w:val="none" w:sz="0" w:space="0" w:color="auto"/>
                                <w:left w:val="none" w:sz="0" w:space="0" w:color="auto"/>
                                <w:bottom w:val="none" w:sz="0" w:space="0" w:color="auto"/>
                                <w:right w:val="none" w:sz="0" w:space="0" w:color="auto"/>
                              </w:divBdr>
                              <w:divsChild>
                                <w:div w:id="78882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409423">
      <w:bodyDiv w:val="1"/>
      <w:marLeft w:val="0"/>
      <w:marRight w:val="0"/>
      <w:marTop w:val="0"/>
      <w:marBottom w:val="45"/>
      <w:divBdr>
        <w:top w:val="none" w:sz="0" w:space="0" w:color="auto"/>
        <w:left w:val="none" w:sz="0" w:space="0" w:color="auto"/>
        <w:bottom w:val="none" w:sz="0" w:space="0" w:color="auto"/>
        <w:right w:val="none" w:sz="0" w:space="0" w:color="auto"/>
      </w:divBdr>
      <w:divsChild>
        <w:div w:id="1539859038">
          <w:marLeft w:val="300"/>
          <w:marRight w:val="300"/>
          <w:marTop w:val="150"/>
          <w:marBottom w:val="0"/>
          <w:divBdr>
            <w:top w:val="none" w:sz="0" w:space="0" w:color="auto"/>
            <w:left w:val="none" w:sz="0" w:space="0" w:color="auto"/>
            <w:bottom w:val="none" w:sz="0" w:space="0" w:color="auto"/>
            <w:right w:val="none" w:sz="0" w:space="0" w:color="auto"/>
          </w:divBdr>
        </w:div>
      </w:divsChild>
    </w:div>
    <w:div w:id="1234849659">
      <w:bodyDiv w:val="1"/>
      <w:marLeft w:val="0"/>
      <w:marRight w:val="0"/>
      <w:marTop w:val="0"/>
      <w:marBottom w:val="0"/>
      <w:divBdr>
        <w:top w:val="none" w:sz="0" w:space="0" w:color="auto"/>
        <w:left w:val="none" w:sz="0" w:space="0" w:color="auto"/>
        <w:bottom w:val="none" w:sz="0" w:space="0" w:color="auto"/>
        <w:right w:val="none" w:sz="0" w:space="0" w:color="auto"/>
      </w:divBdr>
      <w:divsChild>
        <w:div w:id="462190429">
          <w:marLeft w:val="0"/>
          <w:marRight w:val="0"/>
          <w:marTop w:val="0"/>
          <w:marBottom w:val="0"/>
          <w:divBdr>
            <w:top w:val="none" w:sz="0" w:space="0" w:color="auto"/>
            <w:left w:val="none" w:sz="0" w:space="0" w:color="auto"/>
            <w:bottom w:val="none" w:sz="0" w:space="0" w:color="auto"/>
            <w:right w:val="none" w:sz="0" w:space="0" w:color="auto"/>
          </w:divBdr>
          <w:divsChild>
            <w:div w:id="1327898230">
              <w:marLeft w:val="0"/>
              <w:marRight w:val="0"/>
              <w:marTop w:val="0"/>
              <w:marBottom w:val="0"/>
              <w:divBdr>
                <w:top w:val="none" w:sz="0" w:space="0" w:color="auto"/>
                <w:left w:val="none" w:sz="0" w:space="0" w:color="auto"/>
                <w:bottom w:val="none" w:sz="0" w:space="0" w:color="auto"/>
                <w:right w:val="none" w:sz="0" w:space="0" w:color="auto"/>
              </w:divBdr>
              <w:divsChild>
                <w:div w:id="1218708622">
                  <w:marLeft w:val="0"/>
                  <w:marRight w:val="0"/>
                  <w:marTop w:val="0"/>
                  <w:marBottom w:val="0"/>
                  <w:divBdr>
                    <w:top w:val="none" w:sz="0" w:space="0" w:color="auto"/>
                    <w:left w:val="none" w:sz="0" w:space="0" w:color="auto"/>
                    <w:bottom w:val="none" w:sz="0" w:space="0" w:color="auto"/>
                    <w:right w:val="none" w:sz="0" w:space="0" w:color="auto"/>
                  </w:divBdr>
                  <w:divsChild>
                    <w:div w:id="1871524789">
                      <w:marLeft w:val="0"/>
                      <w:marRight w:val="0"/>
                      <w:marTop w:val="0"/>
                      <w:marBottom w:val="0"/>
                      <w:divBdr>
                        <w:top w:val="none" w:sz="0" w:space="0" w:color="auto"/>
                        <w:left w:val="none" w:sz="0" w:space="0" w:color="auto"/>
                        <w:bottom w:val="none" w:sz="0" w:space="0" w:color="auto"/>
                        <w:right w:val="none" w:sz="0" w:space="0" w:color="auto"/>
                      </w:divBdr>
                      <w:divsChild>
                        <w:div w:id="1543319535">
                          <w:marLeft w:val="0"/>
                          <w:marRight w:val="0"/>
                          <w:marTop w:val="0"/>
                          <w:marBottom w:val="0"/>
                          <w:divBdr>
                            <w:top w:val="none" w:sz="0" w:space="0" w:color="auto"/>
                            <w:left w:val="none" w:sz="0" w:space="0" w:color="auto"/>
                            <w:bottom w:val="none" w:sz="0" w:space="0" w:color="auto"/>
                            <w:right w:val="none" w:sz="0" w:space="0" w:color="auto"/>
                          </w:divBdr>
                          <w:divsChild>
                            <w:div w:id="172668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915700">
      <w:bodyDiv w:val="1"/>
      <w:marLeft w:val="0"/>
      <w:marRight w:val="0"/>
      <w:marTop w:val="0"/>
      <w:marBottom w:val="0"/>
      <w:divBdr>
        <w:top w:val="none" w:sz="0" w:space="0" w:color="auto"/>
        <w:left w:val="none" w:sz="0" w:space="0" w:color="auto"/>
        <w:bottom w:val="none" w:sz="0" w:space="0" w:color="auto"/>
        <w:right w:val="none" w:sz="0" w:space="0" w:color="auto"/>
      </w:divBdr>
      <w:divsChild>
        <w:div w:id="473252086">
          <w:marLeft w:val="0"/>
          <w:marRight w:val="0"/>
          <w:marTop w:val="0"/>
          <w:marBottom w:val="0"/>
          <w:divBdr>
            <w:top w:val="none" w:sz="0" w:space="0" w:color="auto"/>
            <w:left w:val="none" w:sz="0" w:space="0" w:color="auto"/>
            <w:bottom w:val="none" w:sz="0" w:space="0" w:color="auto"/>
            <w:right w:val="none" w:sz="0" w:space="0" w:color="auto"/>
          </w:divBdr>
          <w:divsChild>
            <w:div w:id="1356811614">
              <w:marLeft w:val="0"/>
              <w:marRight w:val="0"/>
              <w:marTop w:val="0"/>
              <w:marBottom w:val="0"/>
              <w:divBdr>
                <w:top w:val="none" w:sz="0" w:space="0" w:color="auto"/>
                <w:left w:val="none" w:sz="0" w:space="0" w:color="auto"/>
                <w:bottom w:val="none" w:sz="0" w:space="0" w:color="auto"/>
                <w:right w:val="none" w:sz="0" w:space="0" w:color="auto"/>
              </w:divBdr>
              <w:divsChild>
                <w:div w:id="902061892">
                  <w:marLeft w:val="0"/>
                  <w:marRight w:val="0"/>
                  <w:marTop w:val="0"/>
                  <w:marBottom w:val="0"/>
                  <w:divBdr>
                    <w:top w:val="none" w:sz="0" w:space="0" w:color="auto"/>
                    <w:left w:val="none" w:sz="0" w:space="0" w:color="auto"/>
                    <w:bottom w:val="none" w:sz="0" w:space="0" w:color="auto"/>
                    <w:right w:val="none" w:sz="0" w:space="0" w:color="auto"/>
                  </w:divBdr>
                  <w:divsChild>
                    <w:div w:id="2088649901">
                      <w:marLeft w:val="0"/>
                      <w:marRight w:val="0"/>
                      <w:marTop w:val="0"/>
                      <w:marBottom w:val="0"/>
                      <w:divBdr>
                        <w:top w:val="none" w:sz="0" w:space="0" w:color="auto"/>
                        <w:left w:val="none" w:sz="0" w:space="0" w:color="auto"/>
                        <w:bottom w:val="none" w:sz="0" w:space="0" w:color="auto"/>
                        <w:right w:val="none" w:sz="0" w:space="0" w:color="auto"/>
                      </w:divBdr>
                      <w:divsChild>
                        <w:div w:id="784692122">
                          <w:marLeft w:val="0"/>
                          <w:marRight w:val="0"/>
                          <w:marTop w:val="0"/>
                          <w:marBottom w:val="0"/>
                          <w:divBdr>
                            <w:top w:val="none" w:sz="0" w:space="0" w:color="auto"/>
                            <w:left w:val="none" w:sz="0" w:space="0" w:color="auto"/>
                            <w:bottom w:val="none" w:sz="0" w:space="0" w:color="auto"/>
                            <w:right w:val="none" w:sz="0" w:space="0" w:color="auto"/>
                          </w:divBdr>
                          <w:divsChild>
                            <w:div w:id="41189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695995">
      <w:bodyDiv w:val="1"/>
      <w:marLeft w:val="0"/>
      <w:marRight w:val="0"/>
      <w:marTop w:val="0"/>
      <w:marBottom w:val="0"/>
      <w:divBdr>
        <w:top w:val="none" w:sz="0" w:space="0" w:color="auto"/>
        <w:left w:val="none" w:sz="0" w:space="0" w:color="auto"/>
        <w:bottom w:val="none" w:sz="0" w:space="0" w:color="auto"/>
        <w:right w:val="none" w:sz="0" w:space="0" w:color="auto"/>
      </w:divBdr>
      <w:divsChild>
        <w:div w:id="1437210260">
          <w:marLeft w:val="0"/>
          <w:marRight w:val="0"/>
          <w:marTop w:val="0"/>
          <w:marBottom w:val="0"/>
          <w:divBdr>
            <w:top w:val="none" w:sz="0" w:space="0" w:color="auto"/>
            <w:left w:val="none" w:sz="0" w:space="0" w:color="auto"/>
            <w:bottom w:val="none" w:sz="0" w:space="0" w:color="auto"/>
            <w:right w:val="none" w:sz="0" w:space="0" w:color="auto"/>
          </w:divBdr>
          <w:divsChild>
            <w:div w:id="1970210528">
              <w:marLeft w:val="0"/>
              <w:marRight w:val="0"/>
              <w:marTop w:val="0"/>
              <w:marBottom w:val="0"/>
              <w:divBdr>
                <w:top w:val="none" w:sz="0" w:space="0" w:color="auto"/>
                <w:left w:val="none" w:sz="0" w:space="0" w:color="auto"/>
                <w:bottom w:val="none" w:sz="0" w:space="0" w:color="auto"/>
                <w:right w:val="none" w:sz="0" w:space="0" w:color="auto"/>
              </w:divBdr>
              <w:divsChild>
                <w:div w:id="3838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017331">
      <w:bodyDiv w:val="1"/>
      <w:marLeft w:val="0"/>
      <w:marRight w:val="0"/>
      <w:marTop w:val="0"/>
      <w:marBottom w:val="0"/>
      <w:divBdr>
        <w:top w:val="none" w:sz="0" w:space="0" w:color="auto"/>
        <w:left w:val="none" w:sz="0" w:space="0" w:color="auto"/>
        <w:bottom w:val="none" w:sz="0" w:space="0" w:color="auto"/>
        <w:right w:val="none" w:sz="0" w:space="0" w:color="auto"/>
      </w:divBdr>
      <w:divsChild>
        <w:div w:id="1534078995">
          <w:marLeft w:val="0"/>
          <w:marRight w:val="0"/>
          <w:marTop w:val="0"/>
          <w:marBottom w:val="0"/>
          <w:divBdr>
            <w:top w:val="none" w:sz="0" w:space="0" w:color="auto"/>
            <w:left w:val="none" w:sz="0" w:space="0" w:color="auto"/>
            <w:bottom w:val="none" w:sz="0" w:space="0" w:color="auto"/>
            <w:right w:val="none" w:sz="0" w:space="0" w:color="auto"/>
          </w:divBdr>
          <w:divsChild>
            <w:div w:id="450133597">
              <w:marLeft w:val="0"/>
              <w:marRight w:val="0"/>
              <w:marTop w:val="0"/>
              <w:marBottom w:val="0"/>
              <w:divBdr>
                <w:top w:val="none" w:sz="0" w:space="0" w:color="auto"/>
                <w:left w:val="none" w:sz="0" w:space="0" w:color="auto"/>
                <w:bottom w:val="none" w:sz="0" w:space="0" w:color="auto"/>
                <w:right w:val="none" w:sz="0" w:space="0" w:color="auto"/>
              </w:divBdr>
              <w:divsChild>
                <w:div w:id="1004279467">
                  <w:marLeft w:val="0"/>
                  <w:marRight w:val="0"/>
                  <w:marTop w:val="0"/>
                  <w:marBottom w:val="0"/>
                  <w:divBdr>
                    <w:top w:val="none" w:sz="0" w:space="0" w:color="auto"/>
                    <w:left w:val="none" w:sz="0" w:space="0" w:color="auto"/>
                    <w:bottom w:val="none" w:sz="0" w:space="0" w:color="auto"/>
                    <w:right w:val="none" w:sz="0" w:space="0" w:color="auto"/>
                  </w:divBdr>
                  <w:divsChild>
                    <w:div w:id="1309899563">
                      <w:marLeft w:val="0"/>
                      <w:marRight w:val="0"/>
                      <w:marTop w:val="0"/>
                      <w:marBottom w:val="0"/>
                      <w:divBdr>
                        <w:top w:val="none" w:sz="0" w:space="0" w:color="auto"/>
                        <w:left w:val="none" w:sz="0" w:space="0" w:color="auto"/>
                        <w:bottom w:val="none" w:sz="0" w:space="0" w:color="auto"/>
                        <w:right w:val="none" w:sz="0" w:space="0" w:color="auto"/>
                      </w:divBdr>
                      <w:divsChild>
                        <w:div w:id="1527018419">
                          <w:marLeft w:val="0"/>
                          <w:marRight w:val="0"/>
                          <w:marTop w:val="0"/>
                          <w:marBottom w:val="0"/>
                          <w:divBdr>
                            <w:top w:val="none" w:sz="0" w:space="0" w:color="auto"/>
                            <w:left w:val="none" w:sz="0" w:space="0" w:color="auto"/>
                            <w:bottom w:val="none" w:sz="0" w:space="0" w:color="auto"/>
                            <w:right w:val="none" w:sz="0" w:space="0" w:color="auto"/>
                          </w:divBdr>
                          <w:divsChild>
                            <w:div w:id="97349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253822">
      <w:bodyDiv w:val="1"/>
      <w:marLeft w:val="0"/>
      <w:marRight w:val="0"/>
      <w:marTop w:val="0"/>
      <w:marBottom w:val="0"/>
      <w:divBdr>
        <w:top w:val="none" w:sz="0" w:space="0" w:color="auto"/>
        <w:left w:val="none" w:sz="0" w:space="0" w:color="auto"/>
        <w:bottom w:val="none" w:sz="0" w:space="0" w:color="auto"/>
        <w:right w:val="none" w:sz="0" w:space="0" w:color="auto"/>
      </w:divBdr>
      <w:divsChild>
        <w:div w:id="1102840450">
          <w:marLeft w:val="0"/>
          <w:marRight w:val="0"/>
          <w:marTop w:val="0"/>
          <w:marBottom w:val="0"/>
          <w:divBdr>
            <w:top w:val="none" w:sz="0" w:space="0" w:color="auto"/>
            <w:left w:val="none" w:sz="0" w:space="0" w:color="auto"/>
            <w:bottom w:val="none" w:sz="0" w:space="0" w:color="auto"/>
            <w:right w:val="none" w:sz="0" w:space="0" w:color="auto"/>
          </w:divBdr>
          <w:divsChild>
            <w:div w:id="2096898405">
              <w:marLeft w:val="0"/>
              <w:marRight w:val="0"/>
              <w:marTop w:val="0"/>
              <w:marBottom w:val="0"/>
              <w:divBdr>
                <w:top w:val="none" w:sz="0" w:space="0" w:color="auto"/>
                <w:left w:val="none" w:sz="0" w:space="0" w:color="auto"/>
                <w:bottom w:val="none" w:sz="0" w:space="0" w:color="auto"/>
                <w:right w:val="none" w:sz="0" w:space="0" w:color="auto"/>
              </w:divBdr>
              <w:divsChild>
                <w:div w:id="1465081769">
                  <w:marLeft w:val="0"/>
                  <w:marRight w:val="0"/>
                  <w:marTop w:val="0"/>
                  <w:marBottom w:val="0"/>
                  <w:divBdr>
                    <w:top w:val="none" w:sz="0" w:space="0" w:color="auto"/>
                    <w:left w:val="none" w:sz="0" w:space="0" w:color="auto"/>
                    <w:bottom w:val="none" w:sz="0" w:space="0" w:color="auto"/>
                    <w:right w:val="none" w:sz="0" w:space="0" w:color="auto"/>
                  </w:divBdr>
                  <w:divsChild>
                    <w:div w:id="131984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714694">
      <w:bodyDiv w:val="1"/>
      <w:marLeft w:val="0"/>
      <w:marRight w:val="0"/>
      <w:marTop w:val="0"/>
      <w:marBottom w:val="0"/>
      <w:divBdr>
        <w:top w:val="none" w:sz="0" w:space="0" w:color="auto"/>
        <w:left w:val="none" w:sz="0" w:space="0" w:color="auto"/>
        <w:bottom w:val="none" w:sz="0" w:space="0" w:color="auto"/>
        <w:right w:val="none" w:sz="0" w:space="0" w:color="auto"/>
      </w:divBdr>
      <w:divsChild>
        <w:div w:id="626087527">
          <w:marLeft w:val="0"/>
          <w:marRight w:val="0"/>
          <w:marTop w:val="100"/>
          <w:marBottom w:val="100"/>
          <w:divBdr>
            <w:top w:val="none" w:sz="0" w:space="0" w:color="auto"/>
            <w:left w:val="single" w:sz="6" w:space="0" w:color="CCCCCC"/>
            <w:bottom w:val="none" w:sz="0" w:space="0" w:color="auto"/>
            <w:right w:val="single" w:sz="6" w:space="0" w:color="CCCCCC"/>
          </w:divBdr>
          <w:divsChild>
            <w:div w:id="75879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9822">
      <w:bodyDiv w:val="1"/>
      <w:marLeft w:val="0"/>
      <w:marRight w:val="0"/>
      <w:marTop w:val="0"/>
      <w:marBottom w:val="0"/>
      <w:divBdr>
        <w:top w:val="none" w:sz="0" w:space="0" w:color="auto"/>
        <w:left w:val="none" w:sz="0" w:space="0" w:color="auto"/>
        <w:bottom w:val="none" w:sz="0" w:space="0" w:color="auto"/>
        <w:right w:val="none" w:sz="0" w:space="0" w:color="auto"/>
      </w:divBdr>
      <w:divsChild>
        <w:div w:id="912277490">
          <w:marLeft w:val="0"/>
          <w:marRight w:val="0"/>
          <w:marTop w:val="0"/>
          <w:marBottom w:val="0"/>
          <w:divBdr>
            <w:top w:val="none" w:sz="0" w:space="0" w:color="auto"/>
            <w:left w:val="none" w:sz="0" w:space="0" w:color="auto"/>
            <w:bottom w:val="none" w:sz="0" w:space="0" w:color="auto"/>
            <w:right w:val="none" w:sz="0" w:space="0" w:color="auto"/>
          </w:divBdr>
          <w:divsChild>
            <w:div w:id="164513601">
              <w:marLeft w:val="0"/>
              <w:marRight w:val="0"/>
              <w:marTop w:val="0"/>
              <w:marBottom w:val="0"/>
              <w:divBdr>
                <w:top w:val="none" w:sz="0" w:space="0" w:color="auto"/>
                <w:left w:val="none" w:sz="0" w:space="0" w:color="auto"/>
                <w:bottom w:val="none" w:sz="0" w:space="0" w:color="auto"/>
                <w:right w:val="none" w:sz="0" w:space="0" w:color="auto"/>
              </w:divBdr>
              <w:divsChild>
                <w:div w:id="838154965">
                  <w:marLeft w:val="0"/>
                  <w:marRight w:val="0"/>
                  <w:marTop w:val="300"/>
                  <w:marBottom w:val="375"/>
                  <w:divBdr>
                    <w:top w:val="none" w:sz="0" w:space="0" w:color="auto"/>
                    <w:left w:val="none" w:sz="0" w:space="0" w:color="auto"/>
                    <w:bottom w:val="none" w:sz="0" w:space="0" w:color="auto"/>
                    <w:right w:val="none" w:sz="0" w:space="0" w:color="auto"/>
                  </w:divBdr>
                  <w:divsChild>
                    <w:div w:id="32852942">
                      <w:marLeft w:val="0"/>
                      <w:marRight w:val="0"/>
                      <w:marTop w:val="0"/>
                      <w:marBottom w:val="0"/>
                      <w:divBdr>
                        <w:top w:val="none" w:sz="0" w:space="0" w:color="auto"/>
                        <w:left w:val="none" w:sz="0" w:space="0" w:color="auto"/>
                        <w:bottom w:val="none" w:sz="0" w:space="0" w:color="auto"/>
                        <w:right w:val="none" w:sz="0" w:space="0" w:color="auto"/>
                      </w:divBdr>
                      <w:divsChild>
                        <w:div w:id="1926912587">
                          <w:marLeft w:val="0"/>
                          <w:marRight w:val="0"/>
                          <w:marTop w:val="0"/>
                          <w:marBottom w:val="0"/>
                          <w:divBdr>
                            <w:top w:val="none" w:sz="0" w:space="0" w:color="auto"/>
                            <w:left w:val="none" w:sz="0" w:space="0" w:color="auto"/>
                            <w:bottom w:val="none" w:sz="0" w:space="0" w:color="auto"/>
                            <w:right w:val="none" w:sz="0" w:space="0" w:color="auto"/>
                          </w:divBdr>
                          <w:divsChild>
                            <w:div w:id="1190070959">
                              <w:marLeft w:val="0"/>
                              <w:marRight w:val="0"/>
                              <w:marTop w:val="0"/>
                              <w:marBottom w:val="0"/>
                              <w:divBdr>
                                <w:top w:val="none" w:sz="0" w:space="0" w:color="auto"/>
                                <w:left w:val="none" w:sz="0" w:space="0" w:color="auto"/>
                                <w:bottom w:val="none" w:sz="0" w:space="0" w:color="auto"/>
                                <w:right w:val="none" w:sz="0" w:space="0" w:color="auto"/>
                              </w:divBdr>
                              <w:divsChild>
                                <w:div w:id="80373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185035">
      <w:bodyDiv w:val="1"/>
      <w:marLeft w:val="0"/>
      <w:marRight w:val="0"/>
      <w:marTop w:val="0"/>
      <w:marBottom w:val="0"/>
      <w:divBdr>
        <w:top w:val="none" w:sz="0" w:space="0" w:color="auto"/>
        <w:left w:val="none" w:sz="0" w:space="0" w:color="auto"/>
        <w:bottom w:val="none" w:sz="0" w:space="0" w:color="auto"/>
        <w:right w:val="none" w:sz="0" w:space="0" w:color="auto"/>
      </w:divBdr>
      <w:divsChild>
        <w:div w:id="940719654">
          <w:marLeft w:val="0"/>
          <w:marRight w:val="0"/>
          <w:marTop w:val="0"/>
          <w:marBottom w:val="0"/>
          <w:divBdr>
            <w:top w:val="none" w:sz="0" w:space="0" w:color="auto"/>
            <w:left w:val="none" w:sz="0" w:space="0" w:color="auto"/>
            <w:bottom w:val="none" w:sz="0" w:space="0" w:color="auto"/>
            <w:right w:val="none" w:sz="0" w:space="0" w:color="auto"/>
          </w:divBdr>
        </w:div>
      </w:divsChild>
    </w:div>
    <w:div w:id="1422485711">
      <w:bodyDiv w:val="1"/>
      <w:marLeft w:val="0"/>
      <w:marRight w:val="0"/>
      <w:marTop w:val="0"/>
      <w:marBottom w:val="0"/>
      <w:divBdr>
        <w:top w:val="none" w:sz="0" w:space="0" w:color="auto"/>
        <w:left w:val="none" w:sz="0" w:space="0" w:color="auto"/>
        <w:bottom w:val="none" w:sz="0" w:space="0" w:color="auto"/>
        <w:right w:val="none" w:sz="0" w:space="0" w:color="auto"/>
      </w:divBdr>
      <w:divsChild>
        <w:div w:id="1081487155">
          <w:marLeft w:val="0"/>
          <w:marRight w:val="0"/>
          <w:marTop w:val="0"/>
          <w:marBottom w:val="0"/>
          <w:divBdr>
            <w:top w:val="none" w:sz="0" w:space="0" w:color="auto"/>
            <w:left w:val="none" w:sz="0" w:space="0" w:color="auto"/>
            <w:bottom w:val="none" w:sz="0" w:space="0" w:color="auto"/>
            <w:right w:val="none" w:sz="0" w:space="0" w:color="auto"/>
          </w:divBdr>
          <w:divsChild>
            <w:div w:id="1347171390">
              <w:marLeft w:val="0"/>
              <w:marRight w:val="0"/>
              <w:marTop w:val="0"/>
              <w:marBottom w:val="0"/>
              <w:divBdr>
                <w:top w:val="none" w:sz="0" w:space="0" w:color="auto"/>
                <w:left w:val="none" w:sz="0" w:space="0" w:color="auto"/>
                <w:bottom w:val="none" w:sz="0" w:space="0" w:color="auto"/>
                <w:right w:val="none" w:sz="0" w:space="0" w:color="auto"/>
              </w:divBdr>
              <w:divsChild>
                <w:div w:id="1032074152">
                  <w:marLeft w:val="0"/>
                  <w:marRight w:val="0"/>
                  <w:marTop w:val="0"/>
                  <w:marBottom w:val="0"/>
                  <w:divBdr>
                    <w:top w:val="none" w:sz="0" w:space="0" w:color="auto"/>
                    <w:left w:val="none" w:sz="0" w:space="0" w:color="auto"/>
                    <w:bottom w:val="none" w:sz="0" w:space="0" w:color="auto"/>
                    <w:right w:val="none" w:sz="0" w:space="0" w:color="auto"/>
                  </w:divBdr>
                  <w:divsChild>
                    <w:div w:id="620189370">
                      <w:marLeft w:val="0"/>
                      <w:marRight w:val="0"/>
                      <w:marTop w:val="0"/>
                      <w:marBottom w:val="0"/>
                      <w:divBdr>
                        <w:top w:val="none" w:sz="0" w:space="0" w:color="auto"/>
                        <w:left w:val="none" w:sz="0" w:space="0" w:color="auto"/>
                        <w:bottom w:val="none" w:sz="0" w:space="0" w:color="auto"/>
                        <w:right w:val="none" w:sz="0" w:space="0" w:color="auto"/>
                      </w:divBdr>
                      <w:divsChild>
                        <w:div w:id="93378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26881">
      <w:bodyDiv w:val="1"/>
      <w:marLeft w:val="0"/>
      <w:marRight w:val="0"/>
      <w:marTop w:val="0"/>
      <w:marBottom w:val="0"/>
      <w:divBdr>
        <w:top w:val="none" w:sz="0" w:space="0" w:color="auto"/>
        <w:left w:val="none" w:sz="0" w:space="0" w:color="auto"/>
        <w:bottom w:val="none" w:sz="0" w:space="0" w:color="auto"/>
        <w:right w:val="none" w:sz="0" w:space="0" w:color="auto"/>
      </w:divBdr>
      <w:divsChild>
        <w:div w:id="1744597099">
          <w:marLeft w:val="0"/>
          <w:marRight w:val="0"/>
          <w:marTop w:val="100"/>
          <w:marBottom w:val="100"/>
          <w:divBdr>
            <w:top w:val="none" w:sz="0" w:space="0" w:color="auto"/>
            <w:left w:val="single" w:sz="6" w:space="0" w:color="CCCCCC"/>
            <w:bottom w:val="none" w:sz="0" w:space="0" w:color="auto"/>
            <w:right w:val="single" w:sz="6" w:space="0" w:color="CCCCCC"/>
          </w:divBdr>
          <w:divsChild>
            <w:div w:id="116347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877071">
      <w:bodyDiv w:val="1"/>
      <w:marLeft w:val="0"/>
      <w:marRight w:val="0"/>
      <w:marTop w:val="0"/>
      <w:marBottom w:val="0"/>
      <w:divBdr>
        <w:top w:val="none" w:sz="0" w:space="0" w:color="auto"/>
        <w:left w:val="none" w:sz="0" w:space="0" w:color="auto"/>
        <w:bottom w:val="none" w:sz="0" w:space="0" w:color="auto"/>
        <w:right w:val="none" w:sz="0" w:space="0" w:color="auto"/>
      </w:divBdr>
      <w:divsChild>
        <w:div w:id="793057357">
          <w:marLeft w:val="0"/>
          <w:marRight w:val="0"/>
          <w:marTop w:val="0"/>
          <w:marBottom w:val="0"/>
          <w:divBdr>
            <w:top w:val="none" w:sz="0" w:space="0" w:color="auto"/>
            <w:left w:val="none" w:sz="0" w:space="0" w:color="auto"/>
            <w:bottom w:val="none" w:sz="0" w:space="0" w:color="auto"/>
            <w:right w:val="none" w:sz="0" w:space="0" w:color="auto"/>
          </w:divBdr>
        </w:div>
      </w:divsChild>
    </w:div>
    <w:div w:id="1478448822">
      <w:bodyDiv w:val="1"/>
      <w:marLeft w:val="0"/>
      <w:marRight w:val="0"/>
      <w:marTop w:val="0"/>
      <w:marBottom w:val="0"/>
      <w:divBdr>
        <w:top w:val="none" w:sz="0" w:space="0" w:color="auto"/>
        <w:left w:val="none" w:sz="0" w:space="0" w:color="auto"/>
        <w:bottom w:val="none" w:sz="0" w:space="0" w:color="auto"/>
        <w:right w:val="none" w:sz="0" w:space="0" w:color="auto"/>
      </w:divBdr>
    </w:div>
    <w:div w:id="1488134070">
      <w:bodyDiv w:val="1"/>
      <w:marLeft w:val="0"/>
      <w:marRight w:val="0"/>
      <w:marTop w:val="0"/>
      <w:marBottom w:val="0"/>
      <w:divBdr>
        <w:top w:val="none" w:sz="0" w:space="0" w:color="auto"/>
        <w:left w:val="none" w:sz="0" w:space="0" w:color="auto"/>
        <w:bottom w:val="none" w:sz="0" w:space="0" w:color="auto"/>
        <w:right w:val="none" w:sz="0" w:space="0" w:color="auto"/>
      </w:divBdr>
      <w:divsChild>
        <w:div w:id="1308241837">
          <w:marLeft w:val="0"/>
          <w:marRight w:val="0"/>
          <w:marTop w:val="0"/>
          <w:marBottom w:val="0"/>
          <w:divBdr>
            <w:top w:val="none" w:sz="0" w:space="0" w:color="auto"/>
            <w:left w:val="none" w:sz="0" w:space="0" w:color="auto"/>
            <w:bottom w:val="none" w:sz="0" w:space="0" w:color="auto"/>
            <w:right w:val="none" w:sz="0" w:space="0" w:color="auto"/>
          </w:divBdr>
          <w:divsChild>
            <w:div w:id="4490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86327">
      <w:bodyDiv w:val="1"/>
      <w:marLeft w:val="0"/>
      <w:marRight w:val="0"/>
      <w:marTop w:val="0"/>
      <w:marBottom w:val="0"/>
      <w:divBdr>
        <w:top w:val="none" w:sz="0" w:space="0" w:color="auto"/>
        <w:left w:val="none" w:sz="0" w:space="0" w:color="auto"/>
        <w:bottom w:val="none" w:sz="0" w:space="0" w:color="auto"/>
        <w:right w:val="none" w:sz="0" w:space="0" w:color="auto"/>
      </w:divBdr>
      <w:divsChild>
        <w:div w:id="2095323000">
          <w:marLeft w:val="0"/>
          <w:marRight w:val="0"/>
          <w:marTop w:val="0"/>
          <w:marBottom w:val="0"/>
          <w:divBdr>
            <w:top w:val="none" w:sz="0" w:space="0" w:color="auto"/>
            <w:left w:val="single" w:sz="6" w:space="0" w:color="DDDDDD"/>
            <w:bottom w:val="none" w:sz="0" w:space="0" w:color="auto"/>
            <w:right w:val="single" w:sz="6" w:space="0" w:color="DDDDDD"/>
          </w:divBdr>
          <w:divsChild>
            <w:div w:id="131601206">
              <w:marLeft w:val="0"/>
              <w:marRight w:val="0"/>
              <w:marTop w:val="0"/>
              <w:marBottom w:val="0"/>
              <w:divBdr>
                <w:top w:val="none" w:sz="0" w:space="0" w:color="auto"/>
                <w:left w:val="none" w:sz="0" w:space="0" w:color="auto"/>
                <w:bottom w:val="none" w:sz="0" w:space="0" w:color="auto"/>
                <w:right w:val="none" w:sz="0" w:space="0" w:color="auto"/>
              </w:divBdr>
              <w:divsChild>
                <w:div w:id="1851068587">
                  <w:marLeft w:val="0"/>
                  <w:marRight w:val="0"/>
                  <w:marTop w:val="0"/>
                  <w:marBottom w:val="0"/>
                  <w:divBdr>
                    <w:top w:val="none" w:sz="0" w:space="0" w:color="auto"/>
                    <w:left w:val="none" w:sz="0" w:space="0" w:color="auto"/>
                    <w:bottom w:val="none" w:sz="0" w:space="0" w:color="auto"/>
                    <w:right w:val="none" w:sz="0" w:space="0" w:color="auto"/>
                  </w:divBdr>
                  <w:divsChild>
                    <w:div w:id="1740205680">
                      <w:marLeft w:val="0"/>
                      <w:marRight w:val="0"/>
                      <w:marTop w:val="0"/>
                      <w:marBottom w:val="0"/>
                      <w:divBdr>
                        <w:top w:val="none" w:sz="0" w:space="0" w:color="auto"/>
                        <w:left w:val="none" w:sz="0" w:space="0" w:color="auto"/>
                        <w:bottom w:val="none" w:sz="0" w:space="0" w:color="auto"/>
                        <w:right w:val="none" w:sz="0" w:space="0" w:color="auto"/>
                      </w:divBdr>
                      <w:divsChild>
                        <w:div w:id="959997828">
                          <w:marLeft w:val="0"/>
                          <w:marRight w:val="0"/>
                          <w:marTop w:val="0"/>
                          <w:marBottom w:val="0"/>
                          <w:divBdr>
                            <w:top w:val="none" w:sz="0" w:space="0" w:color="auto"/>
                            <w:left w:val="none" w:sz="0" w:space="0" w:color="auto"/>
                            <w:bottom w:val="none" w:sz="0" w:space="0" w:color="auto"/>
                            <w:right w:val="none" w:sz="0" w:space="0" w:color="auto"/>
                          </w:divBdr>
                          <w:divsChild>
                            <w:div w:id="129057304">
                              <w:marLeft w:val="0"/>
                              <w:marRight w:val="0"/>
                              <w:marTop w:val="0"/>
                              <w:marBottom w:val="0"/>
                              <w:divBdr>
                                <w:top w:val="none" w:sz="0" w:space="0" w:color="auto"/>
                                <w:left w:val="none" w:sz="0" w:space="0" w:color="auto"/>
                                <w:bottom w:val="none" w:sz="0" w:space="0" w:color="auto"/>
                                <w:right w:val="none" w:sz="0" w:space="0" w:color="auto"/>
                              </w:divBdr>
                              <w:divsChild>
                                <w:div w:id="474025718">
                                  <w:marLeft w:val="0"/>
                                  <w:marRight w:val="0"/>
                                  <w:marTop w:val="0"/>
                                  <w:marBottom w:val="0"/>
                                  <w:divBdr>
                                    <w:top w:val="none" w:sz="0" w:space="0" w:color="auto"/>
                                    <w:left w:val="none" w:sz="0" w:space="0" w:color="auto"/>
                                    <w:bottom w:val="none" w:sz="0" w:space="0" w:color="auto"/>
                                    <w:right w:val="none" w:sz="0" w:space="0" w:color="auto"/>
                                  </w:divBdr>
                                  <w:divsChild>
                                    <w:div w:id="1083644026">
                                      <w:marLeft w:val="0"/>
                                      <w:marRight w:val="0"/>
                                      <w:marTop w:val="0"/>
                                      <w:marBottom w:val="0"/>
                                      <w:divBdr>
                                        <w:top w:val="none" w:sz="0" w:space="0" w:color="auto"/>
                                        <w:left w:val="none" w:sz="0" w:space="0" w:color="auto"/>
                                        <w:bottom w:val="none" w:sz="0" w:space="0" w:color="auto"/>
                                        <w:right w:val="none" w:sz="0" w:space="0" w:color="auto"/>
                                      </w:divBdr>
                                      <w:divsChild>
                                        <w:div w:id="1452435141">
                                          <w:marLeft w:val="0"/>
                                          <w:marRight w:val="0"/>
                                          <w:marTop w:val="0"/>
                                          <w:marBottom w:val="0"/>
                                          <w:divBdr>
                                            <w:top w:val="none" w:sz="0" w:space="0" w:color="auto"/>
                                            <w:left w:val="none" w:sz="0" w:space="0" w:color="auto"/>
                                            <w:bottom w:val="none" w:sz="0" w:space="0" w:color="auto"/>
                                            <w:right w:val="none" w:sz="0" w:space="0" w:color="auto"/>
                                          </w:divBdr>
                                          <w:divsChild>
                                            <w:div w:id="1180781966">
                                              <w:marLeft w:val="0"/>
                                              <w:marRight w:val="0"/>
                                              <w:marTop w:val="0"/>
                                              <w:marBottom w:val="0"/>
                                              <w:divBdr>
                                                <w:top w:val="none" w:sz="0" w:space="0" w:color="auto"/>
                                                <w:left w:val="none" w:sz="0" w:space="0" w:color="auto"/>
                                                <w:bottom w:val="none" w:sz="0" w:space="0" w:color="auto"/>
                                                <w:right w:val="none" w:sz="0" w:space="0" w:color="auto"/>
                                              </w:divBdr>
                                              <w:divsChild>
                                                <w:div w:id="1974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5368114">
      <w:bodyDiv w:val="1"/>
      <w:marLeft w:val="0"/>
      <w:marRight w:val="0"/>
      <w:marTop w:val="0"/>
      <w:marBottom w:val="0"/>
      <w:divBdr>
        <w:top w:val="none" w:sz="0" w:space="0" w:color="auto"/>
        <w:left w:val="none" w:sz="0" w:space="0" w:color="auto"/>
        <w:bottom w:val="none" w:sz="0" w:space="0" w:color="auto"/>
        <w:right w:val="none" w:sz="0" w:space="0" w:color="auto"/>
      </w:divBdr>
      <w:divsChild>
        <w:div w:id="429472988">
          <w:marLeft w:val="0"/>
          <w:marRight w:val="0"/>
          <w:marTop w:val="0"/>
          <w:marBottom w:val="0"/>
          <w:divBdr>
            <w:top w:val="none" w:sz="0" w:space="0" w:color="auto"/>
            <w:left w:val="none" w:sz="0" w:space="0" w:color="auto"/>
            <w:bottom w:val="none" w:sz="0" w:space="0" w:color="auto"/>
            <w:right w:val="none" w:sz="0" w:space="0" w:color="auto"/>
          </w:divBdr>
        </w:div>
      </w:divsChild>
    </w:div>
    <w:div w:id="1673603212">
      <w:bodyDiv w:val="1"/>
      <w:marLeft w:val="0"/>
      <w:marRight w:val="0"/>
      <w:marTop w:val="0"/>
      <w:marBottom w:val="0"/>
      <w:divBdr>
        <w:top w:val="none" w:sz="0" w:space="0" w:color="auto"/>
        <w:left w:val="none" w:sz="0" w:space="0" w:color="auto"/>
        <w:bottom w:val="none" w:sz="0" w:space="0" w:color="auto"/>
        <w:right w:val="none" w:sz="0" w:space="0" w:color="auto"/>
      </w:divBdr>
      <w:divsChild>
        <w:div w:id="1492715867">
          <w:marLeft w:val="0"/>
          <w:marRight w:val="0"/>
          <w:marTop w:val="0"/>
          <w:marBottom w:val="0"/>
          <w:divBdr>
            <w:top w:val="none" w:sz="0" w:space="0" w:color="auto"/>
            <w:left w:val="none" w:sz="0" w:space="0" w:color="auto"/>
            <w:bottom w:val="none" w:sz="0" w:space="0" w:color="auto"/>
            <w:right w:val="none" w:sz="0" w:space="0" w:color="auto"/>
          </w:divBdr>
          <w:divsChild>
            <w:div w:id="1550067900">
              <w:marLeft w:val="0"/>
              <w:marRight w:val="0"/>
              <w:marTop w:val="0"/>
              <w:marBottom w:val="0"/>
              <w:divBdr>
                <w:top w:val="none" w:sz="0" w:space="0" w:color="auto"/>
                <w:left w:val="none" w:sz="0" w:space="0" w:color="auto"/>
                <w:bottom w:val="none" w:sz="0" w:space="0" w:color="auto"/>
                <w:right w:val="none" w:sz="0" w:space="0" w:color="auto"/>
              </w:divBdr>
              <w:divsChild>
                <w:div w:id="122148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786083">
      <w:bodyDiv w:val="1"/>
      <w:marLeft w:val="0"/>
      <w:marRight w:val="0"/>
      <w:marTop w:val="0"/>
      <w:marBottom w:val="0"/>
      <w:divBdr>
        <w:top w:val="none" w:sz="0" w:space="0" w:color="auto"/>
        <w:left w:val="none" w:sz="0" w:space="0" w:color="auto"/>
        <w:bottom w:val="none" w:sz="0" w:space="0" w:color="auto"/>
        <w:right w:val="none" w:sz="0" w:space="0" w:color="auto"/>
      </w:divBdr>
    </w:div>
    <w:div w:id="1771319761">
      <w:bodyDiv w:val="1"/>
      <w:marLeft w:val="0"/>
      <w:marRight w:val="0"/>
      <w:marTop w:val="0"/>
      <w:marBottom w:val="0"/>
      <w:divBdr>
        <w:top w:val="none" w:sz="0" w:space="0" w:color="auto"/>
        <w:left w:val="none" w:sz="0" w:space="0" w:color="auto"/>
        <w:bottom w:val="none" w:sz="0" w:space="0" w:color="auto"/>
        <w:right w:val="none" w:sz="0" w:space="0" w:color="auto"/>
      </w:divBdr>
      <w:divsChild>
        <w:div w:id="1103955260">
          <w:marLeft w:val="0"/>
          <w:marRight w:val="0"/>
          <w:marTop w:val="0"/>
          <w:marBottom w:val="0"/>
          <w:divBdr>
            <w:top w:val="none" w:sz="0" w:space="0" w:color="auto"/>
            <w:left w:val="none" w:sz="0" w:space="0" w:color="auto"/>
            <w:bottom w:val="none" w:sz="0" w:space="0" w:color="auto"/>
            <w:right w:val="none" w:sz="0" w:space="0" w:color="auto"/>
          </w:divBdr>
          <w:divsChild>
            <w:div w:id="1966037160">
              <w:marLeft w:val="0"/>
              <w:marRight w:val="0"/>
              <w:marTop w:val="100"/>
              <w:marBottom w:val="100"/>
              <w:divBdr>
                <w:top w:val="none" w:sz="0" w:space="0" w:color="auto"/>
                <w:left w:val="none" w:sz="0" w:space="0" w:color="auto"/>
                <w:bottom w:val="none" w:sz="0" w:space="0" w:color="auto"/>
                <w:right w:val="none" w:sz="0" w:space="0" w:color="auto"/>
              </w:divBdr>
              <w:divsChild>
                <w:div w:id="1885287884">
                  <w:marLeft w:val="0"/>
                  <w:marRight w:val="0"/>
                  <w:marTop w:val="0"/>
                  <w:marBottom w:val="0"/>
                  <w:divBdr>
                    <w:top w:val="none" w:sz="0" w:space="0" w:color="auto"/>
                    <w:left w:val="none" w:sz="0" w:space="0" w:color="auto"/>
                    <w:bottom w:val="none" w:sz="0" w:space="0" w:color="auto"/>
                    <w:right w:val="none" w:sz="0" w:space="0" w:color="auto"/>
                  </w:divBdr>
                  <w:divsChild>
                    <w:div w:id="38891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981114">
      <w:bodyDiv w:val="1"/>
      <w:marLeft w:val="0"/>
      <w:marRight w:val="0"/>
      <w:marTop w:val="0"/>
      <w:marBottom w:val="0"/>
      <w:divBdr>
        <w:top w:val="none" w:sz="0" w:space="0" w:color="auto"/>
        <w:left w:val="none" w:sz="0" w:space="0" w:color="auto"/>
        <w:bottom w:val="none" w:sz="0" w:space="0" w:color="auto"/>
        <w:right w:val="none" w:sz="0" w:space="0" w:color="auto"/>
      </w:divBdr>
      <w:divsChild>
        <w:div w:id="1522627515">
          <w:marLeft w:val="0"/>
          <w:marRight w:val="0"/>
          <w:marTop w:val="0"/>
          <w:marBottom w:val="0"/>
          <w:divBdr>
            <w:top w:val="none" w:sz="0" w:space="0" w:color="auto"/>
            <w:left w:val="none" w:sz="0" w:space="0" w:color="auto"/>
            <w:bottom w:val="none" w:sz="0" w:space="0" w:color="auto"/>
            <w:right w:val="none" w:sz="0" w:space="0" w:color="auto"/>
          </w:divBdr>
          <w:divsChild>
            <w:div w:id="718088003">
              <w:marLeft w:val="0"/>
              <w:marRight w:val="0"/>
              <w:marTop w:val="0"/>
              <w:marBottom w:val="0"/>
              <w:divBdr>
                <w:top w:val="none" w:sz="0" w:space="0" w:color="auto"/>
                <w:left w:val="none" w:sz="0" w:space="0" w:color="auto"/>
                <w:bottom w:val="none" w:sz="0" w:space="0" w:color="auto"/>
                <w:right w:val="none" w:sz="0" w:space="0" w:color="auto"/>
              </w:divBdr>
              <w:divsChild>
                <w:div w:id="210568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597159">
      <w:bodyDiv w:val="1"/>
      <w:marLeft w:val="0"/>
      <w:marRight w:val="0"/>
      <w:marTop w:val="0"/>
      <w:marBottom w:val="0"/>
      <w:divBdr>
        <w:top w:val="none" w:sz="0" w:space="0" w:color="auto"/>
        <w:left w:val="none" w:sz="0" w:space="0" w:color="auto"/>
        <w:bottom w:val="none" w:sz="0" w:space="0" w:color="auto"/>
        <w:right w:val="none" w:sz="0" w:space="0" w:color="auto"/>
      </w:divBdr>
    </w:div>
    <w:div w:id="1964342057">
      <w:bodyDiv w:val="1"/>
      <w:marLeft w:val="0"/>
      <w:marRight w:val="0"/>
      <w:marTop w:val="0"/>
      <w:marBottom w:val="0"/>
      <w:divBdr>
        <w:top w:val="none" w:sz="0" w:space="0" w:color="auto"/>
        <w:left w:val="none" w:sz="0" w:space="0" w:color="auto"/>
        <w:bottom w:val="none" w:sz="0" w:space="0" w:color="auto"/>
        <w:right w:val="none" w:sz="0" w:space="0" w:color="auto"/>
      </w:divBdr>
    </w:div>
    <w:div w:id="1967543206">
      <w:bodyDiv w:val="1"/>
      <w:marLeft w:val="0"/>
      <w:marRight w:val="0"/>
      <w:marTop w:val="0"/>
      <w:marBottom w:val="0"/>
      <w:divBdr>
        <w:top w:val="none" w:sz="0" w:space="0" w:color="auto"/>
        <w:left w:val="none" w:sz="0" w:space="0" w:color="auto"/>
        <w:bottom w:val="none" w:sz="0" w:space="0" w:color="auto"/>
        <w:right w:val="none" w:sz="0" w:space="0" w:color="auto"/>
      </w:divBdr>
      <w:divsChild>
        <w:div w:id="2035574360">
          <w:marLeft w:val="0"/>
          <w:marRight w:val="0"/>
          <w:marTop w:val="0"/>
          <w:marBottom w:val="0"/>
          <w:divBdr>
            <w:top w:val="none" w:sz="0" w:space="0" w:color="auto"/>
            <w:left w:val="none" w:sz="0" w:space="0" w:color="auto"/>
            <w:bottom w:val="none" w:sz="0" w:space="0" w:color="auto"/>
            <w:right w:val="none" w:sz="0" w:space="0" w:color="auto"/>
          </w:divBdr>
          <w:divsChild>
            <w:div w:id="415520413">
              <w:marLeft w:val="0"/>
              <w:marRight w:val="0"/>
              <w:marTop w:val="0"/>
              <w:marBottom w:val="0"/>
              <w:divBdr>
                <w:top w:val="none" w:sz="0" w:space="0" w:color="auto"/>
                <w:left w:val="none" w:sz="0" w:space="0" w:color="auto"/>
                <w:bottom w:val="none" w:sz="0" w:space="0" w:color="auto"/>
                <w:right w:val="none" w:sz="0" w:space="0" w:color="auto"/>
              </w:divBdr>
              <w:divsChild>
                <w:div w:id="872380091">
                  <w:marLeft w:val="15"/>
                  <w:marRight w:val="15"/>
                  <w:marTop w:val="0"/>
                  <w:marBottom w:val="0"/>
                  <w:divBdr>
                    <w:top w:val="single" w:sz="6" w:space="0" w:color="FFFFFF"/>
                    <w:left w:val="single" w:sz="6" w:space="0" w:color="FFFFFF"/>
                    <w:bottom w:val="single" w:sz="6" w:space="11" w:color="FFFFFF"/>
                    <w:right w:val="single" w:sz="6" w:space="0" w:color="FFFFFF"/>
                  </w:divBdr>
                  <w:divsChild>
                    <w:div w:id="2123844244">
                      <w:marLeft w:val="300"/>
                      <w:marRight w:val="300"/>
                      <w:marTop w:val="300"/>
                      <w:marBottom w:val="0"/>
                      <w:divBdr>
                        <w:top w:val="none" w:sz="0" w:space="0" w:color="auto"/>
                        <w:left w:val="none" w:sz="0" w:space="0" w:color="auto"/>
                        <w:bottom w:val="none" w:sz="0" w:space="0" w:color="auto"/>
                        <w:right w:val="none" w:sz="0" w:space="0" w:color="auto"/>
                      </w:divBdr>
                      <w:divsChild>
                        <w:div w:id="1773238574">
                          <w:marLeft w:val="0"/>
                          <w:marRight w:val="0"/>
                          <w:marTop w:val="0"/>
                          <w:marBottom w:val="0"/>
                          <w:divBdr>
                            <w:top w:val="none" w:sz="0" w:space="0" w:color="auto"/>
                            <w:left w:val="none" w:sz="0" w:space="0" w:color="auto"/>
                            <w:bottom w:val="none" w:sz="0" w:space="0" w:color="auto"/>
                            <w:right w:val="none" w:sz="0" w:space="0" w:color="auto"/>
                          </w:divBdr>
                          <w:divsChild>
                            <w:div w:id="1992442313">
                              <w:marLeft w:val="0"/>
                              <w:marRight w:val="0"/>
                              <w:marTop w:val="0"/>
                              <w:marBottom w:val="15"/>
                              <w:divBdr>
                                <w:top w:val="single" w:sz="6" w:space="12" w:color="C8C8C8"/>
                                <w:left w:val="single" w:sz="6" w:space="15" w:color="C8C8C8"/>
                                <w:bottom w:val="single" w:sz="6" w:space="0" w:color="C8C8C8"/>
                                <w:right w:val="single" w:sz="6" w:space="15" w:color="C8C8C8"/>
                              </w:divBdr>
                            </w:div>
                          </w:divsChild>
                        </w:div>
                      </w:divsChild>
                    </w:div>
                  </w:divsChild>
                </w:div>
              </w:divsChild>
            </w:div>
          </w:divsChild>
        </w:div>
      </w:divsChild>
    </w:div>
    <w:div w:id="2079553680">
      <w:bodyDiv w:val="1"/>
      <w:marLeft w:val="0"/>
      <w:marRight w:val="0"/>
      <w:marTop w:val="0"/>
      <w:marBottom w:val="0"/>
      <w:divBdr>
        <w:top w:val="none" w:sz="0" w:space="0" w:color="auto"/>
        <w:left w:val="none" w:sz="0" w:space="0" w:color="auto"/>
        <w:bottom w:val="none" w:sz="0" w:space="0" w:color="auto"/>
        <w:right w:val="none" w:sz="0" w:space="0" w:color="auto"/>
      </w:divBdr>
      <w:divsChild>
        <w:div w:id="1451239977">
          <w:marLeft w:val="0"/>
          <w:marRight w:val="0"/>
          <w:marTop w:val="0"/>
          <w:marBottom w:val="0"/>
          <w:divBdr>
            <w:top w:val="none" w:sz="0" w:space="0" w:color="auto"/>
            <w:left w:val="none" w:sz="0" w:space="0" w:color="auto"/>
            <w:bottom w:val="none" w:sz="0" w:space="0" w:color="auto"/>
            <w:right w:val="none" w:sz="0" w:space="0" w:color="auto"/>
          </w:divBdr>
          <w:divsChild>
            <w:div w:id="1785463243">
              <w:marLeft w:val="0"/>
              <w:marRight w:val="0"/>
              <w:marTop w:val="0"/>
              <w:marBottom w:val="0"/>
              <w:divBdr>
                <w:top w:val="none" w:sz="0" w:space="0" w:color="auto"/>
                <w:left w:val="none" w:sz="0" w:space="0" w:color="auto"/>
                <w:bottom w:val="none" w:sz="0" w:space="0" w:color="auto"/>
                <w:right w:val="none" w:sz="0" w:space="0" w:color="auto"/>
              </w:divBdr>
              <w:divsChild>
                <w:div w:id="1744447270">
                  <w:marLeft w:val="0"/>
                  <w:marRight w:val="0"/>
                  <w:marTop w:val="0"/>
                  <w:marBottom w:val="0"/>
                  <w:divBdr>
                    <w:top w:val="none" w:sz="0" w:space="0" w:color="auto"/>
                    <w:left w:val="none" w:sz="0" w:space="0" w:color="auto"/>
                    <w:bottom w:val="none" w:sz="0" w:space="0" w:color="auto"/>
                    <w:right w:val="none" w:sz="0" w:space="0" w:color="auto"/>
                  </w:divBdr>
                  <w:divsChild>
                    <w:div w:id="946154318">
                      <w:marLeft w:val="0"/>
                      <w:marRight w:val="0"/>
                      <w:marTop w:val="0"/>
                      <w:marBottom w:val="0"/>
                      <w:divBdr>
                        <w:top w:val="none" w:sz="0" w:space="0" w:color="auto"/>
                        <w:left w:val="none" w:sz="0" w:space="0" w:color="auto"/>
                        <w:bottom w:val="none" w:sz="0" w:space="0" w:color="auto"/>
                        <w:right w:val="none" w:sz="0" w:space="0" w:color="auto"/>
                      </w:divBdr>
                      <w:divsChild>
                        <w:div w:id="603076216">
                          <w:marLeft w:val="0"/>
                          <w:marRight w:val="0"/>
                          <w:marTop w:val="0"/>
                          <w:marBottom w:val="0"/>
                          <w:divBdr>
                            <w:top w:val="none" w:sz="0" w:space="0" w:color="auto"/>
                            <w:left w:val="none" w:sz="0" w:space="0" w:color="auto"/>
                            <w:bottom w:val="none" w:sz="0" w:space="0" w:color="auto"/>
                            <w:right w:val="none" w:sz="0" w:space="0" w:color="auto"/>
                          </w:divBdr>
                          <w:divsChild>
                            <w:div w:id="1185486463">
                              <w:marLeft w:val="0"/>
                              <w:marRight w:val="0"/>
                              <w:marTop w:val="0"/>
                              <w:marBottom w:val="0"/>
                              <w:divBdr>
                                <w:top w:val="none" w:sz="0" w:space="0" w:color="auto"/>
                                <w:left w:val="none" w:sz="0" w:space="0" w:color="auto"/>
                                <w:bottom w:val="none" w:sz="0" w:space="0" w:color="auto"/>
                                <w:right w:val="none" w:sz="0" w:space="0" w:color="auto"/>
                              </w:divBdr>
                              <w:divsChild>
                                <w:div w:id="522401444">
                                  <w:marLeft w:val="0"/>
                                  <w:marRight w:val="0"/>
                                  <w:marTop w:val="0"/>
                                  <w:marBottom w:val="0"/>
                                  <w:divBdr>
                                    <w:top w:val="none" w:sz="0" w:space="0" w:color="auto"/>
                                    <w:left w:val="none" w:sz="0" w:space="0" w:color="auto"/>
                                    <w:bottom w:val="none" w:sz="0" w:space="0" w:color="auto"/>
                                    <w:right w:val="none" w:sz="0" w:space="0" w:color="auto"/>
                                  </w:divBdr>
                                  <w:divsChild>
                                    <w:div w:id="28882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731368">
      <w:bodyDiv w:val="1"/>
      <w:marLeft w:val="0"/>
      <w:marRight w:val="0"/>
      <w:marTop w:val="0"/>
      <w:marBottom w:val="0"/>
      <w:divBdr>
        <w:top w:val="none" w:sz="0" w:space="0" w:color="auto"/>
        <w:left w:val="none" w:sz="0" w:space="0" w:color="auto"/>
        <w:bottom w:val="none" w:sz="0" w:space="0" w:color="auto"/>
        <w:right w:val="none" w:sz="0" w:space="0" w:color="auto"/>
      </w:divBdr>
      <w:divsChild>
        <w:div w:id="880635778">
          <w:marLeft w:val="0"/>
          <w:marRight w:val="0"/>
          <w:marTop w:val="420"/>
          <w:marBottom w:val="0"/>
          <w:divBdr>
            <w:top w:val="none" w:sz="0" w:space="0" w:color="auto"/>
            <w:left w:val="none" w:sz="0" w:space="0" w:color="auto"/>
            <w:bottom w:val="none" w:sz="0" w:space="0" w:color="auto"/>
            <w:right w:val="none" w:sz="0" w:space="0" w:color="auto"/>
          </w:divBdr>
          <w:divsChild>
            <w:div w:id="660625505">
              <w:marLeft w:val="0"/>
              <w:marRight w:val="0"/>
              <w:marTop w:val="0"/>
              <w:marBottom w:val="720"/>
              <w:divBdr>
                <w:top w:val="none" w:sz="0" w:space="0" w:color="auto"/>
                <w:left w:val="none" w:sz="0" w:space="0" w:color="auto"/>
                <w:bottom w:val="none" w:sz="0" w:space="0" w:color="auto"/>
                <w:right w:val="none" w:sz="0" w:space="0" w:color="auto"/>
              </w:divBdr>
              <w:divsChild>
                <w:div w:id="2084793933">
                  <w:marLeft w:val="0"/>
                  <w:marRight w:val="0"/>
                  <w:marTop w:val="150"/>
                  <w:marBottom w:val="720"/>
                  <w:divBdr>
                    <w:top w:val="none" w:sz="0" w:space="0" w:color="auto"/>
                    <w:left w:val="none" w:sz="0" w:space="0" w:color="auto"/>
                    <w:bottom w:val="none" w:sz="0" w:space="0" w:color="auto"/>
                    <w:right w:val="none" w:sz="0" w:space="0" w:color="auto"/>
                  </w:divBdr>
                  <w:divsChild>
                    <w:div w:id="477385834">
                      <w:marLeft w:val="0"/>
                      <w:marRight w:val="0"/>
                      <w:marTop w:val="45"/>
                      <w:marBottom w:val="0"/>
                      <w:divBdr>
                        <w:top w:val="none" w:sz="0" w:space="0" w:color="auto"/>
                        <w:left w:val="none" w:sz="0" w:space="0" w:color="auto"/>
                        <w:bottom w:val="none" w:sz="0" w:space="0" w:color="auto"/>
                        <w:right w:val="none" w:sz="0" w:space="0" w:color="auto"/>
                      </w:divBdr>
                      <w:divsChild>
                        <w:div w:id="576213612">
                          <w:marLeft w:val="0"/>
                          <w:marRight w:val="0"/>
                          <w:marTop w:val="0"/>
                          <w:marBottom w:val="0"/>
                          <w:divBdr>
                            <w:top w:val="none" w:sz="0" w:space="0" w:color="auto"/>
                            <w:left w:val="none" w:sz="0" w:space="0" w:color="auto"/>
                            <w:bottom w:val="none" w:sz="0" w:space="0" w:color="auto"/>
                            <w:right w:val="none" w:sz="0" w:space="0" w:color="auto"/>
                          </w:divBdr>
                          <w:divsChild>
                            <w:div w:id="373116124">
                              <w:marLeft w:val="0"/>
                              <w:marRight w:val="0"/>
                              <w:marTop w:val="0"/>
                              <w:marBottom w:val="0"/>
                              <w:divBdr>
                                <w:top w:val="none" w:sz="0" w:space="0" w:color="auto"/>
                                <w:left w:val="none" w:sz="0" w:space="0" w:color="auto"/>
                                <w:bottom w:val="none" w:sz="0" w:space="0" w:color="auto"/>
                                <w:right w:val="none" w:sz="0" w:space="0" w:color="auto"/>
                              </w:divBdr>
                              <w:divsChild>
                                <w:div w:id="248119753">
                                  <w:marLeft w:val="0"/>
                                  <w:marRight w:val="0"/>
                                  <w:marTop w:val="0"/>
                                  <w:marBottom w:val="0"/>
                                  <w:divBdr>
                                    <w:top w:val="none" w:sz="0" w:space="0" w:color="auto"/>
                                    <w:left w:val="none" w:sz="0" w:space="0" w:color="auto"/>
                                    <w:bottom w:val="none" w:sz="0" w:space="0" w:color="auto"/>
                                    <w:right w:val="none" w:sz="0" w:space="0" w:color="auto"/>
                                  </w:divBdr>
                                  <w:divsChild>
                                    <w:div w:id="801966651">
                                      <w:marLeft w:val="0"/>
                                      <w:marRight w:val="0"/>
                                      <w:marTop w:val="0"/>
                                      <w:marBottom w:val="0"/>
                                      <w:divBdr>
                                        <w:top w:val="none" w:sz="0" w:space="0" w:color="auto"/>
                                        <w:left w:val="none" w:sz="0" w:space="0" w:color="auto"/>
                                        <w:bottom w:val="none" w:sz="0" w:space="0" w:color="auto"/>
                                        <w:right w:val="none" w:sz="0" w:space="0" w:color="auto"/>
                                      </w:divBdr>
                                      <w:divsChild>
                                        <w:div w:id="291983537">
                                          <w:marLeft w:val="0"/>
                                          <w:marRight w:val="0"/>
                                          <w:marTop w:val="0"/>
                                          <w:marBottom w:val="0"/>
                                          <w:divBdr>
                                            <w:top w:val="dotted" w:sz="6" w:space="8" w:color="D1DFE5"/>
                                            <w:left w:val="none" w:sz="0" w:space="0" w:color="auto"/>
                                            <w:bottom w:val="none" w:sz="0" w:space="0" w:color="auto"/>
                                            <w:right w:val="none" w:sz="0" w:space="0" w:color="auto"/>
                                          </w:divBdr>
                                          <w:divsChild>
                                            <w:div w:id="109559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www.knesset.gov.il/mmm/data/pdf/m03136.pdf" TargetMode="External"/><Relationship Id="rId2" Type="http://schemas.openxmlformats.org/officeDocument/2006/relationships/hyperlink" Target="http://www.justice.gov.il/Units/MishpatIvri/Gilyonot/425.doc" TargetMode="External"/><Relationship Id="rId1" Type="http://schemas.openxmlformats.org/officeDocument/2006/relationships/hyperlink" Target="http://www.justice.gov.il/Units/MishpatIvri/HavatDaatNew/104merots.doc" TargetMode="External"/><Relationship Id="rId4" Type="http://schemas.openxmlformats.org/officeDocument/2006/relationships/hyperlink" Target="http://www.daat.ac.il/mishpat-ivri/skirot/257-2.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11C9B3-09FD-4D9F-B52C-72861046984C}"/>
</file>

<file path=customXml/itemProps2.xml><?xml version="1.0" encoding="utf-8"?>
<ds:datastoreItem xmlns:ds="http://schemas.openxmlformats.org/officeDocument/2006/customXml" ds:itemID="{340AEF38-AF1B-4FE6-8E60-F820AB702948}"/>
</file>

<file path=customXml/itemProps3.xml><?xml version="1.0" encoding="utf-8"?>
<ds:datastoreItem xmlns:ds="http://schemas.openxmlformats.org/officeDocument/2006/customXml" ds:itemID="{926E32B6-FDFD-4E01-AF59-828225C5C09F}"/>
</file>

<file path=customXml/itemProps4.xml><?xml version="1.0" encoding="utf-8"?>
<ds:datastoreItem xmlns:ds="http://schemas.openxmlformats.org/officeDocument/2006/customXml" ds:itemID="{C1C15CA5-34D8-4B88-B66A-FA132640B1CE}"/>
</file>

<file path=docProps/app.xml><?xml version="1.0" encoding="utf-8"?>
<Properties xmlns="http://schemas.openxmlformats.org/officeDocument/2006/extended-properties" xmlns:vt="http://schemas.openxmlformats.org/officeDocument/2006/docPropsVTypes">
  <Template>Normal</Template>
  <TotalTime>1693</TotalTime>
  <Pages>26</Pages>
  <Words>6453</Words>
  <Characters>32266</Characters>
  <Application>Microsoft Office Word</Application>
  <DocSecurity>0</DocSecurity>
  <Lines>268</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38642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יעל טייב</dc:creator>
  <cp:lastModifiedBy>ירון אונגר</cp:lastModifiedBy>
  <cp:revision>6</cp:revision>
  <cp:lastPrinted>2016-05-31T06:36:00Z</cp:lastPrinted>
  <dcterms:created xsi:type="dcterms:W3CDTF">2016-07-10T15:12:00Z</dcterms:created>
  <dcterms:modified xsi:type="dcterms:W3CDTF">2016-07-18T13:48:00Z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2005702</vt:r8>
  </property>
</Properties>
</file>