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92C" w:rsidRPr="00FC48FA" w:rsidRDefault="009542CB" w:rsidP="0073192C">
      <w:pPr>
        <w:spacing w:line="240" w:lineRule="auto"/>
        <w:jc w:val="right"/>
        <w:rPr>
          <w:rFonts w:cs="David"/>
          <w:szCs w:val="22"/>
          <w:rtl/>
        </w:rPr>
      </w:pPr>
      <w:r>
        <w:rPr>
          <w:rFonts w:cs="David" w:hint="cs"/>
          <w:szCs w:val="22"/>
          <w:rtl/>
        </w:rPr>
        <w:t>י"ג</w:t>
      </w:r>
      <w:r w:rsidR="0073192C">
        <w:rPr>
          <w:rFonts w:cs="David" w:hint="cs"/>
          <w:szCs w:val="22"/>
          <w:rtl/>
        </w:rPr>
        <w:t xml:space="preserve"> בתמוז</w:t>
      </w:r>
      <w:r w:rsidR="0073192C" w:rsidRPr="00FC48FA">
        <w:rPr>
          <w:rFonts w:cs="David" w:hint="cs"/>
          <w:szCs w:val="22"/>
          <w:rtl/>
        </w:rPr>
        <w:t xml:space="preserve"> </w:t>
      </w:r>
      <w:proofErr w:type="spellStart"/>
      <w:r w:rsidR="0073192C" w:rsidRPr="00FC48FA">
        <w:rPr>
          <w:rFonts w:cs="David" w:hint="cs"/>
          <w:szCs w:val="22"/>
          <w:rtl/>
        </w:rPr>
        <w:t>התשע"ו</w:t>
      </w:r>
      <w:proofErr w:type="spellEnd"/>
    </w:p>
    <w:p w:rsidR="0073192C" w:rsidRPr="00FC48FA" w:rsidRDefault="009542CB" w:rsidP="0073192C">
      <w:pPr>
        <w:spacing w:line="240" w:lineRule="auto"/>
        <w:jc w:val="right"/>
        <w:rPr>
          <w:rFonts w:cs="David"/>
          <w:szCs w:val="22"/>
          <w:rtl/>
        </w:rPr>
      </w:pPr>
      <w:r>
        <w:rPr>
          <w:rFonts w:cs="David" w:hint="cs"/>
          <w:szCs w:val="22"/>
          <w:rtl/>
        </w:rPr>
        <w:t>19</w:t>
      </w:r>
      <w:r w:rsidR="0073192C" w:rsidRPr="00FC48FA">
        <w:rPr>
          <w:rFonts w:cs="David" w:hint="cs"/>
          <w:szCs w:val="22"/>
          <w:rtl/>
        </w:rPr>
        <w:t xml:space="preserve"> ביו</w:t>
      </w:r>
      <w:r w:rsidR="0073192C">
        <w:rPr>
          <w:rFonts w:cs="David" w:hint="cs"/>
          <w:szCs w:val="22"/>
          <w:rtl/>
        </w:rPr>
        <w:t>ל</w:t>
      </w:r>
      <w:r w:rsidR="0073192C" w:rsidRPr="00FC48FA">
        <w:rPr>
          <w:rFonts w:cs="David" w:hint="cs"/>
          <w:szCs w:val="22"/>
          <w:rtl/>
        </w:rPr>
        <w:t>י 2016</w:t>
      </w:r>
    </w:p>
    <w:p w:rsidR="00775BBB" w:rsidRPr="00FC48FA"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Pr="00AE3501"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proofErr w:type="spellStart"/>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proofErr w:type="spellEnd"/>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proofErr w:type="spellStart"/>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proofErr w:type="spellEnd"/>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3531AB" w:rsidRPr="00C72E89" w:rsidRDefault="00F461C3" w:rsidP="0077660E">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AD68F4">
        <w:rPr>
          <w:rFonts w:hint="cs"/>
          <w:b/>
          <w:bCs/>
          <w:color w:val="auto"/>
          <w:sz w:val="24"/>
          <w:szCs w:val="24"/>
          <w:rtl/>
        </w:rPr>
        <w:t xml:space="preserve">הערת ניסוח: </w:t>
      </w:r>
      <w:r w:rsidR="00DB7A6A" w:rsidRPr="00C72E89">
        <w:rPr>
          <w:rFonts w:hint="cs"/>
          <w:b/>
          <w:bCs/>
          <w:color w:val="auto"/>
          <w:sz w:val="24"/>
          <w:szCs w:val="24"/>
          <w:rtl/>
        </w:rPr>
        <w:t xml:space="preserve">"רשות המפעילה סמכות שפיטה" </w:t>
      </w:r>
      <w:r w:rsidR="00765D02">
        <w:rPr>
          <w:rFonts w:hint="cs"/>
          <w:color w:val="auto"/>
          <w:sz w:val="24"/>
          <w:szCs w:val="24"/>
          <w:rtl/>
        </w:rPr>
        <w:t xml:space="preserve">(הגדרת "ערכאה") </w:t>
      </w:r>
      <w:r w:rsidR="00DB7A6A" w:rsidRPr="00C72E89">
        <w:rPr>
          <w:color w:val="auto"/>
          <w:sz w:val="24"/>
          <w:szCs w:val="24"/>
          <w:rtl/>
        </w:rPr>
        <w:t>–</w:t>
      </w:r>
      <w:r w:rsidRPr="00C72E89">
        <w:rPr>
          <w:rFonts w:hint="cs"/>
          <w:color w:val="auto"/>
          <w:sz w:val="24"/>
          <w:szCs w:val="24"/>
          <w:rtl/>
        </w:rPr>
        <w:t xml:space="preserve"> </w:t>
      </w:r>
      <w:r w:rsidR="000D4BE4">
        <w:rPr>
          <w:rFonts w:hint="cs"/>
          <w:color w:val="auto"/>
          <w:sz w:val="24"/>
          <w:szCs w:val="24"/>
          <w:rtl/>
        </w:rPr>
        <w:t xml:space="preserve">האם רשויות </w:t>
      </w:r>
      <w:proofErr w:type="spellStart"/>
      <w:r w:rsidR="000D4BE4">
        <w:rPr>
          <w:rFonts w:hint="cs"/>
          <w:color w:val="auto"/>
          <w:sz w:val="24"/>
          <w:szCs w:val="24"/>
          <w:rtl/>
        </w:rPr>
        <w:t>מינהליות</w:t>
      </w:r>
      <w:proofErr w:type="spellEnd"/>
      <w:r w:rsidR="000D4BE4">
        <w:rPr>
          <w:rFonts w:hint="cs"/>
          <w:color w:val="auto"/>
          <w:sz w:val="24"/>
          <w:szCs w:val="24"/>
          <w:rtl/>
        </w:rPr>
        <w:t xml:space="preserve"> שיש להן </w:t>
      </w:r>
      <w:r w:rsidRPr="0090063D">
        <w:rPr>
          <w:rFonts w:hint="cs"/>
          <w:color w:val="auto"/>
          <w:sz w:val="24"/>
          <w:szCs w:val="24"/>
          <w:rtl/>
        </w:rPr>
        <w:t xml:space="preserve">סמכויות </w:t>
      </w:r>
      <w:r w:rsidRPr="002D6247">
        <w:rPr>
          <w:rFonts w:hint="cs"/>
          <w:color w:val="auto"/>
          <w:sz w:val="24"/>
          <w:szCs w:val="24"/>
          <w:u w:val="single"/>
          <w:rtl/>
        </w:rPr>
        <w:t>מעין שיפוטיות</w:t>
      </w:r>
      <w:r w:rsidR="000D4BE4">
        <w:rPr>
          <w:rFonts w:hint="cs"/>
          <w:color w:val="auto"/>
          <w:sz w:val="24"/>
          <w:szCs w:val="24"/>
          <w:rtl/>
        </w:rPr>
        <w:t xml:space="preserve"> כלולות אף הן בביטוי זה?</w:t>
      </w:r>
      <w:r w:rsidRPr="0090063D">
        <w:rPr>
          <w:rFonts w:hint="cs"/>
          <w:color w:val="auto"/>
          <w:sz w:val="24"/>
          <w:szCs w:val="24"/>
          <w:rtl/>
        </w:rPr>
        <w:t xml:space="preserve"> כך, למשל, האם </w:t>
      </w:r>
      <w:r w:rsidR="0090063D" w:rsidRPr="0090063D">
        <w:rPr>
          <w:rFonts w:hint="cs"/>
          <w:color w:val="auto"/>
          <w:sz w:val="24"/>
          <w:szCs w:val="24"/>
          <w:rtl/>
        </w:rPr>
        <w:t>רשם ב</w:t>
      </w:r>
      <w:r w:rsidRPr="0090063D">
        <w:rPr>
          <w:rFonts w:hint="cs"/>
          <w:color w:val="auto"/>
          <w:sz w:val="24"/>
          <w:szCs w:val="24"/>
          <w:rtl/>
        </w:rPr>
        <w:t xml:space="preserve">מרכז לגביית קנסות </w:t>
      </w:r>
      <w:r w:rsidR="0090063D" w:rsidRPr="0090063D">
        <w:rPr>
          <w:rFonts w:hint="cs"/>
          <w:color w:val="auto"/>
          <w:sz w:val="24"/>
          <w:szCs w:val="24"/>
          <w:rtl/>
        </w:rPr>
        <w:t xml:space="preserve">שיש לו סמכויות מעין שיפוטיות </w:t>
      </w:r>
      <w:r w:rsidR="003531AB" w:rsidRPr="0090063D">
        <w:rPr>
          <w:rFonts w:hint="cs"/>
          <w:color w:val="auto"/>
          <w:sz w:val="24"/>
          <w:szCs w:val="24"/>
          <w:rtl/>
        </w:rPr>
        <w:t xml:space="preserve">הוא </w:t>
      </w:r>
      <w:r w:rsidRPr="0090063D">
        <w:rPr>
          <w:rFonts w:hint="cs"/>
          <w:color w:val="auto"/>
          <w:sz w:val="24"/>
          <w:szCs w:val="24"/>
          <w:rtl/>
        </w:rPr>
        <w:t xml:space="preserve">"רשות המפעילה סמכות שיפוט"? </w:t>
      </w:r>
      <w:r w:rsidR="003531AB" w:rsidRPr="0090063D">
        <w:rPr>
          <w:rFonts w:hint="cs"/>
          <w:color w:val="auto"/>
          <w:sz w:val="24"/>
          <w:szCs w:val="24"/>
          <w:rtl/>
        </w:rPr>
        <w:t>האם רשם הפטנטים</w:t>
      </w:r>
      <w:r w:rsidR="000D4BE4">
        <w:rPr>
          <w:rFonts w:hint="cs"/>
          <w:color w:val="auto"/>
          <w:sz w:val="24"/>
          <w:szCs w:val="24"/>
          <w:rtl/>
        </w:rPr>
        <w:t xml:space="preserve">, </w:t>
      </w:r>
      <w:r w:rsidR="003531AB" w:rsidRPr="0090063D">
        <w:rPr>
          <w:rFonts w:hint="cs"/>
          <w:color w:val="auto"/>
          <w:sz w:val="24"/>
          <w:szCs w:val="24"/>
          <w:rtl/>
        </w:rPr>
        <w:t>פקיד רישום מקרקעין</w:t>
      </w:r>
      <w:r w:rsidR="003531AB" w:rsidRPr="0090063D">
        <w:rPr>
          <w:rFonts w:hint="cs"/>
          <w:b/>
          <w:bCs/>
          <w:color w:val="auto"/>
          <w:sz w:val="24"/>
          <w:szCs w:val="24"/>
          <w:rtl/>
        </w:rPr>
        <w:t xml:space="preserve"> </w:t>
      </w:r>
      <w:r w:rsidR="0002683B" w:rsidRPr="0090063D">
        <w:rPr>
          <w:rFonts w:hint="cs"/>
          <w:color w:val="auto"/>
          <w:sz w:val="24"/>
          <w:szCs w:val="24"/>
          <w:rtl/>
        </w:rPr>
        <w:t xml:space="preserve">או </w:t>
      </w:r>
      <w:r w:rsidR="003531AB" w:rsidRPr="0090063D">
        <w:rPr>
          <w:rFonts w:hint="cs"/>
          <w:color w:val="auto"/>
          <w:sz w:val="24"/>
          <w:szCs w:val="24"/>
          <w:rtl/>
        </w:rPr>
        <w:t xml:space="preserve">ועדת חקירה ממלכתית </w:t>
      </w:r>
      <w:r w:rsidR="0002683B" w:rsidRPr="0090063D">
        <w:rPr>
          <w:rFonts w:hint="cs"/>
          <w:color w:val="auto"/>
          <w:sz w:val="24"/>
          <w:szCs w:val="24"/>
          <w:rtl/>
        </w:rPr>
        <w:t xml:space="preserve">הם </w:t>
      </w:r>
      <w:r w:rsidR="003531AB" w:rsidRPr="0090063D">
        <w:rPr>
          <w:rFonts w:hint="cs"/>
          <w:color w:val="auto"/>
          <w:sz w:val="24"/>
          <w:szCs w:val="24"/>
          <w:rtl/>
        </w:rPr>
        <w:t>"רשות</w:t>
      </w:r>
      <w:r w:rsidR="003531AB" w:rsidRPr="00C72E89">
        <w:rPr>
          <w:rFonts w:hint="cs"/>
          <w:color w:val="auto"/>
          <w:sz w:val="24"/>
          <w:szCs w:val="24"/>
          <w:rtl/>
        </w:rPr>
        <w:t xml:space="preserve"> המפעילה סמכות שפיטה"? </w:t>
      </w:r>
      <w:r w:rsidR="0090063D">
        <w:rPr>
          <w:rFonts w:hint="cs"/>
          <w:color w:val="auto"/>
          <w:sz w:val="24"/>
          <w:szCs w:val="24"/>
          <w:rtl/>
        </w:rPr>
        <w:t xml:space="preserve">יתכן שכדי להימנע מספיקות יש להרחיב את ההגדרה המוצעת ולהתייחס לרשות שיש לה סמכות שיפוטית </w:t>
      </w:r>
      <w:r w:rsidR="0090063D" w:rsidRPr="0090063D">
        <w:rPr>
          <w:rFonts w:hint="cs"/>
          <w:color w:val="auto"/>
          <w:sz w:val="24"/>
          <w:szCs w:val="24"/>
          <w:u w:val="single"/>
          <w:rtl/>
        </w:rPr>
        <w:t>או מעין שיפוטית</w:t>
      </w:r>
      <w:r w:rsidR="0090063D">
        <w:rPr>
          <w:rFonts w:hint="cs"/>
          <w:color w:val="auto"/>
          <w:sz w:val="24"/>
          <w:szCs w:val="24"/>
          <w:rtl/>
        </w:rPr>
        <w:t>.</w:t>
      </w:r>
    </w:p>
    <w:p w:rsidR="008B02D2" w:rsidRDefault="00F461C3" w:rsidP="0077660E">
      <w:pPr>
        <w:pStyle w:val="Hesberright"/>
        <w:spacing w:after="120"/>
        <w:rPr>
          <w:color w:val="auto"/>
          <w:sz w:val="24"/>
          <w:szCs w:val="24"/>
          <w:rtl/>
        </w:rPr>
      </w:pPr>
      <w:r w:rsidRPr="00C72E89">
        <w:rPr>
          <w:rFonts w:hint="cs"/>
          <w:b/>
          <w:bCs/>
          <w:color w:val="auto"/>
          <w:sz w:val="24"/>
          <w:szCs w:val="24"/>
          <w:rtl/>
        </w:rPr>
        <w:t>(</w:t>
      </w:r>
      <w:r w:rsidR="00F02ABB">
        <w:rPr>
          <w:rFonts w:hint="cs"/>
          <w:b/>
          <w:bCs/>
          <w:color w:val="auto"/>
          <w:sz w:val="24"/>
          <w:szCs w:val="24"/>
          <w:rtl/>
        </w:rPr>
        <w:t>2</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Pr="00C72E89" w:rsidRDefault="008B02D2" w:rsidP="0077660E">
      <w:pPr>
        <w:pStyle w:val="Hesberright"/>
        <w:spacing w:after="120"/>
        <w:rPr>
          <w:color w:val="auto"/>
          <w:sz w:val="24"/>
          <w:szCs w:val="24"/>
          <w:rtl/>
        </w:rPr>
      </w:pPr>
      <w:r w:rsidRPr="008B02D2">
        <w:rPr>
          <w:rFonts w:hint="cs"/>
          <w:b/>
          <w:bCs/>
          <w:color w:val="auto"/>
          <w:sz w:val="24"/>
          <w:szCs w:val="24"/>
          <w:rtl/>
        </w:rPr>
        <w:t>(</w:t>
      </w:r>
      <w:r w:rsidR="00211815">
        <w:rPr>
          <w:rFonts w:hint="cs"/>
          <w:b/>
          <w:bCs/>
          <w:color w:val="auto"/>
          <w:sz w:val="24"/>
          <w:szCs w:val="24"/>
          <w:rtl/>
        </w:rPr>
        <w:t>3</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0C10C6" w:rsidRPr="00255C06" w:rsidRDefault="00BF2C8D" w:rsidP="0077660E">
      <w:pPr>
        <w:pStyle w:val="Hesberright"/>
        <w:spacing w:after="120"/>
        <w:rPr>
          <w:rFonts w:ascii="David" w:hAnsi="David"/>
          <w:sz w:val="24"/>
          <w:szCs w:val="24"/>
          <w:rtl/>
        </w:rPr>
      </w:pPr>
      <w:r w:rsidRPr="00255C06">
        <w:rPr>
          <w:rFonts w:ascii="David" w:hAnsi="David" w:hint="cs"/>
          <w:b/>
          <w:bCs/>
          <w:sz w:val="24"/>
          <w:szCs w:val="24"/>
          <w:rtl/>
        </w:rPr>
        <w:t>(</w:t>
      </w:r>
      <w:r w:rsidR="00211815">
        <w:rPr>
          <w:rFonts w:ascii="David" w:hAnsi="David" w:hint="cs"/>
          <w:b/>
          <w:bCs/>
          <w:sz w:val="24"/>
          <w:szCs w:val="24"/>
          <w:rtl/>
        </w:rPr>
        <w:t>4</w:t>
      </w:r>
      <w:r w:rsidRPr="00255C06">
        <w:rPr>
          <w:rFonts w:ascii="David" w:hAnsi="David" w:hint="cs"/>
          <w:b/>
          <w:bCs/>
          <w:sz w:val="24"/>
          <w:szCs w:val="24"/>
          <w:rtl/>
        </w:rPr>
        <w:t>) מייצגים שעבדו בעבר</w:t>
      </w:r>
      <w:r w:rsidRPr="00255C06">
        <w:rPr>
          <w:rFonts w:ascii="David" w:hAnsi="David" w:hint="cs"/>
          <w:sz w:val="24"/>
          <w:szCs w:val="24"/>
          <w:rtl/>
        </w:rPr>
        <w:t xml:space="preserve"> </w:t>
      </w:r>
      <w:r w:rsidRPr="00255C06">
        <w:rPr>
          <w:rFonts w:ascii="David" w:hAnsi="David"/>
          <w:sz w:val="24"/>
          <w:szCs w:val="24"/>
          <w:rtl/>
        </w:rPr>
        <w:t>–</w:t>
      </w:r>
      <w:r w:rsidRPr="00255C06">
        <w:rPr>
          <w:rFonts w:ascii="David" w:hAnsi="David" w:hint="cs"/>
          <w:sz w:val="24"/>
          <w:szCs w:val="24"/>
          <w:rtl/>
        </w:rPr>
        <w:t xml:space="preserve"> </w:t>
      </w:r>
      <w:r w:rsidR="008065A5" w:rsidRPr="00255C06">
        <w:rPr>
          <w:rFonts w:ascii="David" w:hAnsi="David" w:hint="cs"/>
          <w:sz w:val="24"/>
          <w:szCs w:val="24"/>
          <w:rtl/>
        </w:rPr>
        <w:t xml:space="preserve">הגדרת "הגופים המבוקרים" שבהצעת החוק הפרטית (סעיף 2) כוללת, בין היתר, גם </w:t>
      </w:r>
      <w:r w:rsidRPr="00255C06">
        <w:rPr>
          <w:rFonts w:ascii="David" w:hAnsi="David" w:hint="cs"/>
          <w:sz w:val="24"/>
          <w:szCs w:val="24"/>
          <w:rtl/>
        </w:rPr>
        <w:t>מי שעבד בגוף מבוקר עד שלוש שנים לפני תחילת הביקורת.</w:t>
      </w:r>
      <w:r w:rsidR="0088249E" w:rsidRPr="00255C06">
        <w:rPr>
          <w:rFonts w:ascii="David" w:hAnsi="David" w:hint="cs"/>
          <w:sz w:val="24"/>
          <w:szCs w:val="24"/>
          <w:rtl/>
        </w:rPr>
        <w:t xml:space="preserve"> </w:t>
      </w:r>
      <w:r w:rsidR="00A439D6">
        <w:rPr>
          <w:rFonts w:ascii="David" w:hAnsi="David" w:hint="cs"/>
          <w:sz w:val="24"/>
          <w:szCs w:val="24"/>
          <w:rtl/>
        </w:rPr>
        <w:t>אימוץ מלא של הצעה זו מעורר קושי.</w:t>
      </w:r>
      <w:r w:rsidR="00491C1C" w:rsidRPr="00255C06">
        <w:rPr>
          <w:rFonts w:ascii="David" w:hAnsi="David" w:hint="cs"/>
          <w:sz w:val="24"/>
          <w:szCs w:val="24"/>
          <w:rtl/>
        </w:rPr>
        <w:t xml:space="preserve"> ה</w:t>
      </w:r>
      <w:r w:rsidR="006034BD" w:rsidRPr="00255C06">
        <w:rPr>
          <w:rFonts w:ascii="David" w:hAnsi="David" w:hint="cs"/>
          <w:sz w:val="24"/>
          <w:szCs w:val="24"/>
          <w:rtl/>
        </w:rPr>
        <w:t>מטר</w:t>
      </w:r>
      <w:r w:rsidR="00491C1C" w:rsidRPr="00255C06">
        <w:rPr>
          <w:rFonts w:ascii="David" w:hAnsi="David" w:hint="cs"/>
          <w:sz w:val="24"/>
          <w:szCs w:val="24"/>
          <w:rtl/>
        </w:rPr>
        <w:t>ה</w:t>
      </w:r>
      <w:r w:rsidR="006034BD" w:rsidRPr="00255C06">
        <w:rPr>
          <w:rFonts w:ascii="David" w:hAnsi="David" w:hint="cs"/>
          <w:sz w:val="24"/>
          <w:szCs w:val="24"/>
          <w:rtl/>
        </w:rPr>
        <w:t xml:space="preserve"> </w:t>
      </w:r>
      <w:r w:rsidR="00491C1C" w:rsidRPr="00255C06">
        <w:rPr>
          <w:rFonts w:ascii="David" w:hAnsi="David" w:hint="cs"/>
          <w:sz w:val="24"/>
          <w:szCs w:val="24"/>
          <w:rtl/>
        </w:rPr>
        <w:t xml:space="preserve">של </w:t>
      </w:r>
      <w:r w:rsidR="006034BD" w:rsidRPr="00255C06">
        <w:rPr>
          <w:rFonts w:ascii="David" w:hAnsi="David" w:hint="cs"/>
          <w:sz w:val="24"/>
          <w:szCs w:val="24"/>
          <w:rtl/>
        </w:rPr>
        <w:t xml:space="preserve">בירור </w:t>
      </w:r>
      <w:r w:rsidR="00491C1C" w:rsidRPr="00255C06">
        <w:rPr>
          <w:rFonts w:ascii="David" w:hAnsi="David" w:hint="cs"/>
          <w:sz w:val="24"/>
          <w:szCs w:val="24"/>
          <w:rtl/>
        </w:rPr>
        <w:t xml:space="preserve">תלונות פרטניות </w:t>
      </w:r>
      <w:r w:rsidR="006034BD" w:rsidRPr="00255C06">
        <w:rPr>
          <w:rFonts w:ascii="David" w:hAnsi="David" w:hint="cs"/>
          <w:sz w:val="24"/>
          <w:szCs w:val="24"/>
          <w:rtl/>
        </w:rPr>
        <w:t xml:space="preserve">היא לתת מענה לאדם שנפגע כתוצאה ממעשה </w:t>
      </w:r>
      <w:r w:rsidR="006E1922" w:rsidRPr="00255C06">
        <w:rPr>
          <w:rFonts w:ascii="David" w:hAnsi="David" w:hint="cs"/>
          <w:sz w:val="24"/>
          <w:szCs w:val="24"/>
          <w:rtl/>
        </w:rPr>
        <w:lastRenderedPageBreak/>
        <w:t xml:space="preserve">קונקרטי </w:t>
      </w:r>
      <w:r w:rsidR="006034BD" w:rsidRPr="00255C06">
        <w:rPr>
          <w:rFonts w:ascii="David" w:hAnsi="David" w:hint="cs"/>
          <w:sz w:val="24"/>
          <w:szCs w:val="24"/>
          <w:rtl/>
        </w:rPr>
        <w:t>של מייצג</w:t>
      </w:r>
      <w:r w:rsidR="006E1922" w:rsidRPr="00255C06">
        <w:rPr>
          <w:rFonts w:ascii="David" w:hAnsi="David" w:hint="cs"/>
          <w:sz w:val="24"/>
          <w:szCs w:val="24"/>
          <w:rtl/>
        </w:rPr>
        <w:t xml:space="preserve">, כך שאם התלונה תימצא מוצדקת הליקוי </w:t>
      </w:r>
      <w:r w:rsidR="006034BD" w:rsidRPr="00255C06">
        <w:rPr>
          <w:rFonts w:ascii="David" w:hAnsi="David" w:hint="cs"/>
          <w:sz w:val="24"/>
          <w:szCs w:val="24"/>
          <w:rtl/>
        </w:rPr>
        <w:t>שנפל בפעילותו</w:t>
      </w:r>
      <w:r w:rsidR="006E1922" w:rsidRPr="00255C06">
        <w:rPr>
          <w:rFonts w:ascii="David" w:hAnsi="David" w:hint="cs"/>
          <w:sz w:val="24"/>
          <w:szCs w:val="24"/>
          <w:rtl/>
        </w:rPr>
        <w:t xml:space="preserve"> יתוקן</w:t>
      </w:r>
      <w:r w:rsidR="00491C1C" w:rsidRPr="00255C06">
        <w:rPr>
          <w:rFonts w:ascii="David" w:hAnsi="David" w:hint="cs"/>
          <w:sz w:val="24"/>
          <w:szCs w:val="24"/>
          <w:rtl/>
        </w:rPr>
        <w:t xml:space="preserve">. </w:t>
      </w:r>
      <w:r w:rsidR="00515CD2">
        <w:rPr>
          <w:rFonts w:ascii="David" w:hAnsi="David" w:hint="cs"/>
          <w:sz w:val="24"/>
          <w:szCs w:val="24"/>
          <w:rtl/>
        </w:rPr>
        <w:t>כאשר ה</w:t>
      </w:r>
      <w:r w:rsidR="00491C1C" w:rsidRPr="00255C06">
        <w:rPr>
          <w:rFonts w:ascii="David" w:hAnsi="David" w:hint="cs"/>
          <w:sz w:val="24"/>
          <w:szCs w:val="24"/>
          <w:rtl/>
        </w:rPr>
        <w:t xml:space="preserve">תלונה </w:t>
      </w:r>
      <w:r w:rsidR="00515CD2">
        <w:rPr>
          <w:rFonts w:ascii="David" w:hAnsi="David" w:hint="cs"/>
          <w:sz w:val="24"/>
          <w:szCs w:val="24"/>
          <w:rtl/>
        </w:rPr>
        <w:t xml:space="preserve">היא </w:t>
      </w:r>
      <w:r w:rsidR="00491C1C" w:rsidRPr="00255C06">
        <w:rPr>
          <w:rFonts w:ascii="David" w:hAnsi="David" w:hint="cs"/>
          <w:sz w:val="24"/>
          <w:szCs w:val="24"/>
          <w:rtl/>
        </w:rPr>
        <w:t xml:space="preserve">נגד אדם </w:t>
      </w:r>
      <w:r w:rsidR="0012302C">
        <w:rPr>
          <w:rFonts w:ascii="David" w:hAnsi="David" w:hint="cs"/>
          <w:sz w:val="24"/>
          <w:szCs w:val="24"/>
          <w:rtl/>
        </w:rPr>
        <w:t>שעבד בעבר במערך הייצוג</w:t>
      </w:r>
      <w:r w:rsidR="00491C1C" w:rsidRPr="00255C06">
        <w:rPr>
          <w:rFonts w:ascii="David" w:hAnsi="David" w:hint="cs"/>
          <w:sz w:val="24"/>
          <w:szCs w:val="24"/>
          <w:rtl/>
        </w:rPr>
        <w:t xml:space="preserve">, </w:t>
      </w:r>
      <w:r w:rsidR="00515CD2">
        <w:rPr>
          <w:rFonts w:ascii="David" w:hAnsi="David" w:hint="cs"/>
          <w:sz w:val="24"/>
          <w:szCs w:val="24"/>
          <w:rtl/>
        </w:rPr>
        <w:t>הרי ש</w:t>
      </w:r>
      <w:r w:rsidR="00491C1C" w:rsidRPr="00255C06">
        <w:rPr>
          <w:rFonts w:ascii="David" w:hAnsi="David" w:hint="cs"/>
          <w:sz w:val="24"/>
          <w:szCs w:val="24"/>
          <w:rtl/>
        </w:rPr>
        <w:t xml:space="preserve">גם אם התלונה תתברר כמוצדקת </w:t>
      </w:r>
      <w:r w:rsidR="00515CD2">
        <w:rPr>
          <w:rFonts w:ascii="David" w:hAnsi="David" w:hint="cs"/>
          <w:sz w:val="24"/>
          <w:szCs w:val="24"/>
          <w:rtl/>
        </w:rPr>
        <w:t xml:space="preserve">לא בטוח שאכן ליקויים כלשהם אכן יבואו על תיקונם. ואמנם, כדי להפריד בין המקרים בהם מוצדק לעשות בירור מעין זה למקרים שאין טעם בכך, סעיף 17(ב)(3) להצעת החוק הממשלתית מסמיך את הנציב להפסיק בירור תלונה אם נוכח שהתלונה מתייחסת לגורם שחדל להיות מייצג המדינה בערכאות. </w:t>
      </w:r>
    </w:p>
    <w:p w:rsidR="00515CD2" w:rsidRDefault="00515CD2" w:rsidP="0077660E">
      <w:pPr>
        <w:pStyle w:val="Hesberright"/>
        <w:spacing w:after="120"/>
        <w:rPr>
          <w:color w:val="0070C0"/>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proofErr w:type="spellStart"/>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proofErr w:type="spellEnd"/>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proofErr w:type="spellStart"/>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proofErr w:type="spellEnd"/>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w:t>
      </w:r>
      <w:r w:rsidR="001F0338" w:rsidRPr="00575CFA">
        <w:rPr>
          <w:rFonts w:ascii="Arial" w:eastAsia="Arial Unicode MS" w:hAnsi="Arial" w:cs="David" w:hint="cs"/>
          <w:snapToGrid w:val="0"/>
          <w:sz w:val="24"/>
          <w:rtl/>
          <w:lang w:eastAsia="ja-JP"/>
        </w:rPr>
        <w:lastRenderedPageBreak/>
        <w:t xml:space="preserve">מקנה לגורם המבקר פרספקטיבה רחבה </w:t>
      </w:r>
      <w:proofErr w:type="spellStart"/>
      <w:r w:rsidR="001F0338" w:rsidRPr="00575CFA">
        <w:rPr>
          <w:rFonts w:ascii="Arial" w:eastAsia="Arial Unicode MS" w:hAnsi="Arial" w:cs="David" w:hint="cs"/>
          <w:snapToGrid w:val="0"/>
          <w:sz w:val="24"/>
          <w:rtl/>
          <w:lang w:eastAsia="ja-JP"/>
        </w:rPr>
        <w:t>ומתכללת</w:t>
      </w:r>
      <w:proofErr w:type="spellEnd"/>
      <w:r w:rsidR="001F0338" w:rsidRPr="00575CFA">
        <w:rPr>
          <w:rFonts w:ascii="Arial" w:eastAsia="Arial Unicode MS" w:hAnsi="Arial" w:cs="David" w:hint="cs"/>
          <w:snapToGrid w:val="0"/>
          <w:sz w:val="24"/>
          <w:rtl/>
          <w:lang w:eastAsia="ja-JP"/>
        </w:rPr>
        <w:t xml:space="preserve">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F20365" w:rsidRPr="00AE571E" w:rsidRDefault="00570284" w:rsidP="00C92CC2">
      <w:pPr>
        <w:pStyle w:val="Hesber"/>
        <w:spacing w:after="120"/>
        <w:ind w:firstLine="0"/>
        <w:rPr>
          <w:color w:val="auto"/>
          <w:sz w:val="24"/>
          <w:szCs w:val="24"/>
          <w:rtl/>
        </w:rPr>
      </w:pPr>
      <w:r w:rsidRPr="00E205F4">
        <w:rPr>
          <w:rFonts w:hint="cs"/>
          <w:b/>
          <w:bCs/>
          <w:color w:val="auto"/>
          <w:sz w:val="24"/>
          <w:szCs w:val="24"/>
          <w:rtl/>
        </w:rPr>
        <w:t xml:space="preserve">(2) </w:t>
      </w:r>
      <w:r w:rsidR="00F20365" w:rsidRPr="00E205F4">
        <w:rPr>
          <w:rFonts w:hint="cs"/>
          <w:b/>
          <w:bCs/>
          <w:color w:val="auto"/>
          <w:sz w:val="24"/>
          <w:szCs w:val="24"/>
          <w:rtl/>
        </w:rPr>
        <w:t>כשירות הנציב</w:t>
      </w:r>
      <w:r w:rsidR="00F20365" w:rsidRPr="00E205F4">
        <w:rPr>
          <w:rFonts w:hint="cs"/>
          <w:color w:val="auto"/>
          <w:sz w:val="24"/>
          <w:szCs w:val="24"/>
          <w:rtl/>
        </w:rPr>
        <w:t xml:space="preserve"> </w:t>
      </w:r>
      <w:r w:rsidR="00F20365" w:rsidRPr="00E205F4">
        <w:rPr>
          <w:color w:val="auto"/>
          <w:sz w:val="24"/>
          <w:szCs w:val="24"/>
          <w:rtl/>
        </w:rPr>
        <w:t>–</w:t>
      </w:r>
      <w:r w:rsidR="00F20365" w:rsidRPr="00E205F4">
        <w:rPr>
          <w:rFonts w:hint="cs"/>
          <w:color w:val="auto"/>
          <w:sz w:val="24"/>
          <w:szCs w:val="24"/>
          <w:rtl/>
        </w:rPr>
        <w:t xml:space="preserve"> </w:t>
      </w:r>
      <w:r w:rsidR="008348FF" w:rsidRPr="00E205F4">
        <w:rPr>
          <w:rFonts w:hint="cs"/>
          <w:color w:val="auto"/>
          <w:sz w:val="24"/>
          <w:szCs w:val="24"/>
          <w:rtl/>
        </w:rPr>
        <w:t xml:space="preserve">הצעת החוק הממשלתית </w:t>
      </w:r>
      <w:r w:rsidR="007D56A3" w:rsidRPr="00E205F4">
        <w:rPr>
          <w:rFonts w:hint="cs"/>
          <w:color w:val="auto"/>
          <w:sz w:val="24"/>
          <w:szCs w:val="24"/>
          <w:rtl/>
        </w:rPr>
        <w:t xml:space="preserve">קובעת </w:t>
      </w:r>
      <w:r w:rsidR="008348FF" w:rsidRPr="00E205F4">
        <w:rPr>
          <w:rFonts w:hint="cs"/>
          <w:color w:val="auto"/>
          <w:sz w:val="24"/>
          <w:szCs w:val="24"/>
          <w:rtl/>
        </w:rPr>
        <w:t xml:space="preserve">שהנציב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בית המשפט המחוזי</w:t>
      </w:r>
      <w:r w:rsidR="008348FF" w:rsidRPr="00E205F4">
        <w:rPr>
          <w:rFonts w:hint="cs"/>
          <w:color w:val="auto"/>
          <w:sz w:val="24"/>
          <w:szCs w:val="24"/>
          <w:rtl/>
        </w:rPr>
        <w:t xml:space="preserve"> (</w:t>
      </w:r>
      <w:r w:rsidR="001C071D">
        <w:rPr>
          <w:rFonts w:hint="cs"/>
          <w:color w:val="auto"/>
          <w:sz w:val="24"/>
          <w:szCs w:val="24"/>
          <w:rtl/>
        </w:rPr>
        <w:t>=</w:t>
      </w:r>
      <w:r w:rsidR="008348FF" w:rsidRPr="00E205F4">
        <w:rPr>
          <w:rFonts w:hint="cs"/>
          <w:color w:val="auto"/>
          <w:sz w:val="24"/>
          <w:szCs w:val="24"/>
          <w:rtl/>
        </w:rPr>
        <w:t xml:space="preserve">מי שכיהן 4 שנים כשופט בית משפט השלום או מי שהוא בעל ותק של 7 שנים כמשפטן), לעומת הצעת החוק הפרטית </w:t>
      </w:r>
      <w:r w:rsidR="007D56A3" w:rsidRPr="00E205F4">
        <w:rPr>
          <w:rFonts w:hint="cs"/>
          <w:color w:val="auto"/>
          <w:sz w:val="24"/>
          <w:szCs w:val="24"/>
          <w:rtl/>
        </w:rPr>
        <w:t>שקובעת ש</w:t>
      </w:r>
      <w:r w:rsidR="008348FF" w:rsidRPr="00E205F4">
        <w:rPr>
          <w:rFonts w:hint="cs"/>
          <w:color w:val="auto"/>
          <w:sz w:val="24"/>
          <w:szCs w:val="24"/>
          <w:rtl/>
        </w:rPr>
        <w:t xml:space="preserve">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בבית המשפט העליון</w:t>
      </w:r>
      <w:r w:rsidR="008348FF" w:rsidRPr="00E205F4">
        <w:rPr>
          <w:rFonts w:hint="cs"/>
          <w:b/>
          <w:bCs/>
          <w:color w:val="auto"/>
          <w:sz w:val="24"/>
          <w:szCs w:val="24"/>
          <w:rtl/>
        </w:rPr>
        <w:t xml:space="preserve"> </w:t>
      </w:r>
      <w:r w:rsidR="008348FF" w:rsidRPr="00E205F4">
        <w:rPr>
          <w:rFonts w:hint="cs"/>
          <w:color w:val="auto"/>
          <w:sz w:val="24"/>
          <w:szCs w:val="24"/>
          <w:rtl/>
        </w:rPr>
        <w:t>(</w:t>
      </w:r>
      <w:r w:rsidR="001C071D">
        <w:rPr>
          <w:rFonts w:hint="cs"/>
          <w:color w:val="auto"/>
          <w:sz w:val="24"/>
          <w:szCs w:val="24"/>
          <w:rtl/>
        </w:rPr>
        <w:t>=</w:t>
      </w:r>
      <w:r w:rsidR="008348FF" w:rsidRPr="00E205F4">
        <w:rPr>
          <w:rFonts w:hint="cs"/>
          <w:color w:val="auto"/>
          <w:sz w:val="24"/>
          <w:szCs w:val="24"/>
          <w:rtl/>
        </w:rPr>
        <w:t>מי שכיהן 5 שנים כשופט בית המשפט המחוזי או מי שהוא בעל ותק של 10 שנים כמשפטן) (סעיף 8(ב</w:t>
      </w:r>
      <w:r w:rsidR="008348FF" w:rsidRPr="00AE571E">
        <w:rPr>
          <w:rFonts w:hint="cs"/>
          <w:color w:val="auto"/>
          <w:sz w:val="24"/>
          <w:szCs w:val="24"/>
          <w:rtl/>
        </w:rPr>
        <w:t>) להצעת החוק הפרטית).</w:t>
      </w:r>
      <w:r w:rsidR="007D56A3" w:rsidRPr="00AE571E">
        <w:rPr>
          <w:rFonts w:hint="cs"/>
          <w:color w:val="auto"/>
          <w:sz w:val="24"/>
          <w:szCs w:val="24"/>
          <w:rtl/>
        </w:rPr>
        <w:t xml:space="preserve"> נוכח חשיבותו של התפקיד</w:t>
      </w:r>
      <w:r w:rsidR="00802853" w:rsidRPr="00AE571E">
        <w:rPr>
          <w:rFonts w:hint="cs"/>
          <w:color w:val="auto"/>
          <w:sz w:val="24"/>
          <w:szCs w:val="24"/>
          <w:rtl/>
        </w:rPr>
        <w:t xml:space="preserve"> והצורך למנות אדם בעל מעמד ציבורי, </w:t>
      </w:r>
      <w:r w:rsidR="001F68A7" w:rsidRPr="00AE571E">
        <w:rPr>
          <w:rFonts w:hint="cs"/>
          <w:color w:val="auto"/>
          <w:sz w:val="24"/>
          <w:szCs w:val="24"/>
          <w:rtl/>
        </w:rPr>
        <w:t xml:space="preserve">מוצע לוועדה </w:t>
      </w:r>
      <w:r w:rsidR="00802853" w:rsidRPr="00AE571E">
        <w:rPr>
          <w:rFonts w:hint="cs"/>
          <w:color w:val="auto"/>
          <w:sz w:val="24"/>
          <w:szCs w:val="24"/>
          <w:rtl/>
        </w:rPr>
        <w:t xml:space="preserve">לשקול </w:t>
      </w:r>
      <w:r w:rsidR="00964B0D" w:rsidRPr="00AE571E">
        <w:rPr>
          <w:rFonts w:hint="cs"/>
          <w:color w:val="auto"/>
          <w:sz w:val="24"/>
          <w:szCs w:val="24"/>
          <w:rtl/>
        </w:rPr>
        <w:t>לאמץ את תנאי הכשירות המחמירים יותר שבהצעת החוק הפרטית על פני אלו שבהצעת החוק הממשלתית.</w:t>
      </w:r>
    </w:p>
    <w:p w:rsidR="002C1278" w:rsidRPr="00AE571E" w:rsidRDefault="00570284" w:rsidP="00C92CC2">
      <w:pPr>
        <w:pStyle w:val="Hesber"/>
        <w:spacing w:after="120"/>
        <w:ind w:firstLine="0"/>
        <w:rPr>
          <w:color w:val="auto"/>
          <w:sz w:val="24"/>
          <w:szCs w:val="24"/>
          <w:rtl/>
        </w:rPr>
      </w:pPr>
      <w:r w:rsidRPr="00AE571E">
        <w:rPr>
          <w:rFonts w:hint="cs"/>
          <w:b/>
          <w:bCs/>
          <w:color w:val="auto"/>
          <w:sz w:val="24"/>
          <w:szCs w:val="24"/>
          <w:rtl/>
        </w:rPr>
        <w:t>(3) 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לפי הצעת החוק הממשלתית הנציב יתמנה על ידי שר המשפטים, בהסכמת היועץ המשפטי לממשלה. לעומת זאת,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proofErr w:type="spellStart"/>
      <w:r w:rsidR="002C1278" w:rsidRPr="00AE571E">
        <w:rPr>
          <w:rFonts w:hint="cs"/>
          <w:color w:val="auto"/>
          <w:sz w:val="24"/>
          <w:szCs w:val="24"/>
          <w:rtl/>
        </w:rPr>
        <w:t>הרציונאל</w:t>
      </w:r>
      <w:proofErr w:type="spellEnd"/>
      <w:r w:rsidR="002C1278" w:rsidRPr="00AE571E">
        <w:rPr>
          <w:rFonts w:hint="cs"/>
          <w:color w:val="auto"/>
          <w:sz w:val="24"/>
          <w:szCs w:val="24"/>
          <w:rtl/>
        </w:rPr>
        <w:t xml:space="preserve">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proofErr w:type="spellStart"/>
      <w:r w:rsidR="00843271" w:rsidRPr="00AE571E">
        <w:rPr>
          <w:rFonts w:hint="cs"/>
          <w:color w:val="auto"/>
          <w:sz w:val="24"/>
          <w:szCs w:val="24"/>
          <w:rtl/>
        </w:rPr>
        <w:t>לרציונאל</w:t>
      </w:r>
      <w:proofErr w:type="spellEnd"/>
      <w:r w:rsidR="00843271" w:rsidRPr="00AE571E">
        <w:rPr>
          <w:rFonts w:hint="cs"/>
          <w:color w:val="auto"/>
          <w:sz w:val="24"/>
          <w:szCs w:val="24"/>
          <w:rtl/>
        </w:rPr>
        <w:t xml:space="preserve">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2C1278" w:rsidRPr="00AE571E">
        <w:rPr>
          <w:rFonts w:hint="cs"/>
          <w:color w:val="auto"/>
          <w:sz w:val="24"/>
          <w:szCs w:val="24"/>
          <w:rtl/>
        </w:rPr>
        <w:t xml:space="preserve">לאמץ את </w:t>
      </w:r>
      <w:r w:rsidR="00202F42" w:rsidRPr="00AE571E">
        <w:rPr>
          <w:rFonts w:hint="cs"/>
          <w:color w:val="auto"/>
          <w:sz w:val="24"/>
          <w:szCs w:val="24"/>
          <w:rtl/>
        </w:rPr>
        <w:t>הרעיון של ועדה ציבורית עצמאית שמעורבת בהליך המינוי (בין במתווה המוצע בהצעת החוק הפרטית ובין במתווה אחר).</w:t>
      </w:r>
      <w:r w:rsidR="002C1278" w:rsidRPr="00AE571E">
        <w:rPr>
          <w:rFonts w:hint="cs"/>
          <w:color w:val="auto"/>
          <w:sz w:val="24"/>
          <w:szCs w:val="24"/>
          <w:rtl/>
        </w:rPr>
        <w:t xml:space="preserve"> </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lastRenderedPageBreak/>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0" w:name="Seif8"/>
      <w:bookmarkEnd w:id="0"/>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561713" w:rsidRDefault="00B27F1B" w:rsidP="00E52B2D">
      <w:pPr>
        <w:pStyle w:val="Hesberright"/>
        <w:spacing w:after="120"/>
        <w:rPr>
          <w:color w:val="auto"/>
          <w:sz w:val="24"/>
          <w:szCs w:val="24"/>
          <w:rtl/>
        </w:rPr>
      </w:pPr>
      <w:r w:rsidRPr="00F06950">
        <w:rPr>
          <w:rFonts w:hint="cs"/>
          <w:b/>
          <w:bCs/>
          <w:color w:val="auto"/>
          <w:sz w:val="24"/>
          <w:szCs w:val="24"/>
          <w:rtl/>
        </w:rPr>
        <w:t xml:space="preserve">(1) </w:t>
      </w:r>
      <w:r w:rsidR="005E384A" w:rsidRPr="00F06950">
        <w:rPr>
          <w:rFonts w:hint="cs"/>
          <w:b/>
          <w:bCs/>
          <w:color w:val="auto"/>
          <w:sz w:val="24"/>
          <w:szCs w:val="24"/>
          <w:rtl/>
        </w:rPr>
        <w:t xml:space="preserve">הגורם </w:t>
      </w:r>
      <w:r w:rsidR="00256813" w:rsidRPr="00F06950">
        <w:rPr>
          <w:rFonts w:hint="cs"/>
          <w:b/>
          <w:bCs/>
          <w:color w:val="auto"/>
          <w:sz w:val="24"/>
          <w:szCs w:val="24"/>
          <w:rtl/>
        </w:rPr>
        <w:t>שמעביר</w:t>
      </w:r>
      <w:r w:rsidR="005E384A"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005E384A" w:rsidRPr="00F06950">
        <w:rPr>
          <w:rFonts w:hint="cs"/>
          <w:color w:val="auto"/>
          <w:sz w:val="24"/>
          <w:szCs w:val="24"/>
          <w:rtl/>
        </w:rPr>
        <w:t xml:space="preserve"> </w:t>
      </w:r>
      <w:r w:rsidR="005E384A"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proofErr w:type="spellStart"/>
      <w:r w:rsidR="00AC0D71" w:rsidRPr="00F06950">
        <w:rPr>
          <w:rFonts w:hint="cs"/>
          <w:color w:val="auto"/>
          <w:sz w:val="24"/>
          <w:szCs w:val="24"/>
          <w:rtl/>
        </w:rPr>
        <w:t>כמבררי</w:t>
      </w:r>
      <w:proofErr w:type="spellEnd"/>
      <w:r w:rsidR="00AC0D71" w:rsidRPr="00F06950">
        <w:rPr>
          <w:rFonts w:hint="cs"/>
          <w:color w:val="auto"/>
          <w:sz w:val="24"/>
          <w:szCs w:val="24"/>
          <w:rtl/>
        </w:rPr>
        <w:t xml:space="preserve">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E517F7">
        <w:rPr>
          <w:rFonts w:hint="cs"/>
          <w:color w:val="auto"/>
          <w:sz w:val="24"/>
          <w:szCs w:val="24"/>
          <w:rtl/>
        </w:rPr>
        <w:t xml:space="preserve">כמו כן,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lastRenderedPageBreak/>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xml:space="preserve">, ולא רק בהתייעצות </w:t>
      </w:r>
      <w:proofErr w:type="spellStart"/>
      <w:r w:rsidR="00561713">
        <w:rPr>
          <w:rFonts w:hint="cs"/>
          <w:color w:val="auto"/>
          <w:sz w:val="24"/>
          <w:szCs w:val="24"/>
          <w:rtl/>
        </w:rPr>
        <w:t>איתו</w:t>
      </w:r>
      <w:proofErr w:type="spellEnd"/>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C91482" w:rsidRPr="00C67700" w:rsidRDefault="00B27F1B" w:rsidP="00E52B2D">
      <w:pPr>
        <w:pStyle w:val="TableBlock"/>
        <w:spacing w:after="120"/>
        <w:rPr>
          <w:rFonts w:ascii="David" w:hAnsi="David"/>
          <w:color w:val="auto"/>
          <w:sz w:val="24"/>
          <w:szCs w:val="24"/>
          <w:rtl/>
        </w:rPr>
      </w:pPr>
      <w:r w:rsidRPr="00C67700">
        <w:rPr>
          <w:rFonts w:ascii="David" w:hAnsi="David" w:hint="cs"/>
          <w:b/>
          <w:bCs/>
          <w:color w:val="auto"/>
          <w:sz w:val="24"/>
          <w:szCs w:val="24"/>
          <w:rtl/>
        </w:rPr>
        <w:t xml:space="preserve">(2) </w:t>
      </w:r>
      <w:r w:rsidR="00741F44" w:rsidRPr="00C67700">
        <w:rPr>
          <w:rFonts w:ascii="David" w:hAnsi="David" w:hint="cs"/>
          <w:b/>
          <w:bCs/>
          <w:color w:val="auto"/>
          <w:sz w:val="24"/>
          <w:szCs w:val="24"/>
          <w:rtl/>
        </w:rPr>
        <w:t>הגשת כתב אישום נגד הנציב</w:t>
      </w:r>
      <w:r w:rsidR="00741F44" w:rsidRPr="00C67700">
        <w:rPr>
          <w:rFonts w:ascii="David" w:hAnsi="David" w:hint="cs"/>
          <w:color w:val="auto"/>
          <w:sz w:val="24"/>
          <w:szCs w:val="24"/>
          <w:rtl/>
        </w:rPr>
        <w:t xml:space="preserve"> </w:t>
      </w:r>
      <w:r w:rsidR="00741F44" w:rsidRPr="00C67700">
        <w:rPr>
          <w:rFonts w:ascii="David" w:hAnsi="David"/>
          <w:color w:val="auto"/>
          <w:sz w:val="24"/>
          <w:szCs w:val="24"/>
          <w:rtl/>
        </w:rPr>
        <w:t>–</w:t>
      </w:r>
      <w:r w:rsidR="00741F44" w:rsidRPr="00C67700">
        <w:rPr>
          <w:rFonts w:ascii="David" w:hAnsi="David" w:hint="cs"/>
          <w:color w:val="auto"/>
          <w:sz w:val="24"/>
          <w:szCs w:val="24"/>
          <w:rtl/>
        </w:rPr>
        <w:t xml:space="preserve"> </w:t>
      </w:r>
      <w:r w:rsidR="00F06950" w:rsidRPr="00C67700">
        <w:rPr>
          <w:rFonts w:ascii="David" w:hAnsi="David" w:hint="cs"/>
          <w:color w:val="auto"/>
          <w:sz w:val="24"/>
          <w:szCs w:val="24"/>
          <w:rtl/>
        </w:rPr>
        <w:t>סעיף 9(א) ל</w:t>
      </w:r>
      <w:r w:rsidR="00D92F98">
        <w:rPr>
          <w:rFonts w:ascii="David" w:hAnsi="David" w:hint="cs"/>
          <w:color w:val="auto"/>
          <w:sz w:val="24"/>
          <w:szCs w:val="24"/>
          <w:rtl/>
        </w:rPr>
        <w:t>חוק נציב תלונות הציבור על שופטים</w:t>
      </w:r>
      <w:r w:rsidR="00F06950" w:rsidRPr="00C67700">
        <w:rPr>
          <w:rFonts w:ascii="David" w:hAnsi="David" w:hint="cs"/>
          <w:color w:val="auto"/>
          <w:sz w:val="24"/>
          <w:szCs w:val="24"/>
          <w:rtl/>
        </w:rPr>
        <w:t xml:space="preserve"> קובע, </w:t>
      </w:r>
      <w:r w:rsidR="00B97AB9" w:rsidRPr="00C67700">
        <w:rPr>
          <w:rFonts w:ascii="David" w:hAnsi="David" w:hint="cs"/>
          <w:color w:val="auto"/>
          <w:sz w:val="24"/>
          <w:szCs w:val="24"/>
          <w:rtl/>
        </w:rPr>
        <w:t xml:space="preserve">כי לא יוגש כתב אישום נגד נציב תלונות הציבור על שופטים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למעט בעבירות תעבורה, עבירות קנס או עבירות </w:t>
      </w:r>
      <w:proofErr w:type="spellStart"/>
      <w:r w:rsidR="005F38AE" w:rsidRPr="00C67700">
        <w:rPr>
          <w:rFonts w:ascii="David" w:hAnsi="David" w:hint="cs"/>
          <w:color w:val="auto"/>
          <w:sz w:val="24"/>
          <w:szCs w:val="24"/>
          <w:rtl/>
        </w:rPr>
        <w:t>מינהליות</w:t>
      </w:r>
      <w:proofErr w:type="spellEnd"/>
      <w:r w:rsidR="005F38AE" w:rsidRPr="00C67700">
        <w:rPr>
          <w:rFonts w:ascii="David" w:hAnsi="David" w:hint="cs"/>
          <w:color w:val="auto"/>
          <w:sz w:val="24"/>
          <w:szCs w:val="24"/>
          <w:rtl/>
        </w:rPr>
        <w:t xml:space="preserve">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B97AB9" w:rsidRPr="00C67700">
        <w:rPr>
          <w:rFonts w:ascii="David" w:hAnsi="David" w:hint="cs"/>
          <w:color w:val="auto"/>
          <w:sz w:val="24"/>
          <w:szCs w:val="24"/>
          <w:rtl/>
        </w:rPr>
        <w:t>אלא באישורו של היועץ המשפטי לממשלה</w:t>
      </w:r>
      <w:r w:rsidR="005F38AE" w:rsidRPr="00C67700">
        <w:rPr>
          <w:rFonts w:ascii="David" w:hAnsi="David" w:hint="cs"/>
          <w:color w:val="auto"/>
          <w:sz w:val="24"/>
          <w:szCs w:val="24"/>
          <w:rtl/>
        </w:rPr>
        <w:t>.</w:t>
      </w:r>
      <w:r w:rsidR="00B97AB9" w:rsidRPr="00C67700">
        <w:rPr>
          <w:rFonts w:ascii="David" w:hAnsi="David" w:hint="cs"/>
          <w:color w:val="auto"/>
          <w:sz w:val="24"/>
          <w:szCs w:val="24"/>
          <w:rtl/>
        </w:rPr>
        <w:t xml:space="preserve"> משהוגש כתב אישום יושעה הנציב מכהונתו ובתקופת ההשעיה ימלא את תפקידי הנציב ממלא מקומו.</w:t>
      </w:r>
      <w:r w:rsidR="00C91482" w:rsidRPr="00C67700">
        <w:rPr>
          <w:rFonts w:ascii="David" w:hAnsi="David" w:hint="cs"/>
          <w:color w:val="auto"/>
          <w:sz w:val="24"/>
          <w:szCs w:val="24"/>
          <w:rtl/>
        </w:rPr>
        <w:t xml:space="preserve"> </w:t>
      </w:r>
      <w:r w:rsidR="004D609E" w:rsidRPr="00C67700">
        <w:rPr>
          <w:rFonts w:ascii="David" w:hAnsi="David" w:hint="cs"/>
          <w:color w:val="auto"/>
          <w:sz w:val="24"/>
          <w:szCs w:val="24"/>
          <w:rtl/>
        </w:rPr>
        <w:t xml:space="preserve">כדי </w:t>
      </w:r>
      <w:r w:rsidR="005F38AE" w:rsidRPr="00C67700">
        <w:rPr>
          <w:rFonts w:ascii="David" w:hAnsi="David" w:hint="cs"/>
          <w:color w:val="auto"/>
          <w:sz w:val="24"/>
          <w:szCs w:val="24"/>
          <w:rtl/>
        </w:rPr>
        <w:t>לשמור על עצמאותו ואי תלותו של נציב תלונות הציבור על מייצגי המדינה בערכאות</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C91482" w:rsidRPr="00C67700">
        <w:rPr>
          <w:rFonts w:ascii="David" w:hAnsi="David" w:hint="cs"/>
          <w:color w:val="auto"/>
          <w:sz w:val="24"/>
          <w:szCs w:val="24"/>
          <w:rtl/>
        </w:rPr>
        <w:t xml:space="preserve">שכחלק מתפקידו מברר תלונות גם על </w:t>
      </w:r>
      <w:r w:rsidR="00234D1B">
        <w:rPr>
          <w:rFonts w:ascii="David" w:hAnsi="David" w:hint="cs"/>
          <w:color w:val="auto"/>
          <w:sz w:val="24"/>
          <w:szCs w:val="24"/>
          <w:rtl/>
        </w:rPr>
        <w:t xml:space="preserve">אותם </w:t>
      </w:r>
      <w:r w:rsidR="00C91482" w:rsidRPr="00C67700">
        <w:rPr>
          <w:rFonts w:ascii="David" w:hAnsi="David" w:hint="cs"/>
          <w:color w:val="auto"/>
          <w:sz w:val="24"/>
          <w:szCs w:val="24"/>
          <w:rtl/>
        </w:rPr>
        <w:t xml:space="preserve">מייצגים שמוסמכים להגיש </w:t>
      </w:r>
      <w:r w:rsidR="00234D1B">
        <w:rPr>
          <w:rFonts w:ascii="David" w:hAnsi="David" w:hint="cs"/>
          <w:color w:val="auto"/>
          <w:sz w:val="24"/>
          <w:szCs w:val="24"/>
          <w:rtl/>
        </w:rPr>
        <w:t xml:space="preserve">נגדו </w:t>
      </w:r>
      <w:r w:rsidR="00C91482" w:rsidRPr="00C67700">
        <w:rPr>
          <w:rFonts w:ascii="David" w:hAnsi="David" w:hint="cs"/>
          <w:color w:val="auto"/>
          <w:sz w:val="24"/>
          <w:szCs w:val="24"/>
          <w:rtl/>
        </w:rPr>
        <w:t>כתבי אישום</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C91482" w:rsidRPr="00C67700">
        <w:rPr>
          <w:rFonts w:ascii="David" w:hAnsi="David" w:hint="cs"/>
          <w:color w:val="auto"/>
          <w:sz w:val="24"/>
          <w:szCs w:val="24"/>
          <w:rtl/>
        </w:rPr>
        <w:t xml:space="preserve"> </w:t>
      </w:r>
      <w:r w:rsidR="00171A2E" w:rsidRPr="00C67700">
        <w:rPr>
          <w:rFonts w:ascii="David" w:hAnsi="David" w:hint="cs"/>
          <w:color w:val="auto"/>
          <w:sz w:val="24"/>
          <w:szCs w:val="24"/>
          <w:rtl/>
        </w:rPr>
        <w:t xml:space="preserve">יש להוסיף להצעת החוק </w:t>
      </w:r>
      <w:r w:rsidR="00C91482" w:rsidRPr="00C67700">
        <w:rPr>
          <w:rFonts w:ascii="David" w:hAnsi="David" w:hint="cs"/>
          <w:color w:val="auto"/>
          <w:sz w:val="24"/>
          <w:szCs w:val="24"/>
          <w:rtl/>
        </w:rPr>
        <w:t xml:space="preserve">הוראה </w:t>
      </w:r>
      <w:r w:rsidR="004D609E" w:rsidRPr="00C67700">
        <w:rPr>
          <w:rFonts w:ascii="David" w:hAnsi="David" w:hint="cs"/>
          <w:color w:val="auto"/>
          <w:sz w:val="24"/>
          <w:szCs w:val="24"/>
          <w:rtl/>
        </w:rPr>
        <w:t xml:space="preserve">דומה </w:t>
      </w:r>
      <w:r w:rsidR="00C91482" w:rsidRPr="00C67700">
        <w:rPr>
          <w:rFonts w:ascii="David" w:hAnsi="David" w:hint="cs"/>
          <w:color w:val="auto"/>
          <w:sz w:val="24"/>
          <w:szCs w:val="24"/>
          <w:rtl/>
        </w:rPr>
        <w:t xml:space="preserve">לזו הקיימת לגבי נציב תלונות הציבור על שופטים, </w:t>
      </w:r>
      <w:r w:rsidR="00234D1B">
        <w:rPr>
          <w:rFonts w:ascii="David" w:hAnsi="David" w:hint="cs"/>
          <w:color w:val="auto"/>
          <w:sz w:val="24"/>
          <w:szCs w:val="24"/>
          <w:rtl/>
        </w:rPr>
        <w:t xml:space="preserve">ולפיה </w:t>
      </w:r>
      <w:r w:rsidR="00E013F0">
        <w:rPr>
          <w:rFonts w:ascii="David" w:hAnsi="David" w:hint="cs"/>
          <w:color w:val="auto"/>
          <w:sz w:val="24"/>
          <w:szCs w:val="24"/>
          <w:rtl/>
        </w:rPr>
        <w:t xml:space="preserve">מייצג </w:t>
      </w:r>
      <w:r w:rsidR="005646F1">
        <w:rPr>
          <w:rFonts w:ascii="David" w:hAnsi="David" w:hint="cs"/>
          <w:color w:val="auto"/>
          <w:sz w:val="24"/>
          <w:szCs w:val="24"/>
          <w:rtl/>
        </w:rPr>
        <w:t xml:space="preserve">לא </w:t>
      </w:r>
      <w:r w:rsidR="00E013F0">
        <w:rPr>
          <w:rFonts w:ascii="David" w:hAnsi="David" w:hint="cs"/>
          <w:color w:val="auto"/>
          <w:sz w:val="24"/>
          <w:szCs w:val="24"/>
          <w:rtl/>
        </w:rPr>
        <w:t xml:space="preserve">יהיה רשאי להגיש </w:t>
      </w:r>
      <w:r w:rsidR="005646F1">
        <w:rPr>
          <w:rFonts w:ascii="David" w:hAnsi="David" w:hint="cs"/>
          <w:color w:val="auto"/>
          <w:sz w:val="24"/>
          <w:szCs w:val="24"/>
          <w:rtl/>
        </w:rPr>
        <w:t xml:space="preserve">על דעת עצמו </w:t>
      </w:r>
      <w:r w:rsidR="00E013F0">
        <w:rPr>
          <w:rFonts w:ascii="David" w:hAnsi="David" w:hint="cs"/>
          <w:color w:val="auto"/>
          <w:sz w:val="24"/>
          <w:szCs w:val="24"/>
          <w:rtl/>
        </w:rPr>
        <w:t xml:space="preserve">כתב אישום נגד </w:t>
      </w:r>
      <w:r w:rsidR="004D609E" w:rsidRPr="00C67700">
        <w:rPr>
          <w:rFonts w:ascii="David" w:hAnsi="David" w:hint="cs"/>
          <w:color w:val="auto"/>
          <w:sz w:val="24"/>
          <w:szCs w:val="24"/>
          <w:rtl/>
        </w:rPr>
        <w:t>הנציב</w:t>
      </w:r>
      <w:r w:rsidR="005646F1">
        <w:rPr>
          <w:rFonts w:ascii="David" w:hAnsi="David" w:hint="cs"/>
          <w:color w:val="auto"/>
          <w:sz w:val="24"/>
          <w:szCs w:val="24"/>
          <w:rtl/>
        </w:rPr>
        <w:t>,</w:t>
      </w:r>
      <w:r w:rsidR="00C91482" w:rsidRPr="00C67700">
        <w:rPr>
          <w:rFonts w:ascii="David" w:hAnsi="David" w:hint="cs"/>
          <w:color w:val="auto"/>
          <w:sz w:val="24"/>
          <w:szCs w:val="24"/>
          <w:rtl/>
        </w:rPr>
        <w:t xml:space="preserve"> </w:t>
      </w:r>
      <w:r w:rsidR="005646F1">
        <w:rPr>
          <w:rFonts w:ascii="David" w:hAnsi="David" w:hint="cs"/>
          <w:color w:val="auto"/>
          <w:sz w:val="24"/>
          <w:szCs w:val="24"/>
          <w:rtl/>
        </w:rPr>
        <w:t>אם לא ניתן לכך אישור מ</w:t>
      </w:r>
      <w:r w:rsidR="00C91482" w:rsidRPr="00C67700">
        <w:rPr>
          <w:rFonts w:ascii="David" w:hAnsi="David" w:hint="cs"/>
          <w:color w:val="auto"/>
          <w:sz w:val="24"/>
          <w:szCs w:val="24"/>
          <w:rtl/>
        </w:rPr>
        <w:t>היועץ המשפטי לממשלה.</w:t>
      </w:r>
    </w:p>
    <w:p w:rsidR="0099527B" w:rsidRPr="00C67700" w:rsidRDefault="0099527B" w:rsidP="00E52B2D">
      <w:pPr>
        <w:pStyle w:val="Hesberright"/>
        <w:spacing w:after="120"/>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proofErr w:type="spellStart"/>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proofErr w:type="spellEnd"/>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Pr="007551E2" w:rsidRDefault="00776A3A" w:rsidP="00E6245E">
      <w:pPr>
        <w:pStyle w:val="Hesberright"/>
        <w:rPr>
          <w:color w:val="auto"/>
          <w:sz w:val="24"/>
          <w:szCs w:val="24"/>
          <w:rtl/>
        </w:rPr>
      </w:pPr>
    </w:p>
    <w:p w:rsidR="00DB598C" w:rsidRPr="00E52B2D" w:rsidRDefault="00DB598C" w:rsidP="00F96CE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2D49A1" w:rsidRPr="004651C1" w:rsidRDefault="00B74AC0" w:rsidP="00E52B2D">
      <w:pPr>
        <w:pStyle w:val="Hesberright"/>
        <w:spacing w:after="120"/>
        <w:rPr>
          <w:color w:val="auto"/>
          <w:sz w:val="24"/>
          <w:szCs w:val="24"/>
          <w:rtl/>
        </w:rPr>
      </w:pPr>
      <w:r w:rsidRPr="007551E2">
        <w:rPr>
          <w:rFonts w:hint="cs"/>
          <w:b/>
          <w:bCs/>
          <w:color w:val="auto"/>
          <w:sz w:val="24"/>
          <w:szCs w:val="24"/>
          <w:rtl/>
        </w:rPr>
        <w:t>העדר הוראה על ייחוד משרה</w:t>
      </w:r>
      <w:r w:rsidRPr="007551E2">
        <w:rPr>
          <w:rFonts w:hint="cs"/>
          <w:color w:val="auto"/>
          <w:sz w:val="24"/>
          <w:szCs w:val="24"/>
          <w:rtl/>
        </w:rPr>
        <w:t xml:space="preserve"> </w:t>
      </w:r>
      <w:r w:rsidRPr="007551E2">
        <w:rPr>
          <w:color w:val="auto"/>
          <w:sz w:val="24"/>
          <w:szCs w:val="24"/>
          <w:rtl/>
        </w:rPr>
        <w:t>–</w:t>
      </w:r>
      <w:r w:rsidRPr="007551E2">
        <w:rPr>
          <w:rFonts w:hint="cs"/>
          <w:color w:val="auto"/>
          <w:sz w:val="24"/>
          <w:szCs w:val="24"/>
          <w:rtl/>
        </w:rPr>
        <w:t xml:space="preserve"> סעיף 11 ל</w:t>
      </w:r>
      <w:r w:rsidR="00D92F98">
        <w:rPr>
          <w:rFonts w:hint="cs"/>
          <w:color w:val="auto"/>
          <w:sz w:val="24"/>
          <w:szCs w:val="24"/>
          <w:rtl/>
        </w:rPr>
        <w:t>חוק נציב תלונות הציבור על שופטים</w:t>
      </w:r>
      <w:r w:rsidRPr="007551E2">
        <w:rPr>
          <w:rFonts w:hint="cs"/>
          <w:color w:val="auto"/>
          <w:sz w:val="24"/>
          <w:szCs w:val="24"/>
          <w:rtl/>
        </w:rPr>
        <w:t xml:space="preserve"> קובע </w:t>
      </w:r>
      <w:r w:rsidR="005360D3" w:rsidRPr="007551E2">
        <w:rPr>
          <w:rFonts w:hint="cs"/>
          <w:color w:val="auto"/>
          <w:sz w:val="24"/>
          <w:szCs w:val="24"/>
          <w:rtl/>
        </w:rPr>
        <w:t xml:space="preserve">כי </w:t>
      </w:r>
      <w:r w:rsidRPr="007551E2">
        <w:rPr>
          <w:rFonts w:hint="cs"/>
          <w:color w:val="auto"/>
          <w:sz w:val="24"/>
          <w:szCs w:val="24"/>
          <w:rtl/>
        </w:rPr>
        <w:t xml:space="preserve">נציב </w:t>
      </w:r>
      <w:r w:rsidR="005360D3" w:rsidRPr="007551E2">
        <w:rPr>
          <w:rFonts w:hint="cs"/>
          <w:color w:val="auto"/>
          <w:sz w:val="24"/>
          <w:szCs w:val="24"/>
          <w:rtl/>
        </w:rPr>
        <w:t xml:space="preserve">תלונות הציבור על </w:t>
      </w:r>
      <w:r w:rsidRPr="007551E2">
        <w:rPr>
          <w:rFonts w:hint="cs"/>
          <w:color w:val="auto"/>
          <w:sz w:val="24"/>
          <w:szCs w:val="24"/>
          <w:rtl/>
        </w:rPr>
        <w:t xml:space="preserve">שופטים ועובדיו </w:t>
      </w:r>
      <w:r w:rsidRPr="004651C1">
        <w:rPr>
          <w:rFonts w:hint="cs"/>
          <w:color w:val="auto"/>
          <w:sz w:val="24"/>
          <w:szCs w:val="24"/>
          <w:rtl/>
        </w:rPr>
        <w:t>לא יהיו רשאים לשמש בכל משרה אחרת</w:t>
      </w:r>
      <w:r w:rsidR="005360D3" w:rsidRPr="004651C1">
        <w:rPr>
          <w:rFonts w:hint="cs"/>
          <w:color w:val="auto"/>
          <w:sz w:val="24"/>
          <w:szCs w:val="24"/>
          <w:rtl/>
        </w:rPr>
        <w:t xml:space="preserve"> או לעסוק באיסור אחר; להיות חברים בכנסת, בממשלה, במועצה של רשות מקומית</w:t>
      </w:r>
      <w:r w:rsidRPr="004651C1">
        <w:rPr>
          <w:rFonts w:hint="cs"/>
          <w:color w:val="auto"/>
          <w:sz w:val="24"/>
          <w:szCs w:val="24"/>
          <w:rtl/>
        </w:rPr>
        <w:t xml:space="preserve"> </w:t>
      </w:r>
      <w:proofErr w:type="spellStart"/>
      <w:r w:rsidRPr="004651C1">
        <w:rPr>
          <w:rFonts w:hint="cs"/>
          <w:color w:val="auto"/>
          <w:sz w:val="24"/>
          <w:szCs w:val="24"/>
          <w:rtl/>
        </w:rPr>
        <w:t>וכו</w:t>
      </w:r>
      <w:proofErr w:type="spellEnd"/>
      <w:r w:rsidRPr="004651C1">
        <w:rPr>
          <w:rFonts w:hint="cs"/>
          <w:color w:val="auto"/>
          <w:sz w:val="24"/>
          <w:szCs w:val="24"/>
          <w:rtl/>
        </w:rPr>
        <w:t>'</w:t>
      </w:r>
      <w:r w:rsidR="005360D3" w:rsidRPr="004651C1">
        <w:rPr>
          <w:rFonts w:hint="cs"/>
          <w:color w:val="auto"/>
          <w:sz w:val="24"/>
          <w:szCs w:val="24"/>
          <w:rtl/>
        </w:rPr>
        <w:t>; ולהיות חברים בהנהלה של חבר בני אדם שמנהל עסקים לשם השגת רווחים</w:t>
      </w:r>
      <w:r w:rsidRPr="004651C1">
        <w:rPr>
          <w:rFonts w:hint="cs"/>
          <w:color w:val="auto"/>
          <w:sz w:val="24"/>
          <w:szCs w:val="24"/>
          <w:rtl/>
        </w:rPr>
        <w:t xml:space="preserve">. </w:t>
      </w:r>
      <w:r w:rsidR="003F3861">
        <w:rPr>
          <w:rFonts w:hint="cs"/>
          <w:color w:val="auto"/>
          <w:sz w:val="24"/>
          <w:szCs w:val="24"/>
          <w:rtl/>
        </w:rPr>
        <w:t>הוראה דומה יש גם לגבי מבקר המדינה בכובעו כנציב תלונות הציבור ועובדיו (סעיף 22(ב)</w:t>
      </w:r>
      <w:r w:rsidR="00207F7B">
        <w:rPr>
          <w:rFonts w:hint="cs"/>
          <w:color w:val="auto"/>
          <w:sz w:val="24"/>
          <w:szCs w:val="24"/>
          <w:rtl/>
        </w:rPr>
        <w:t>(1)</w:t>
      </w:r>
      <w:r w:rsidR="003F3861">
        <w:rPr>
          <w:rFonts w:hint="cs"/>
          <w:color w:val="auto"/>
          <w:sz w:val="24"/>
          <w:szCs w:val="24"/>
          <w:rtl/>
        </w:rPr>
        <w:t xml:space="preserve"> לחוק מבקר המדינה שחל על נציבות תלונות הציבור מכוח סעיף 47(א) לחוק האמור). </w:t>
      </w:r>
      <w:r w:rsidR="002D49A1" w:rsidRPr="004651C1">
        <w:rPr>
          <w:rFonts w:hint="cs"/>
          <w:color w:val="auto"/>
          <w:sz w:val="24"/>
          <w:szCs w:val="24"/>
          <w:rtl/>
        </w:rPr>
        <w:t>כדי למנוע חשש לניגוד עניינים האם אין צורך לקבוע הוראות דומות גם לגבי נציב תלונות הציבור על מייצגי המדינה בערכאות ועובדיו?</w:t>
      </w:r>
    </w:p>
    <w:p w:rsidR="00C23584" w:rsidRDefault="00C23584" w:rsidP="00E52B2D">
      <w:pPr>
        <w:pStyle w:val="Hesberright"/>
        <w:spacing w:after="120"/>
        <w:rPr>
          <w:color w:val="0070C0"/>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1" w:name="Seif11"/>
      <w:bookmarkEnd w:id="1"/>
      <w:r w:rsidRPr="00D90139">
        <w:rPr>
          <w:rFonts w:hint="cs"/>
          <w:b/>
          <w:bCs/>
          <w:color w:val="auto"/>
          <w:sz w:val="28"/>
          <w:szCs w:val="28"/>
          <w:rtl/>
        </w:rPr>
        <w:lastRenderedPageBreak/>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proofErr w:type="spellStart"/>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proofErr w:type="spellEnd"/>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Default="00E32734" w:rsidP="00E6245E">
      <w:pPr>
        <w:pStyle w:val="Hesberright"/>
        <w:rPr>
          <w:color w:val="auto"/>
          <w:sz w:val="24"/>
          <w:szCs w:val="24"/>
          <w:u w:val="single"/>
          <w:rtl/>
        </w:rPr>
      </w:pPr>
    </w:p>
    <w:p w:rsidR="008E5F9B" w:rsidRPr="00E32734" w:rsidRDefault="008E5F9B"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43374A" w:rsidRDefault="008E5F9B" w:rsidP="00E32734">
      <w:pPr>
        <w:pStyle w:val="Hesberright"/>
        <w:spacing w:after="120"/>
        <w:rPr>
          <w:color w:val="auto"/>
          <w:sz w:val="24"/>
          <w:szCs w:val="24"/>
          <w:rtl/>
        </w:rPr>
      </w:pPr>
      <w:r w:rsidRPr="003C7A0D">
        <w:rPr>
          <w:rFonts w:hint="cs"/>
          <w:b/>
          <w:bCs/>
          <w:color w:val="auto"/>
          <w:sz w:val="24"/>
          <w:szCs w:val="24"/>
          <w:rtl/>
        </w:rPr>
        <w:t>ניסוח הוראת האי תלות</w:t>
      </w:r>
      <w:r w:rsidRPr="003C7A0D">
        <w:rPr>
          <w:rFonts w:hint="cs"/>
          <w:color w:val="auto"/>
          <w:sz w:val="24"/>
          <w:szCs w:val="24"/>
          <w:rtl/>
        </w:rPr>
        <w:t xml:space="preserve"> </w:t>
      </w:r>
      <w:r w:rsidRPr="003C7A0D">
        <w:rPr>
          <w:color w:val="auto"/>
          <w:sz w:val="24"/>
          <w:szCs w:val="24"/>
          <w:rtl/>
        </w:rPr>
        <w:t>–</w:t>
      </w:r>
      <w:r w:rsidR="000111BC" w:rsidRPr="003C7A0D">
        <w:rPr>
          <w:rFonts w:hint="cs"/>
          <w:color w:val="auto"/>
          <w:sz w:val="24"/>
          <w:szCs w:val="24"/>
          <w:rtl/>
        </w:rPr>
        <w:t xml:space="preserve"> </w:t>
      </w:r>
      <w:r w:rsidRPr="003C7A0D">
        <w:rPr>
          <w:rFonts w:hint="cs"/>
          <w:color w:val="auto"/>
          <w:sz w:val="24"/>
          <w:szCs w:val="24"/>
          <w:rtl/>
        </w:rPr>
        <w:t>הוראת אי התלות המקבילה שבסעיף 26 ל</w:t>
      </w:r>
      <w:r w:rsidR="00D92F98" w:rsidRPr="003C7A0D">
        <w:rPr>
          <w:rFonts w:hint="cs"/>
          <w:color w:val="auto"/>
          <w:sz w:val="24"/>
          <w:szCs w:val="24"/>
          <w:rtl/>
        </w:rPr>
        <w:t>חוק נציב תלונות הציבור על שופטים</w:t>
      </w:r>
      <w:r w:rsidRPr="003C7A0D">
        <w:rPr>
          <w:rFonts w:hint="cs"/>
          <w:color w:val="auto"/>
          <w:sz w:val="24"/>
          <w:szCs w:val="24"/>
          <w:rtl/>
        </w:rPr>
        <w:t xml:space="preserve"> </w:t>
      </w:r>
      <w:r w:rsidR="000111BC" w:rsidRPr="003C7A0D">
        <w:rPr>
          <w:rFonts w:hint="cs"/>
          <w:color w:val="auto"/>
          <w:sz w:val="24"/>
          <w:szCs w:val="24"/>
          <w:rtl/>
        </w:rPr>
        <w:t xml:space="preserve">קובעת כי </w:t>
      </w:r>
      <w:r w:rsidRPr="003C7A0D">
        <w:rPr>
          <w:rFonts w:hint="cs"/>
          <w:color w:val="auto"/>
          <w:sz w:val="24"/>
          <w:szCs w:val="24"/>
          <w:rtl/>
        </w:rPr>
        <w:t>"</w:t>
      </w:r>
      <w:r w:rsidRPr="003C7A0D">
        <w:rPr>
          <w:rStyle w:val="default"/>
          <w:rFonts w:cs="Narkisim"/>
          <w:i/>
          <w:iCs/>
          <w:color w:val="auto"/>
          <w:sz w:val="24"/>
          <w:szCs w:val="24"/>
          <w:rtl/>
        </w:rPr>
        <w:t>א</w:t>
      </w:r>
      <w:r w:rsidRPr="003C7A0D">
        <w:rPr>
          <w:rStyle w:val="default"/>
          <w:rFonts w:cs="Narkisim" w:hint="cs"/>
          <w:i/>
          <w:iCs/>
          <w:color w:val="auto"/>
          <w:sz w:val="24"/>
          <w:szCs w:val="24"/>
          <w:rtl/>
        </w:rPr>
        <w:t>י</w:t>
      </w:r>
      <w:r w:rsidRPr="003C7A0D">
        <w:rPr>
          <w:rStyle w:val="default"/>
          <w:rFonts w:cs="Narkisim"/>
          <w:i/>
          <w:iCs/>
          <w:color w:val="auto"/>
          <w:sz w:val="24"/>
          <w:szCs w:val="24"/>
          <w:rtl/>
        </w:rPr>
        <w:t>ן</w:t>
      </w:r>
      <w:r w:rsidRPr="003C7A0D">
        <w:rPr>
          <w:rStyle w:val="default"/>
          <w:rFonts w:cs="Narkisim" w:hint="cs"/>
          <w:i/>
          <w:iCs/>
          <w:color w:val="auto"/>
          <w:sz w:val="24"/>
          <w:szCs w:val="24"/>
          <w:rtl/>
        </w:rPr>
        <w:t xml:space="preserve"> על הנציב ועל עובדי הנציבות מרות </w:t>
      </w:r>
      <w:proofErr w:type="spellStart"/>
      <w:r w:rsidRPr="003C7A0D">
        <w:rPr>
          <w:rStyle w:val="default"/>
          <w:rFonts w:cs="Narkisim" w:hint="cs"/>
          <w:i/>
          <w:iCs/>
          <w:color w:val="auto"/>
          <w:sz w:val="24"/>
          <w:szCs w:val="24"/>
          <w:rtl/>
        </w:rPr>
        <w:t>בענין</w:t>
      </w:r>
      <w:proofErr w:type="spellEnd"/>
      <w:r w:rsidRPr="003C7A0D">
        <w:rPr>
          <w:rStyle w:val="default"/>
          <w:rFonts w:cs="Narkisim" w:hint="cs"/>
          <w:i/>
          <w:iCs/>
          <w:color w:val="auto"/>
          <w:sz w:val="24"/>
          <w:szCs w:val="24"/>
          <w:rtl/>
        </w:rPr>
        <w:t xml:space="preserve"> מילוי תפקידיהם לפי חוק זה, זו</w:t>
      </w:r>
      <w:r w:rsidRPr="003C7A0D">
        <w:rPr>
          <w:rStyle w:val="default"/>
          <w:rFonts w:cs="Narkisim"/>
          <w:i/>
          <w:iCs/>
          <w:color w:val="auto"/>
          <w:sz w:val="24"/>
          <w:szCs w:val="24"/>
          <w:rtl/>
        </w:rPr>
        <w:t>ל</w:t>
      </w:r>
      <w:r w:rsidRPr="003C7A0D">
        <w:rPr>
          <w:rStyle w:val="default"/>
          <w:rFonts w:cs="Narkisim" w:hint="cs"/>
          <w:i/>
          <w:iCs/>
          <w:color w:val="auto"/>
          <w:sz w:val="24"/>
          <w:szCs w:val="24"/>
          <w:rtl/>
        </w:rPr>
        <w:t>ת</w:t>
      </w:r>
      <w:r w:rsidRPr="003C7A0D">
        <w:rPr>
          <w:rStyle w:val="default"/>
          <w:rFonts w:cs="Narkisim"/>
          <w:i/>
          <w:iCs/>
          <w:color w:val="auto"/>
          <w:sz w:val="24"/>
          <w:szCs w:val="24"/>
          <w:rtl/>
        </w:rPr>
        <w:t xml:space="preserve"> </w:t>
      </w:r>
      <w:r w:rsidRPr="003C7A0D">
        <w:rPr>
          <w:rStyle w:val="default"/>
          <w:rFonts w:cs="Narkisim" w:hint="cs"/>
          <w:i/>
          <w:iCs/>
          <w:color w:val="auto"/>
          <w:sz w:val="24"/>
          <w:szCs w:val="24"/>
          <w:rtl/>
        </w:rPr>
        <w:t>מרותו של הדין</w:t>
      </w:r>
      <w:r w:rsidRPr="003C7A0D">
        <w:rPr>
          <w:rFonts w:hint="cs"/>
          <w:color w:val="auto"/>
          <w:sz w:val="24"/>
          <w:szCs w:val="24"/>
          <w:rtl/>
        </w:rPr>
        <w:t xml:space="preserve">". </w:t>
      </w:r>
      <w:r w:rsidR="007B21A5" w:rsidRPr="003C7A0D">
        <w:rPr>
          <w:rFonts w:hint="cs"/>
          <w:color w:val="auto"/>
          <w:sz w:val="24"/>
          <w:szCs w:val="24"/>
          <w:rtl/>
        </w:rPr>
        <w:t xml:space="preserve">הוראה </w:t>
      </w:r>
      <w:r w:rsidR="00BB2E36" w:rsidRPr="003C7A0D">
        <w:rPr>
          <w:rFonts w:hint="cs"/>
          <w:color w:val="auto"/>
          <w:sz w:val="24"/>
          <w:szCs w:val="24"/>
          <w:rtl/>
        </w:rPr>
        <w:t xml:space="preserve">בנוסח דומה </w:t>
      </w:r>
      <w:r w:rsidR="007B21A5" w:rsidRPr="003C7A0D">
        <w:rPr>
          <w:rFonts w:hint="cs"/>
          <w:color w:val="auto"/>
          <w:sz w:val="24"/>
          <w:szCs w:val="24"/>
          <w:rtl/>
        </w:rPr>
        <w:t>יש בסעיף 558 לחוק השיפוט הצבאי לעניין נציב קבילת החיילים, וזהו הנוסח שמוצע לאמץ גם בהצעת החוק הפרטית (סעיף 17 להצעת החוק הפרטית).</w:t>
      </w:r>
      <w:r w:rsidR="004C4B82" w:rsidRPr="003C7A0D">
        <w:rPr>
          <w:rFonts w:hint="cs"/>
          <w:color w:val="auto"/>
          <w:sz w:val="24"/>
          <w:szCs w:val="24"/>
          <w:rtl/>
        </w:rPr>
        <w:t xml:space="preserve"> </w:t>
      </w:r>
      <w:r w:rsidR="000111BC" w:rsidRPr="003C7A0D">
        <w:rPr>
          <w:rFonts w:hint="cs"/>
          <w:color w:val="auto"/>
          <w:sz w:val="24"/>
          <w:szCs w:val="24"/>
          <w:rtl/>
        </w:rPr>
        <w:t xml:space="preserve">מדובר בניסוח רחב ומשמעותי יותר מזה המוצע לגבי נציב תלונות הציבור על מייצגי המדינה בערכאות, בשני היבטים: </w:t>
      </w:r>
      <w:r w:rsidR="000111BC" w:rsidRPr="003C7A0D">
        <w:rPr>
          <w:rFonts w:hint="cs"/>
          <w:color w:val="auto"/>
          <w:sz w:val="24"/>
          <w:szCs w:val="24"/>
          <w:u w:val="single"/>
          <w:rtl/>
        </w:rPr>
        <w:t>ראשית</w:t>
      </w:r>
      <w:r w:rsidR="000111BC" w:rsidRPr="003C7A0D">
        <w:rPr>
          <w:rFonts w:hint="cs"/>
          <w:color w:val="auto"/>
          <w:sz w:val="24"/>
          <w:szCs w:val="24"/>
          <w:rtl/>
        </w:rPr>
        <w:t xml:space="preserve">, הניסוח של "אין מרות זולת מרותו של הדין" </w:t>
      </w:r>
      <w:r w:rsidR="007C09A9" w:rsidRPr="003C7A0D">
        <w:rPr>
          <w:rFonts w:hint="cs"/>
          <w:color w:val="auto"/>
          <w:sz w:val="24"/>
          <w:szCs w:val="24"/>
          <w:rtl/>
        </w:rPr>
        <w:t xml:space="preserve">מלמד על עצמאות מוחלטת ואי כפיפות לאף גורם אחר. המרת ניסוח זה בניסוח של </w:t>
      </w:r>
      <w:r w:rsidR="000111BC" w:rsidRPr="003C7A0D">
        <w:rPr>
          <w:rFonts w:hint="cs"/>
          <w:color w:val="auto"/>
          <w:sz w:val="24"/>
          <w:szCs w:val="24"/>
          <w:rtl/>
        </w:rPr>
        <w:t>"שיקול דעת עצמאי"</w:t>
      </w:r>
      <w:r w:rsidR="007C09A9" w:rsidRPr="003C7A0D">
        <w:rPr>
          <w:rFonts w:hint="cs"/>
          <w:color w:val="auto"/>
          <w:sz w:val="24"/>
          <w:szCs w:val="24"/>
          <w:rtl/>
        </w:rPr>
        <w:t xml:space="preserve"> עשוי לרמז על </w:t>
      </w:r>
      <w:r w:rsidR="00236213" w:rsidRPr="003C7A0D">
        <w:rPr>
          <w:rFonts w:hint="cs"/>
          <w:color w:val="auto"/>
          <w:sz w:val="24"/>
          <w:szCs w:val="24"/>
          <w:rtl/>
        </w:rPr>
        <w:t>כך שלא מדובר בעצמאות מוחלטת ושהנציב כפוף, באיזה שהוא אופן לגורם אחר</w:t>
      </w:r>
      <w:r w:rsidR="000111BC" w:rsidRPr="003C7A0D">
        <w:rPr>
          <w:rFonts w:hint="cs"/>
          <w:color w:val="auto"/>
          <w:sz w:val="24"/>
          <w:szCs w:val="24"/>
          <w:rtl/>
        </w:rPr>
        <w:t xml:space="preserve">; </w:t>
      </w:r>
      <w:r w:rsidR="000111BC" w:rsidRPr="003C7A0D">
        <w:rPr>
          <w:rFonts w:hint="cs"/>
          <w:color w:val="auto"/>
          <w:sz w:val="24"/>
          <w:szCs w:val="24"/>
          <w:u w:val="single"/>
          <w:rtl/>
        </w:rPr>
        <w:t>שנית</w:t>
      </w:r>
      <w:r w:rsidR="000111BC" w:rsidRPr="003C7A0D">
        <w:rPr>
          <w:rFonts w:hint="cs"/>
          <w:color w:val="auto"/>
          <w:sz w:val="24"/>
          <w:szCs w:val="24"/>
          <w:rtl/>
        </w:rPr>
        <w:t xml:space="preserve">, הניסוח כולל גם את עובדי הנציבות ולא רק את הנציב. </w:t>
      </w:r>
      <w:r w:rsidR="001E0477" w:rsidRPr="003C7A0D">
        <w:rPr>
          <w:rFonts w:hint="cs"/>
          <w:color w:val="auto"/>
          <w:sz w:val="24"/>
          <w:szCs w:val="24"/>
          <w:rtl/>
        </w:rPr>
        <w:t>להלן נראה</w:t>
      </w:r>
      <w:r w:rsidR="00213088" w:rsidRPr="003C7A0D">
        <w:rPr>
          <w:rFonts w:hint="cs"/>
          <w:color w:val="auto"/>
          <w:sz w:val="24"/>
          <w:szCs w:val="24"/>
          <w:rtl/>
        </w:rPr>
        <w:t>,</w:t>
      </w:r>
      <w:r w:rsidR="001E0477" w:rsidRPr="003C7A0D">
        <w:rPr>
          <w:rFonts w:hint="cs"/>
          <w:color w:val="auto"/>
          <w:sz w:val="24"/>
          <w:szCs w:val="24"/>
          <w:rtl/>
        </w:rPr>
        <w:t xml:space="preserve"> כי מתעוררת שאלה </w:t>
      </w:r>
      <w:r w:rsidR="00783BF2" w:rsidRPr="003C7A0D">
        <w:rPr>
          <w:rFonts w:hint="cs"/>
          <w:color w:val="auto"/>
          <w:sz w:val="24"/>
          <w:szCs w:val="24"/>
          <w:rtl/>
        </w:rPr>
        <w:t xml:space="preserve">האם </w:t>
      </w:r>
      <w:r w:rsidR="00213088" w:rsidRPr="003C7A0D">
        <w:rPr>
          <w:rFonts w:hint="cs"/>
          <w:color w:val="auto"/>
          <w:sz w:val="24"/>
          <w:szCs w:val="24"/>
          <w:rtl/>
        </w:rPr>
        <w:t xml:space="preserve">הנציב כפוף לפרשנות </w:t>
      </w:r>
      <w:r w:rsidR="006068FD" w:rsidRPr="003C7A0D">
        <w:rPr>
          <w:rFonts w:hint="cs"/>
          <w:color w:val="auto"/>
          <w:sz w:val="24"/>
          <w:szCs w:val="24"/>
          <w:rtl/>
        </w:rPr>
        <w:t xml:space="preserve">המשפטית של </w:t>
      </w:r>
      <w:r w:rsidR="00783BF2" w:rsidRPr="003C7A0D">
        <w:rPr>
          <w:rFonts w:hint="cs"/>
          <w:color w:val="auto"/>
          <w:sz w:val="24"/>
          <w:szCs w:val="24"/>
          <w:rtl/>
        </w:rPr>
        <w:t xml:space="preserve">היועץ </w:t>
      </w:r>
      <w:r w:rsidR="006068FD" w:rsidRPr="003C7A0D">
        <w:rPr>
          <w:rFonts w:hint="cs"/>
          <w:color w:val="auto"/>
          <w:sz w:val="24"/>
          <w:szCs w:val="24"/>
          <w:rtl/>
        </w:rPr>
        <w:t xml:space="preserve">המשפטי לממשלה </w:t>
      </w:r>
      <w:r w:rsidR="00B145A4" w:rsidRPr="003C7A0D">
        <w:rPr>
          <w:rFonts w:hint="cs"/>
          <w:color w:val="auto"/>
          <w:sz w:val="24"/>
          <w:szCs w:val="24"/>
          <w:rtl/>
        </w:rPr>
        <w:t xml:space="preserve">או לא </w:t>
      </w:r>
      <w:r w:rsidR="001E0477" w:rsidRPr="003C7A0D">
        <w:rPr>
          <w:rFonts w:hint="cs"/>
          <w:color w:val="auto"/>
          <w:sz w:val="24"/>
          <w:szCs w:val="24"/>
          <w:rtl/>
        </w:rPr>
        <w:t xml:space="preserve">(ראו ההערות לסעיף 11). </w:t>
      </w:r>
      <w:r w:rsidR="0043374A" w:rsidRPr="003C7A0D">
        <w:rPr>
          <w:rFonts w:hint="cs"/>
          <w:color w:val="auto"/>
          <w:sz w:val="24"/>
          <w:szCs w:val="24"/>
          <w:rtl/>
        </w:rPr>
        <w:t>בהקשר זה יש מקום לשער, שאולי הניסוח הרך יותר של הוראת אי התלות שבסעיף 9 המוצע ("שיקול דעת עצמאי"),</w:t>
      </w:r>
      <w:r w:rsidR="00D134D0" w:rsidRPr="003C7A0D">
        <w:rPr>
          <w:rFonts w:hint="cs"/>
          <w:color w:val="auto"/>
          <w:sz w:val="24"/>
          <w:szCs w:val="24"/>
          <w:rtl/>
        </w:rPr>
        <w:t xml:space="preserve"> נועד להתייחס בעקיפין ל</w:t>
      </w:r>
      <w:r w:rsidR="00C1648C" w:rsidRPr="003C7A0D">
        <w:rPr>
          <w:rFonts w:hint="cs"/>
          <w:color w:val="auto"/>
          <w:sz w:val="24"/>
          <w:szCs w:val="24"/>
          <w:rtl/>
        </w:rPr>
        <w:t>סיטואציה האמורה</w:t>
      </w:r>
      <w:r w:rsidR="00D134D0" w:rsidRPr="003C7A0D">
        <w:rPr>
          <w:rFonts w:hint="cs"/>
          <w:color w:val="auto"/>
          <w:sz w:val="24"/>
          <w:szCs w:val="24"/>
          <w:rtl/>
        </w:rPr>
        <w:t xml:space="preserve"> ולרמוז לכך שאמנם לנציב יש שיקול דעת עצמאי ב</w:t>
      </w:r>
      <w:r w:rsidR="00783BF2" w:rsidRPr="003C7A0D">
        <w:rPr>
          <w:rFonts w:hint="cs"/>
          <w:color w:val="auto"/>
          <w:sz w:val="24"/>
          <w:szCs w:val="24"/>
          <w:rtl/>
        </w:rPr>
        <w:t xml:space="preserve">כל הנוגע </w:t>
      </w:r>
      <w:r w:rsidR="00783BF2" w:rsidRPr="003C7A0D">
        <w:rPr>
          <w:rFonts w:hint="cs"/>
          <w:color w:val="auto"/>
          <w:sz w:val="24"/>
          <w:szCs w:val="24"/>
          <w:u w:val="single"/>
          <w:rtl/>
        </w:rPr>
        <w:t>ל</w:t>
      </w:r>
      <w:r w:rsidR="00EE375C" w:rsidRPr="003C7A0D">
        <w:rPr>
          <w:rFonts w:hint="cs"/>
          <w:color w:val="auto"/>
          <w:sz w:val="24"/>
          <w:szCs w:val="24"/>
          <w:u w:val="single"/>
          <w:rtl/>
        </w:rPr>
        <w:t>בירור התלונה</w:t>
      </w:r>
      <w:r w:rsidR="00D134D0" w:rsidRPr="003C7A0D">
        <w:rPr>
          <w:rFonts w:hint="cs"/>
          <w:color w:val="auto"/>
          <w:sz w:val="24"/>
          <w:szCs w:val="24"/>
          <w:rtl/>
        </w:rPr>
        <w:t xml:space="preserve"> אך בכל הנוגע </w:t>
      </w:r>
      <w:r w:rsidR="00D134D0" w:rsidRPr="003C7A0D">
        <w:rPr>
          <w:rFonts w:hint="cs"/>
          <w:color w:val="auto"/>
          <w:sz w:val="24"/>
          <w:szCs w:val="24"/>
          <w:u w:val="single"/>
          <w:rtl/>
        </w:rPr>
        <w:t>לפרשנות החוק</w:t>
      </w:r>
      <w:r w:rsidR="00D134D0" w:rsidRPr="003C7A0D">
        <w:rPr>
          <w:rFonts w:hint="cs"/>
          <w:color w:val="auto"/>
          <w:sz w:val="24"/>
          <w:szCs w:val="24"/>
          <w:rtl/>
        </w:rPr>
        <w:t xml:space="preserve"> הוא כפוף לפרשנות היועץ.</w:t>
      </w:r>
      <w:r w:rsidR="00C1648C" w:rsidRPr="003C7A0D">
        <w:rPr>
          <w:rFonts w:hint="cs"/>
          <w:color w:val="auto"/>
          <w:sz w:val="24"/>
          <w:szCs w:val="24"/>
          <w:rtl/>
        </w:rPr>
        <w:t xml:space="preserve"> </w:t>
      </w:r>
      <w:r w:rsidR="00783BF2" w:rsidRPr="003C7A0D">
        <w:rPr>
          <w:rFonts w:hint="cs"/>
          <w:color w:val="auto"/>
          <w:sz w:val="24"/>
          <w:szCs w:val="24"/>
          <w:rtl/>
        </w:rPr>
        <w:t>ספק אם יש לכך הצדקה. נוכח ההקבלה בין נציב תלונות הציבור על מייצגי המדינה בערכאות לבין נציב תלונות הציבור על שופטים</w:t>
      </w:r>
      <w:r w:rsidR="00BB2E36" w:rsidRPr="003C7A0D">
        <w:rPr>
          <w:rFonts w:hint="cs"/>
          <w:color w:val="auto"/>
          <w:sz w:val="24"/>
          <w:szCs w:val="24"/>
          <w:rtl/>
        </w:rPr>
        <w:t xml:space="preserve"> (ונציב קבילות החיילים)</w:t>
      </w:r>
      <w:r w:rsidR="00783BF2" w:rsidRPr="003C7A0D">
        <w:rPr>
          <w:rFonts w:hint="cs"/>
          <w:color w:val="auto"/>
          <w:sz w:val="24"/>
          <w:szCs w:val="24"/>
          <w:rtl/>
        </w:rPr>
        <w:t xml:space="preserve">, נראה כי יש להשוות את ניסוחה של הוראת אי התלות </w:t>
      </w:r>
      <w:r w:rsidR="00B145A4" w:rsidRPr="003C7A0D">
        <w:rPr>
          <w:rFonts w:hint="cs"/>
          <w:color w:val="auto"/>
          <w:sz w:val="24"/>
          <w:szCs w:val="24"/>
          <w:rtl/>
        </w:rPr>
        <w:t>בשני המקומות</w:t>
      </w:r>
      <w:r w:rsidR="00D50DF2" w:rsidRPr="003C7A0D">
        <w:rPr>
          <w:rFonts w:hint="cs"/>
          <w:color w:val="auto"/>
          <w:sz w:val="24"/>
          <w:szCs w:val="24"/>
          <w:rtl/>
        </w:rPr>
        <w:t xml:space="preserve">, </w:t>
      </w:r>
      <w:r w:rsidR="00B145A4" w:rsidRPr="003C7A0D">
        <w:rPr>
          <w:rFonts w:hint="cs"/>
          <w:color w:val="auto"/>
          <w:sz w:val="24"/>
          <w:szCs w:val="24"/>
          <w:rtl/>
        </w:rPr>
        <w:t xml:space="preserve">ובנוסף להחיל הוראה זו </w:t>
      </w:r>
      <w:r w:rsidR="00D50DF2" w:rsidRPr="003C7A0D">
        <w:rPr>
          <w:rFonts w:hint="cs"/>
          <w:color w:val="auto"/>
          <w:sz w:val="24"/>
          <w:szCs w:val="24"/>
          <w:rtl/>
        </w:rPr>
        <w:t>גם על עובדי הנציבות</w:t>
      </w:r>
      <w:r w:rsidR="00DC1D79" w:rsidRPr="003C7A0D">
        <w:rPr>
          <w:rFonts w:hint="cs"/>
          <w:color w:val="auto"/>
          <w:sz w:val="24"/>
          <w:szCs w:val="24"/>
          <w:rtl/>
        </w:rPr>
        <w:t>.</w:t>
      </w:r>
    </w:p>
    <w:p w:rsidR="001C2CE9" w:rsidRDefault="001C2CE9"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w:t>
      </w:r>
      <w:r w:rsidR="00AC082C">
        <w:rPr>
          <w:rFonts w:hint="cs"/>
          <w:color w:val="auto"/>
          <w:sz w:val="24"/>
          <w:szCs w:val="24"/>
          <w:rtl/>
        </w:rPr>
        <w:lastRenderedPageBreak/>
        <w:t>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8E5F9B" w:rsidRDefault="001C2CE9" w:rsidP="00E32734">
      <w:pPr>
        <w:pStyle w:val="Hesberright"/>
        <w:spacing w:after="120"/>
        <w:rPr>
          <w:color w:val="auto"/>
          <w:sz w:val="24"/>
          <w:szCs w:val="24"/>
          <w:rtl/>
        </w:rPr>
      </w:pPr>
      <w:r>
        <w:rPr>
          <w:rFonts w:hint="cs"/>
          <w:b/>
          <w:bCs/>
          <w:color w:val="auto"/>
          <w:sz w:val="24"/>
          <w:szCs w:val="24"/>
          <w:rtl/>
        </w:rPr>
        <w:t xml:space="preserve">(1) </w:t>
      </w:r>
      <w:r w:rsidR="008E5F9B" w:rsidRPr="00AE39C3">
        <w:rPr>
          <w:rFonts w:hint="cs"/>
          <w:b/>
          <w:bCs/>
          <w:color w:val="auto"/>
          <w:sz w:val="24"/>
          <w:szCs w:val="24"/>
          <w:rtl/>
        </w:rPr>
        <w:t>תנאי כהונתו של הנציב</w:t>
      </w:r>
      <w:r w:rsidR="008E5F9B" w:rsidRPr="00AE39C3">
        <w:rPr>
          <w:rFonts w:hint="cs"/>
          <w:color w:val="auto"/>
          <w:sz w:val="24"/>
          <w:szCs w:val="24"/>
          <w:rtl/>
        </w:rPr>
        <w:t xml:space="preserve"> </w:t>
      </w:r>
      <w:r w:rsidR="008E5F9B" w:rsidRPr="00AE39C3">
        <w:rPr>
          <w:color w:val="auto"/>
          <w:sz w:val="24"/>
          <w:szCs w:val="24"/>
          <w:rtl/>
        </w:rPr>
        <w:t>–</w:t>
      </w:r>
      <w:r w:rsidR="008E5F9B" w:rsidRPr="00AE39C3">
        <w:rPr>
          <w:rFonts w:hint="cs"/>
          <w:color w:val="auto"/>
          <w:sz w:val="24"/>
          <w:szCs w:val="24"/>
          <w:rtl/>
        </w:rPr>
        <w:t xml:space="preserve"> סעיף 25 ל</w:t>
      </w:r>
      <w:r w:rsidR="00D92F98">
        <w:rPr>
          <w:rFonts w:hint="cs"/>
          <w:color w:val="auto"/>
          <w:sz w:val="24"/>
          <w:szCs w:val="24"/>
          <w:rtl/>
        </w:rPr>
        <w:t>חוק נציב תלונות הציבור על שופטים</w:t>
      </w:r>
      <w:r w:rsidR="008E5F9B" w:rsidRPr="00AE39C3">
        <w:rPr>
          <w:rFonts w:hint="cs"/>
          <w:color w:val="auto"/>
          <w:sz w:val="24"/>
          <w:szCs w:val="24"/>
          <w:rtl/>
        </w:rPr>
        <w:t xml:space="preserve"> </w:t>
      </w:r>
      <w:r w:rsidR="00720AF6" w:rsidRPr="00AE39C3">
        <w:rPr>
          <w:rFonts w:hint="cs"/>
          <w:color w:val="auto"/>
          <w:sz w:val="24"/>
          <w:szCs w:val="24"/>
          <w:rtl/>
        </w:rPr>
        <w:t xml:space="preserve">קובע כי </w:t>
      </w:r>
      <w:r w:rsidR="008E5F9B" w:rsidRPr="00AE39C3">
        <w:rPr>
          <w:rFonts w:hint="cs"/>
          <w:color w:val="auto"/>
          <w:sz w:val="24"/>
          <w:szCs w:val="24"/>
          <w:rtl/>
        </w:rPr>
        <w:t xml:space="preserve">שכרו, תנאי שירותו וגמלאותיו של נציב </w:t>
      </w:r>
      <w:r w:rsidR="00334AD0">
        <w:rPr>
          <w:rFonts w:hint="cs"/>
          <w:color w:val="auto"/>
          <w:sz w:val="24"/>
          <w:szCs w:val="24"/>
          <w:rtl/>
        </w:rPr>
        <w:t xml:space="preserve">תלונות הציבור על שופטים (שהוא בעל כשירות לכהן כשופט בית המשפט העליון) </w:t>
      </w:r>
      <w:r w:rsidR="008E5F9B" w:rsidRPr="00AE39C3">
        <w:rPr>
          <w:rFonts w:hint="cs"/>
          <w:color w:val="auto"/>
          <w:sz w:val="24"/>
          <w:szCs w:val="24"/>
          <w:rtl/>
        </w:rPr>
        <w:t xml:space="preserve">יהיו כשל שופט </w:t>
      </w:r>
      <w:r w:rsidR="00720AF6" w:rsidRPr="00AE39C3">
        <w:rPr>
          <w:rFonts w:hint="cs"/>
          <w:color w:val="auto"/>
          <w:sz w:val="24"/>
          <w:szCs w:val="24"/>
          <w:rtl/>
        </w:rPr>
        <w:t>בית המשפט</w:t>
      </w:r>
      <w:r w:rsidR="008E5F9B" w:rsidRPr="00AE39C3">
        <w:rPr>
          <w:rFonts w:hint="cs"/>
          <w:color w:val="auto"/>
          <w:sz w:val="24"/>
          <w:szCs w:val="24"/>
          <w:rtl/>
        </w:rPr>
        <w:t xml:space="preserve"> </w:t>
      </w:r>
      <w:r w:rsidR="00720AF6" w:rsidRPr="00AE39C3">
        <w:rPr>
          <w:rFonts w:hint="cs"/>
          <w:color w:val="auto"/>
          <w:sz w:val="24"/>
          <w:szCs w:val="24"/>
          <w:rtl/>
        </w:rPr>
        <w:t>ה</w:t>
      </w:r>
      <w:r w:rsidR="008E5F9B" w:rsidRPr="00AE39C3">
        <w:rPr>
          <w:rFonts w:hint="cs"/>
          <w:color w:val="auto"/>
          <w:sz w:val="24"/>
          <w:szCs w:val="24"/>
          <w:rtl/>
        </w:rPr>
        <w:t xml:space="preserve">עליון. האם </w:t>
      </w:r>
      <w:r w:rsidR="00720AF6" w:rsidRPr="00AE39C3">
        <w:rPr>
          <w:rFonts w:hint="cs"/>
          <w:color w:val="auto"/>
          <w:sz w:val="24"/>
          <w:szCs w:val="24"/>
          <w:rtl/>
        </w:rPr>
        <w:t>אין</w:t>
      </w:r>
      <w:r w:rsidR="0062517F">
        <w:rPr>
          <w:rFonts w:hint="cs"/>
          <w:color w:val="auto"/>
          <w:sz w:val="24"/>
          <w:szCs w:val="24"/>
          <w:rtl/>
        </w:rPr>
        <w:t xml:space="preserve"> מקום </w:t>
      </w:r>
      <w:r w:rsidR="00720AF6" w:rsidRPr="00AE39C3">
        <w:rPr>
          <w:rFonts w:hint="cs"/>
          <w:color w:val="auto"/>
          <w:sz w:val="24"/>
          <w:szCs w:val="24"/>
          <w:rtl/>
        </w:rPr>
        <w:t>לקבוע הוראה דומה בענייננו, כך ששכר</w:t>
      </w:r>
      <w:r w:rsidR="005F1BD9">
        <w:rPr>
          <w:rFonts w:hint="cs"/>
          <w:color w:val="auto"/>
          <w:sz w:val="24"/>
          <w:szCs w:val="24"/>
          <w:rtl/>
        </w:rPr>
        <w:t>ו</w:t>
      </w:r>
      <w:r w:rsidR="00720AF6" w:rsidRPr="00AE39C3">
        <w:rPr>
          <w:rFonts w:hint="cs"/>
          <w:color w:val="auto"/>
          <w:sz w:val="24"/>
          <w:szCs w:val="24"/>
          <w:rtl/>
        </w:rPr>
        <w:t xml:space="preserve"> ותנאי שירותו של נציב תלונות הציבור על מייצגי המדינה בערכאות </w:t>
      </w:r>
      <w:r w:rsidR="00334AD0">
        <w:rPr>
          <w:rFonts w:hint="cs"/>
          <w:color w:val="auto"/>
          <w:sz w:val="24"/>
          <w:szCs w:val="24"/>
          <w:rtl/>
        </w:rPr>
        <w:t>(</w:t>
      </w:r>
      <w:r w:rsidR="00D4698E">
        <w:rPr>
          <w:rFonts w:hint="cs"/>
          <w:color w:val="auto"/>
          <w:sz w:val="24"/>
          <w:szCs w:val="24"/>
          <w:rtl/>
        </w:rPr>
        <w:t xml:space="preserve">שלפי הצעת החוק הממשלתית </w:t>
      </w:r>
      <w:r w:rsidR="00334AD0">
        <w:rPr>
          <w:rFonts w:hint="cs"/>
          <w:color w:val="auto"/>
          <w:sz w:val="24"/>
          <w:szCs w:val="24"/>
          <w:rtl/>
        </w:rPr>
        <w:t xml:space="preserve">הוא בעל כשירות לכהן כשופט בית המשפט המחוזי) </w:t>
      </w:r>
      <w:r w:rsidR="00720AF6" w:rsidRPr="00AE39C3">
        <w:rPr>
          <w:rFonts w:hint="cs"/>
          <w:color w:val="auto"/>
          <w:sz w:val="24"/>
          <w:szCs w:val="24"/>
          <w:rtl/>
        </w:rPr>
        <w:t>יוקבל</w:t>
      </w:r>
      <w:r w:rsidR="005F1BD9">
        <w:rPr>
          <w:rFonts w:hint="cs"/>
          <w:color w:val="auto"/>
          <w:sz w:val="24"/>
          <w:szCs w:val="24"/>
          <w:rtl/>
        </w:rPr>
        <w:t>ו</w:t>
      </w:r>
      <w:r w:rsidR="00720AF6" w:rsidRPr="00AE39C3">
        <w:rPr>
          <w:rFonts w:hint="cs"/>
          <w:color w:val="auto"/>
          <w:sz w:val="24"/>
          <w:szCs w:val="24"/>
          <w:rtl/>
        </w:rPr>
        <w:t xml:space="preserve"> </w:t>
      </w:r>
      <w:r w:rsidR="008E5F9B" w:rsidRPr="00AE39C3">
        <w:rPr>
          <w:rFonts w:hint="cs"/>
          <w:color w:val="auto"/>
          <w:sz w:val="24"/>
          <w:szCs w:val="24"/>
          <w:rtl/>
        </w:rPr>
        <w:t>לשופט מחוזי?</w:t>
      </w:r>
    </w:p>
    <w:p w:rsidR="001C2CE9" w:rsidRPr="00E200D2" w:rsidRDefault="001C2CE9" w:rsidP="001C2CE9">
      <w:pPr>
        <w:pStyle w:val="Hesber"/>
        <w:spacing w:after="120"/>
        <w:ind w:firstLine="0"/>
        <w:rPr>
          <w:color w:val="auto"/>
          <w:sz w:val="24"/>
          <w:szCs w:val="24"/>
          <w:rtl/>
        </w:rPr>
      </w:pPr>
      <w:r w:rsidRPr="00AE571E">
        <w:rPr>
          <w:rFonts w:hint="cs"/>
          <w:b/>
          <w:bCs/>
          <w:color w:val="auto"/>
          <w:sz w:val="24"/>
          <w:szCs w:val="24"/>
          <w:rtl/>
        </w:rPr>
        <w:t>(</w:t>
      </w:r>
      <w:r>
        <w:rPr>
          <w:rFonts w:hint="cs"/>
          <w:b/>
          <w:bCs/>
          <w:color w:val="auto"/>
          <w:sz w:val="24"/>
          <w:szCs w:val="24"/>
          <w:rtl/>
        </w:rPr>
        <w:t>2</w:t>
      </w:r>
      <w:r w:rsidRPr="00AE571E">
        <w:rPr>
          <w:rFonts w:hint="cs"/>
          <w:b/>
          <w:bCs/>
          <w:color w:val="auto"/>
          <w:sz w:val="24"/>
          <w:szCs w:val="24"/>
          <w:rtl/>
        </w:rPr>
        <w:t>) תקציב הנציבות</w:t>
      </w:r>
      <w:r w:rsidRPr="00AE571E">
        <w:rPr>
          <w:rFonts w:hint="cs"/>
          <w:color w:val="auto"/>
          <w:sz w:val="24"/>
          <w:szCs w:val="24"/>
          <w:rtl/>
        </w:rPr>
        <w:t xml:space="preserve"> </w:t>
      </w:r>
      <w:r w:rsidRPr="00AE571E">
        <w:rPr>
          <w:color w:val="auto"/>
          <w:sz w:val="24"/>
          <w:szCs w:val="24"/>
          <w:rtl/>
        </w:rPr>
        <w:t>–</w:t>
      </w:r>
      <w:r w:rsidRPr="00AE571E">
        <w:rPr>
          <w:rFonts w:hint="cs"/>
          <w:color w:val="auto"/>
          <w:sz w:val="24"/>
          <w:szCs w:val="24"/>
          <w:rtl/>
        </w:rPr>
        <w:t xml:space="preserve"> סעיף 29 לחוק נציב תלונות הציבור על שופטים קובע, כי תקציב נציבות תלונות הציבור על שופטים יוכן על ידי שר </w:t>
      </w:r>
      <w:r w:rsidRPr="00E200D2">
        <w:rPr>
          <w:rFonts w:hint="cs"/>
          <w:color w:val="auto"/>
          <w:sz w:val="24"/>
          <w:szCs w:val="24"/>
          <w:rtl/>
        </w:rPr>
        <w:t>המשפטים בתיאום עם הנציב וייקבע בחוק התקציב השנתי של המדינה, בתחום פעולה נפרד, במסגרת תקציב משרד המשפטים. כדי לשמור על 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Pr>
          <w:rFonts w:hint="cs"/>
          <w:color w:val="auto"/>
          <w:sz w:val="24"/>
          <w:szCs w:val="24"/>
          <w:rtl/>
        </w:rPr>
        <w:t xml:space="preserve"> גם לגבי נציבות תלונות הציבור על מייצגי המדינה בערכאות</w:t>
      </w:r>
      <w:r w:rsidRPr="00E200D2">
        <w:rPr>
          <w:rFonts w:hint="cs"/>
          <w:color w:val="auto"/>
          <w:sz w:val="24"/>
          <w:szCs w:val="24"/>
          <w:rtl/>
        </w:rPr>
        <w:t>.</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proofErr w:type="spellStart"/>
            <w:r w:rsidRPr="00B37878">
              <w:rPr>
                <w:rFonts w:cs="Narkisim" w:hint="eastAsia"/>
                <w:color w:val="auto"/>
                <w:sz w:val="24"/>
                <w:szCs w:val="24"/>
                <w:rtl/>
              </w:rPr>
              <w:t>למינהל</w:t>
            </w:r>
            <w:proofErr w:type="spellEnd"/>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proofErr w:type="spellStart"/>
            <w:r w:rsidRPr="00B37878">
              <w:rPr>
                <w:rFonts w:cs="Narkisim" w:hint="eastAsia"/>
                <w:color w:val="auto"/>
                <w:sz w:val="24"/>
                <w:szCs w:val="24"/>
                <w:rtl/>
              </w:rPr>
              <w:t>כנילון</w:t>
            </w:r>
            <w:proofErr w:type="spellEnd"/>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proofErr w:type="spellStart"/>
      <w:r w:rsidRPr="00B37878">
        <w:rPr>
          <w:rFonts w:hint="eastAsia"/>
          <w:color w:val="auto"/>
          <w:sz w:val="24"/>
          <w:szCs w:val="24"/>
          <w:rtl/>
        </w:rPr>
        <w:t>למינהל</w:t>
      </w:r>
      <w:proofErr w:type="spellEnd"/>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proofErr w:type="spellStart"/>
      <w:r w:rsidR="004370B2" w:rsidRPr="007E4281">
        <w:rPr>
          <w:rFonts w:hint="eastAsia"/>
          <w:color w:val="auto"/>
          <w:sz w:val="24"/>
          <w:szCs w:val="24"/>
          <w:rtl/>
        </w:rPr>
        <w:t>הנילון</w:t>
      </w:r>
      <w:proofErr w:type="spellEnd"/>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proofErr w:type="spellStart"/>
      <w:r w:rsidR="004370B2" w:rsidRPr="00FF7696">
        <w:rPr>
          <w:rFonts w:hint="eastAsia"/>
          <w:color w:val="auto"/>
          <w:sz w:val="24"/>
          <w:szCs w:val="24"/>
          <w:rtl/>
        </w:rPr>
        <w:t>כנילון</w:t>
      </w:r>
      <w:proofErr w:type="spellEnd"/>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proofErr w:type="spellStart"/>
      <w:r w:rsidR="004370B2" w:rsidRPr="00FF7696">
        <w:rPr>
          <w:rFonts w:hint="eastAsia"/>
          <w:color w:val="auto"/>
          <w:sz w:val="24"/>
          <w:szCs w:val="24"/>
          <w:rtl/>
        </w:rPr>
        <w:t>נילון</w:t>
      </w:r>
      <w:proofErr w:type="spellEnd"/>
      <w:r w:rsidR="004370B2" w:rsidRPr="00FF7696">
        <w:rPr>
          <w:color w:val="auto"/>
          <w:sz w:val="24"/>
          <w:szCs w:val="24"/>
          <w:rtl/>
        </w:rPr>
        <w:t>.</w:t>
      </w:r>
    </w:p>
    <w:p w:rsidR="00E32734" w:rsidRDefault="00E32734" w:rsidP="00E6245E">
      <w:pPr>
        <w:pStyle w:val="Hesber1st"/>
        <w:rPr>
          <w:color w:val="auto"/>
          <w:sz w:val="24"/>
          <w:szCs w:val="24"/>
          <w:rtl/>
        </w:rPr>
      </w:pPr>
    </w:p>
    <w:p w:rsidR="00F20276" w:rsidRPr="00FF7696" w:rsidRDefault="00F20276"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lastRenderedPageBreak/>
        <w:t>נקודות לדיון</w:t>
      </w:r>
    </w:p>
    <w:p w:rsidR="007F5203" w:rsidRDefault="007A55AB" w:rsidP="00E32734">
      <w:pPr>
        <w:pStyle w:val="Hesber"/>
        <w:spacing w:after="120"/>
        <w:ind w:firstLine="0"/>
        <w:rPr>
          <w:color w:val="auto"/>
          <w:sz w:val="24"/>
          <w:szCs w:val="24"/>
          <w:rtl/>
        </w:rPr>
      </w:pPr>
      <w:r w:rsidRPr="00CB53BC">
        <w:rPr>
          <w:rFonts w:hint="cs"/>
          <w:b/>
          <w:bCs/>
          <w:color w:val="auto"/>
          <w:sz w:val="24"/>
          <w:szCs w:val="24"/>
          <w:rtl/>
        </w:rPr>
        <w:t>בירור פרטני אגב ביקורת מערכתית</w:t>
      </w:r>
      <w:r w:rsidRPr="00CB53BC">
        <w:rPr>
          <w:rFonts w:hint="cs"/>
          <w:color w:val="auto"/>
          <w:sz w:val="24"/>
          <w:szCs w:val="24"/>
          <w:rtl/>
        </w:rPr>
        <w:t xml:space="preserve"> </w:t>
      </w:r>
      <w:r w:rsidRPr="00CB53BC">
        <w:rPr>
          <w:color w:val="auto"/>
          <w:sz w:val="24"/>
          <w:szCs w:val="24"/>
          <w:rtl/>
        </w:rPr>
        <w:t>–</w:t>
      </w:r>
      <w:r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w:t>
      </w:r>
      <w:proofErr w:type="spellStart"/>
      <w:r w:rsidR="002C2A87" w:rsidRPr="00CB53BC">
        <w:rPr>
          <w:rFonts w:hint="cs"/>
          <w:color w:val="auto"/>
          <w:sz w:val="24"/>
          <w:szCs w:val="24"/>
          <w:rtl/>
        </w:rPr>
        <w:t>היתה</w:t>
      </w:r>
      <w:proofErr w:type="spellEnd"/>
      <w:r w:rsidR="002C2A87" w:rsidRPr="00CB53BC">
        <w:rPr>
          <w:rFonts w:hint="cs"/>
          <w:color w:val="auto"/>
          <w:sz w:val="24"/>
          <w:szCs w:val="24"/>
          <w:rtl/>
        </w:rPr>
        <w:t xml:space="preserve">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w:t>
      </w:r>
      <w:r w:rsidR="009A1B4E" w:rsidRPr="00C21468">
        <w:rPr>
          <w:rFonts w:hint="cs"/>
          <w:color w:val="auto"/>
          <w:sz w:val="24"/>
          <w:szCs w:val="24"/>
          <w:u w:val="single"/>
          <w:rtl/>
        </w:rPr>
        <w:t xml:space="preserve">מצד אחד, </w:t>
      </w:r>
      <w:r w:rsidR="00FB26BB" w:rsidRPr="00C21468">
        <w:rPr>
          <w:rFonts w:hint="cs"/>
          <w:color w:val="auto"/>
          <w:sz w:val="24"/>
          <w:szCs w:val="24"/>
          <w:u w:val="single"/>
          <w:rtl/>
        </w:rPr>
        <w:t xml:space="preserve">אם </w:t>
      </w:r>
      <w:r w:rsidR="00190B7D" w:rsidRPr="00C21468">
        <w:rPr>
          <w:rFonts w:hint="cs"/>
          <w:color w:val="auto"/>
          <w:sz w:val="24"/>
          <w:szCs w:val="24"/>
          <w:u w:val="single"/>
          <w:rtl/>
        </w:rPr>
        <w:t xml:space="preserve">במסגרת </w:t>
      </w:r>
      <w:r w:rsidR="00FB26BB" w:rsidRPr="00C21468">
        <w:rPr>
          <w:rFonts w:hint="cs"/>
          <w:color w:val="auto"/>
          <w:sz w:val="24"/>
          <w:szCs w:val="24"/>
          <w:u w:val="single"/>
          <w:rtl/>
        </w:rPr>
        <w:t>ביקורת מערכתית מ</w:t>
      </w:r>
      <w:r w:rsidR="00190B7D" w:rsidRPr="00C21468">
        <w:rPr>
          <w:rFonts w:hint="cs"/>
          <w:color w:val="auto"/>
          <w:sz w:val="24"/>
          <w:szCs w:val="24"/>
          <w:u w:val="single"/>
          <w:rtl/>
        </w:rPr>
        <w:t>ת</w:t>
      </w:r>
      <w:r w:rsidR="00FB26BB" w:rsidRPr="00C21468">
        <w:rPr>
          <w:rFonts w:hint="cs"/>
          <w:color w:val="auto"/>
          <w:sz w:val="24"/>
          <w:szCs w:val="24"/>
          <w:u w:val="single"/>
          <w:rtl/>
        </w:rPr>
        <w:t xml:space="preserve">גלה כי מייצג מסוים פעל ללא סמכות חוקית, בניגוד </w:t>
      </w:r>
      <w:r w:rsidR="005D1A37" w:rsidRPr="00C21468">
        <w:rPr>
          <w:rFonts w:hint="cs"/>
          <w:color w:val="auto"/>
          <w:sz w:val="24"/>
          <w:szCs w:val="24"/>
          <w:u w:val="single"/>
          <w:rtl/>
        </w:rPr>
        <w:t>לחוק</w:t>
      </w:r>
      <w:r w:rsidR="00FB26BB" w:rsidRPr="00C21468">
        <w:rPr>
          <w:rFonts w:hint="cs"/>
          <w:color w:val="auto"/>
          <w:sz w:val="24"/>
          <w:szCs w:val="24"/>
          <w:u w:val="single"/>
          <w:rtl/>
        </w:rPr>
        <w:t xml:space="preserve">, התנהל או התנהג באופן לא ראוי או </w:t>
      </w:r>
      <w:r w:rsidR="007304C0" w:rsidRPr="00C21468">
        <w:rPr>
          <w:rFonts w:hint="cs"/>
          <w:color w:val="auto"/>
          <w:sz w:val="24"/>
          <w:szCs w:val="24"/>
          <w:u w:val="single"/>
          <w:rtl/>
        </w:rPr>
        <w:t xml:space="preserve">בניגוד </w:t>
      </w:r>
      <w:proofErr w:type="spellStart"/>
      <w:r w:rsidR="007304C0" w:rsidRPr="00C21468">
        <w:rPr>
          <w:rFonts w:hint="cs"/>
          <w:color w:val="auto"/>
          <w:sz w:val="24"/>
          <w:szCs w:val="24"/>
          <w:u w:val="single"/>
          <w:rtl/>
        </w:rPr>
        <w:t>למינהל</w:t>
      </w:r>
      <w:proofErr w:type="spellEnd"/>
      <w:r w:rsidR="007304C0" w:rsidRPr="00C21468">
        <w:rPr>
          <w:rFonts w:hint="cs"/>
          <w:color w:val="auto"/>
          <w:sz w:val="24"/>
          <w:szCs w:val="24"/>
          <w:u w:val="single"/>
          <w:rtl/>
        </w:rPr>
        <w:t xml:space="preserve"> תקין</w:t>
      </w:r>
      <w:r w:rsidR="00FB26BB" w:rsidRPr="00C21468">
        <w:rPr>
          <w:rFonts w:hint="cs"/>
          <w:color w:val="auto"/>
          <w:sz w:val="24"/>
          <w:szCs w:val="24"/>
          <w:u w:val="single"/>
          <w:rtl/>
        </w:rPr>
        <w:t>, האינטרס הציבורי מחייב כי ייעשה שימוש במידע הזה כדי לתקן את הליקויים בהתנהלות</w:t>
      </w:r>
      <w:bookmarkStart w:id="2" w:name="_GoBack"/>
      <w:bookmarkEnd w:id="2"/>
      <w:r w:rsidR="00FB26BB" w:rsidRPr="00C21468">
        <w:rPr>
          <w:rFonts w:hint="cs"/>
          <w:color w:val="auto"/>
          <w:sz w:val="24"/>
          <w:szCs w:val="24"/>
          <w:u w:val="single"/>
          <w:rtl/>
        </w:rPr>
        <w:t>ו של אותו אדם, ולא יתעל</w:t>
      </w:r>
      <w:r w:rsidR="009A1B4E" w:rsidRPr="00C21468">
        <w:rPr>
          <w:rFonts w:hint="cs"/>
          <w:color w:val="auto"/>
          <w:sz w:val="24"/>
          <w:szCs w:val="24"/>
          <w:u w:val="single"/>
          <w:rtl/>
        </w:rPr>
        <w:t>מו</w:t>
      </w:r>
      <w:r w:rsidR="00FB26BB" w:rsidRPr="00C21468">
        <w:rPr>
          <w:rFonts w:hint="cs"/>
          <w:color w:val="auto"/>
          <w:sz w:val="24"/>
          <w:szCs w:val="24"/>
          <w:u w:val="single"/>
          <w:rtl/>
        </w:rPr>
        <w:t xml:space="preserve"> מהמידע</w:t>
      </w:r>
      <w:r w:rsidR="007F5203" w:rsidRPr="00C21468">
        <w:rPr>
          <w:rFonts w:hint="cs"/>
          <w:color w:val="auto"/>
          <w:sz w:val="24"/>
          <w:szCs w:val="24"/>
          <w:u w:val="single"/>
          <w:rtl/>
        </w:rPr>
        <w:t>;</w:t>
      </w:r>
      <w:r w:rsidR="00727789" w:rsidRPr="00C21468">
        <w:rPr>
          <w:rFonts w:hint="cs"/>
          <w:color w:val="auto"/>
          <w:sz w:val="24"/>
          <w:szCs w:val="24"/>
          <w:u w:val="single"/>
          <w:rtl/>
        </w:rPr>
        <w:t xml:space="preserve"> </w:t>
      </w:r>
      <w:r w:rsidR="005F62DE" w:rsidRPr="00C21468">
        <w:rPr>
          <w:rFonts w:hint="cs"/>
          <w:color w:val="auto"/>
          <w:sz w:val="24"/>
          <w:szCs w:val="24"/>
          <w:u w:val="single"/>
          <w:rtl/>
        </w:rPr>
        <w:t xml:space="preserve">מצד שני, </w:t>
      </w:r>
      <w:r w:rsidR="005F62DE" w:rsidRPr="00C21468">
        <w:rPr>
          <w:rFonts w:hint="cs"/>
          <w:sz w:val="24"/>
          <w:szCs w:val="24"/>
          <w:u w:val="single"/>
          <w:rtl/>
        </w:rPr>
        <w:t>איחוד התפקידים עלול לגרום לאי שיתוף פעולה מצד גורמים בגוף המבוקר בביקורות מערכתיות</w:t>
      </w:r>
      <w:r w:rsidR="005F62DE" w:rsidRPr="00310D52">
        <w:rPr>
          <w:rFonts w:hint="cs"/>
          <w:sz w:val="24"/>
          <w:szCs w:val="24"/>
          <w:u w:val="single"/>
          <w:rtl/>
        </w:rPr>
        <w:t>, בשל החשש האנושי הטבעי מכך ששיתוף הפעולה בביקורת המערכתית יוביל לגילוי כשלים פרטניים</w:t>
      </w:r>
      <w:r w:rsidR="005F62DE" w:rsidRPr="005F62DE">
        <w:rPr>
          <w:rFonts w:hint="cs"/>
          <w:sz w:val="24"/>
          <w:szCs w:val="24"/>
          <w:rtl/>
        </w:rPr>
        <w:t>.</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proofErr w:type="spellStart"/>
            <w:r w:rsidRPr="004410F2">
              <w:rPr>
                <w:rFonts w:cs="Narkisim" w:hint="eastAsia"/>
                <w:color w:val="auto"/>
                <w:sz w:val="24"/>
                <w:szCs w:val="24"/>
                <w:rtl/>
              </w:rPr>
              <w:t>הנילון</w:t>
            </w:r>
            <w:proofErr w:type="spellEnd"/>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w:t>
      </w:r>
      <w:r>
        <w:rPr>
          <w:rFonts w:hint="cs"/>
          <w:color w:val="auto"/>
          <w:sz w:val="24"/>
          <w:szCs w:val="24"/>
          <w:rtl/>
        </w:rPr>
        <w:lastRenderedPageBreak/>
        <w:t xml:space="preserve">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proofErr w:type="spellStart"/>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proofErr w:type="spellEnd"/>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proofErr w:type="spellStart"/>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proofErr w:type="spellStart"/>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proofErr w:type="spellStart"/>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proofErr w:type="spellEnd"/>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proofErr w:type="spellStart"/>
            <w:r w:rsidRPr="003B3C69">
              <w:rPr>
                <w:rFonts w:cs="Narkisim" w:hint="eastAsia"/>
                <w:color w:val="auto"/>
                <w:sz w:val="24"/>
                <w:szCs w:val="24"/>
                <w:rtl/>
              </w:rPr>
              <w:t>היתה</w:t>
            </w:r>
            <w:proofErr w:type="spellEnd"/>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proofErr w:type="spellStart"/>
      <w:r w:rsidRPr="00560986">
        <w:rPr>
          <w:rFonts w:hint="eastAsia"/>
          <w:color w:val="auto"/>
          <w:sz w:val="24"/>
          <w:szCs w:val="24"/>
          <w:rtl/>
        </w:rPr>
        <w:t>היתה</w:t>
      </w:r>
      <w:proofErr w:type="spellEnd"/>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lastRenderedPageBreak/>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C748D0" w:rsidRDefault="00F70FF0" w:rsidP="007F07DB">
      <w:pPr>
        <w:pStyle w:val="Hesberright"/>
        <w:spacing w:after="120"/>
        <w:rPr>
          <w:color w:val="auto"/>
          <w:sz w:val="24"/>
          <w:szCs w:val="24"/>
          <w:rtl/>
        </w:rPr>
      </w:pPr>
      <w:r>
        <w:rPr>
          <w:rFonts w:hint="cs"/>
          <w:b/>
          <w:bCs/>
          <w:color w:val="auto"/>
          <w:sz w:val="24"/>
          <w:szCs w:val="24"/>
          <w:rtl/>
        </w:rPr>
        <w:t xml:space="preserve">(2) </w:t>
      </w:r>
      <w:r w:rsidR="00C748D0" w:rsidRPr="00C748D0">
        <w:rPr>
          <w:rFonts w:hint="cs"/>
          <w:b/>
          <w:bCs/>
          <w:color w:val="auto"/>
          <w:sz w:val="24"/>
          <w:szCs w:val="24"/>
          <w:rtl/>
        </w:rPr>
        <w:t>דרישה לתצהיר מהמתלונן</w:t>
      </w:r>
      <w:r w:rsidR="00C748D0">
        <w:rPr>
          <w:rFonts w:hint="cs"/>
          <w:color w:val="auto"/>
          <w:sz w:val="24"/>
          <w:szCs w:val="24"/>
          <w:rtl/>
        </w:rPr>
        <w:t xml:space="preserve"> (סעיף קטן (ד)) </w:t>
      </w:r>
      <w:r w:rsidR="00C748D0">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מבקש להתלונן היא חריגה, ואין לה מקבילות אצל </w:t>
      </w:r>
      <w:proofErr w:type="spellStart"/>
      <w:r w:rsidR="00D56385">
        <w:rPr>
          <w:rFonts w:hint="cs"/>
          <w:color w:val="auto"/>
          <w:sz w:val="24"/>
          <w:szCs w:val="24"/>
          <w:rtl/>
        </w:rPr>
        <w:t>מבררי</w:t>
      </w:r>
      <w:proofErr w:type="spellEnd"/>
      <w:r w:rsidR="00D56385">
        <w:rPr>
          <w:rFonts w:hint="cs"/>
          <w:color w:val="auto"/>
          <w:sz w:val="24"/>
          <w:szCs w:val="24"/>
          <w:rtl/>
        </w:rPr>
        <w:t xml:space="preserve">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xml:space="preserve">, למייצג </w:t>
      </w:r>
      <w:proofErr w:type="spellStart"/>
      <w:r w:rsidR="00DF0CA5">
        <w:rPr>
          <w:rFonts w:hint="cs"/>
          <w:color w:val="auto"/>
          <w:sz w:val="24"/>
          <w:szCs w:val="24"/>
          <w:rtl/>
        </w:rPr>
        <w:t>הנילון</w:t>
      </w:r>
      <w:proofErr w:type="spellEnd"/>
      <w:r w:rsidR="00DF0CA5">
        <w:rPr>
          <w:rFonts w:hint="cs"/>
          <w:color w:val="auto"/>
          <w:sz w:val="24"/>
          <w:szCs w:val="24"/>
          <w:rtl/>
        </w:rPr>
        <w:t xml:space="preserve">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w:t>
      </w:r>
      <w:proofErr w:type="spellStart"/>
      <w:r w:rsidR="00230A1F">
        <w:rPr>
          <w:rFonts w:hint="cs"/>
          <w:color w:val="auto"/>
          <w:sz w:val="24"/>
          <w:szCs w:val="24"/>
          <w:rtl/>
        </w:rPr>
        <w:t>הנילון</w:t>
      </w:r>
      <w:proofErr w:type="spellEnd"/>
      <w:r w:rsidR="00230A1F">
        <w:rPr>
          <w:rFonts w:hint="cs"/>
          <w:color w:val="auto"/>
          <w:sz w:val="24"/>
          <w:szCs w:val="24"/>
          <w:rtl/>
        </w:rPr>
        <w:t xml:space="preserve">?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proofErr w:type="spellStart"/>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proofErr w:type="spellEnd"/>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proofErr w:type="spellStart"/>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proofErr w:type="spellEnd"/>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7F07DB" w:rsidRDefault="007F07DB" w:rsidP="000D6320">
      <w:pPr>
        <w:pStyle w:val="Hesber"/>
        <w:spacing w:before="120" w:after="120" w:line="240" w:lineRule="auto"/>
        <w:ind w:firstLine="0"/>
        <w:rPr>
          <w:color w:val="auto"/>
          <w:sz w:val="24"/>
          <w:szCs w:val="24"/>
          <w:rtl/>
        </w:rPr>
      </w:pPr>
    </w:p>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lastRenderedPageBreak/>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proofErr w:type="spellStart"/>
      <w:r w:rsidR="00096E54" w:rsidRPr="001A40BD">
        <w:rPr>
          <w:rFonts w:hint="eastAsia"/>
          <w:color w:val="auto"/>
          <w:sz w:val="24"/>
          <w:szCs w:val="24"/>
          <w:rtl/>
        </w:rPr>
        <w:t>למינהל</w:t>
      </w:r>
      <w:proofErr w:type="spellEnd"/>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374812" w:rsidP="000D6320">
      <w:pPr>
        <w:pStyle w:val="HesberHeading"/>
        <w:spacing w:after="120"/>
        <w:rPr>
          <w:b w:val="0"/>
          <w:bCs w:val="0"/>
          <w:color w:val="auto"/>
          <w:sz w:val="24"/>
          <w:szCs w:val="24"/>
          <w:rtl/>
        </w:rPr>
      </w:pPr>
      <w:r>
        <w:rPr>
          <w:rFonts w:hint="cs"/>
          <w:color w:val="auto"/>
          <w:sz w:val="24"/>
          <w:szCs w:val="24"/>
          <w:rtl/>
        </w:rPr>
        <w:t xml:space="preserve">(1) </w:t>
      </w:r>
      <w:r w:rsidR="0083140C">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D2432E" w:rsidRDefault="00374812" w:rsidP="000D6320">
      <w:pPr>
        <w:pStyle w:val="HesberHeading"/>
        <w:spacing w:after="120"/>
        <w:rPr>
          <w:b w:val="0"/>
          <w:bCs w:val="0"/>
          <w:color w:val="auto"/>
          <w:sz w:val="24"/>
          <w:szCs w:val="24"/>
          <w:rtl/>
        </w:rPr>
      </w:pPr>
      <w:r w:rsidRPr="00374812">
        <w:rPr>
          <w:rFonts w:hint="cs"/>
          <w:color w:val="auto"/>
          <w:sz w:val="24"/>
          <w:szCs w:val="24"/>
          <w:rtl/>
        </w:rPr>
        <w:lastRenderedPageBreak/>
        <w:t>(2) הליך משמעתי לרבות הליך לפי חוק לשכת עורכי הדין</w:t>
      </w:r>
      <w:r>
        <w:rPr>
          <w:rFonts w:hint="cs"/>
          <w:b w:val="0"/>
          <w:bCs w:val="0"/>
          <w:color w:val="auto"/>
          <w:sz w:val="24"/>
          <w:szCs w:val="24"/>
          <w:rtl/>
        </w:rPr>
        <w:t xml:space="preserve"> (פסקה (4)) </w:t>
      </w:r>
      <w:r>
        <w:rPr>
          <w:b w:val="0"/>
          <w:bCs w:val="0"/>
          <w:color w:val="auto"/>
          <w:sz w:val="24"/>
          <w:szCs w:val="24"/>
          <w:rtl/>
        </w:rPr>
        <w:t>–</w:t>
      </w:r>
      <w:r w:rsidR="00FB07F5">
        <w:rPr>
          <w:rFonts w:hint="cs"/>
          <w:b w:val="0"/>
          <w:bCs w:val="0"/>
          <w:color w:val="auto"/>
          <w:sz w:val="24"/>
          <w:szCs w:val="24"/>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ובדברי ההסבר לאותו סעיף הובא הבירור המשמעתי של לשכת עורכי הדין כאחת מהדוגמאות לרשות כאמור. נוכח האמור, נראה כי יש כפילות מיותרת בין </w:t>
      </w:r>
      <w:proofErr w:type="spellStart"/>
      <w:r w:rsidR="00FB07F5">
        <w:rPr>
          <w:rFonts w:hint="cs"/>
          <w:b w:val="0"/>
          <w:bCs w:val="0"/>
          <w:color w:val="auto"/>
          <w:sz w:val="24"/>
          <w:szCs w:val="24"/>
          <w:rtl/>
        </w:rPr>
        <w:t>הסיפה</w:t>
      </w:r>
      <w:proofErr w:type="spellEnd"/>
      <w:r w:rsidR="00FB07F5">
        <w:rPr>
          <w:rFonts w:hint="cs"/>
          <w:b w:val="0"/>
          <w:bCs w:val="0"/>
          <w:color w:val="auto"/>
          <w:sz w:val="24"/>
          <w:szCs w:val="24"/>
          <w:rtl/>
        </w:rPr>
        <w:t xml:space="preserve"> של פסקה (4) לעניין הליך משמעתי לבין פסקה (5).</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להצעת החוק 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xml:space="preserve">. נראה כי כוונת הסעיף היא למנוע כפל בירור באותו עניין על ידי </w:t>
      </w:r>
      <w:proofErr w:type="spellStart"/>
      <w:r w:rsidR="001F198D" w:rsidRPr="00B5604B">
        <w:rPr>
          <w:rFonts w:hint="cs"/>
          <w:b w:val="0"/>
          <w:bCs w:val="0"/>
          <w:color w:val="auto"/>
          <w:sz w:val="24"/>
          <w:szCs w:val="24"/>
          <w:rtl/>
        </w:rPr>
        <w:t>מבררי</w:t>
      </w:r>
      <w:proofErr w:type="spellEnd"/>
      <w:r w:rsidR="001F198D" w:rsidRPr="00B5604B">
        <w:rPr>
          <w:rFonts w:hint="cs"/>
          <w:b w:val="0"/>
          <w:bCs w:val="0"/>
          <w:color w:val="auto"/>
          <w:sz w:val="24"/>
          <w:szCs w:val="24"/>
          <w:rtl/>
        </w:rPr>
        <w:t xml:space="preserve">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proofErr w:type="spellStart"/>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proofErr w:type="spellEnd"/>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lastRenderedPageBreak/>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w:t>
      </w:r>
      <w:proofErr w:type="spellStart"/>
      <w:r w:rsidRPr="001A40BD">
        <w:rPr>
          <w:rFonts w:hint="cs"/>
          <w:b w:val="0"/>
          <w:bCs w:val="0"/>
          <w:color w:val="auto"/>
          <w:sz w:val="24"/>
          <w:szCs w:val="24"/>
          <w:rtl/>
        </w:rPr>
        <w:t>מינהלתיות</w:t>
      </w:r>
      <w:proofErr w:type="spellEnd"/>
      <w:r w:rsidRPr="001A40BD">
        <w:rPr>
          <w:rFonts w:hint="cs"/>
          <w:b w:val="0"/>
          <w:bCs w:val="0"/>
          <w:color w:val="auto"/>
          <w:sz w:val="24"/>
          <w:szCs w:val="24"/>
          <w:rtl/>
        </w:rPr>
        <w:t xml:space="preserve">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 xml:space="preserve">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w:t>
      </w:r>
      <w:proofErr w:type="spellStart"/>
      <w:r w:rsidRPr="001A40BD">
        <w:rPr>
          <w:rFonts w:hint="cs"/>
          <w:b w:val="0"/>
          <w:bCs w:val="0"/>
          <w:color w:val="auto"/>
          <w:sz w:val="24"/>
          <w:szCs w:val="24"/>
          <w:u w:val="single"/>
          <w:rtl/>
        </w:rPr>
        <w:t>לבודקן</w:t>
      </w:r>
      <w:proofErr w:type="spellEnd"/>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נעיר, כי הדברים האמורים מקבלים משנה תוקף 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 xml:space="preserve">(2) היחסים בין היועץ ובין הנציב: היועץ </w:t>
      </w:r>
      <w:proofErr w:type="spellStart"/>
      <w:r w:rsidRPr="00C85188">
        <w:rPr>
          <w:rFonts w:ascii="David" w:hAnsi="David" w:hint="cs"/>
          <w:b/>
          <w:bCs/>
          <w:color w:val="auto"/>
          <w:sz w:val="24"/>
          <w:szCs w:val="24"/>
          <w:rtl/>
        </w:rPr>
        <w:t>כנילון</w:t>
      </w:r>
      <w:proofErr w:type="spellEnd"/>
      <w:r w:rsidRPr="00C85188">
        <w:rPr>
          <w:rFonts w:ascii="David" w:hAnsi="David" w:hint="cs"/>
          <w:b/>
          <w:bCs/>
          <w:color w:val="auto"/>
          <w:sz w:val="24"/>
          <w:szCs w:val="24"/>
          <w:rtl/>
        </w:rPr>
        <w:t xml:space="preserve">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lastRenderedPageBreak/>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proofErr w:type="spellStart"/>
      <w:r w:rsidR="00096E54" w:rsidRPr="00C26A66">
        <w:rPr>
          <w:rFonts w:hint="eastAsia"/>
          <w:b w:val="0"/>
          <w:bCs w:val="0"/>
          <w:color w:val="auto"/>
          <w:sz w:val="24"/>
          <w:szCs w:val="24"/>
          <w:rtl/>
        </w:rPr>
        <w:t>הנילון</w:t>
      </w:r>
      <w:proofErr w:type="spellEnd"/>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proofErr w:type="spellStart"/>
            <w:r w:rsidR="00096E54" w:rsidRPr="003C2769">
              <w:rPr>
                <w:rFonts w:cs="Narkisim" w:hint="eastAsia"/>
                <w:color w:val="auto"/>
                <w:sz w:val="24"/>
                <w:szCs w:val="24"/>
                <w:rtl/>
              </w:rPr>
              <w:t>הנילון</w:t>
            </w:r>
            <w:proofErr w:type="spellEnd"/>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lastRenderedPageBreak/>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proofErr w:type="spellStart"/>
      <w:r w:rsidR="00096E54" w:rsidRPr="009B565A">
        <w:rPr>
          <w:rFonts w:hint="eastAsia"/>
          <w:color w:val="auto"/>
          <w:sz w:val="24"/>
          <w:szCs w:val="24"/>
          <w:rtl/>
        </w:rPr>
        <w:t>הנילון</w:t>
      </w:r>
      <w:proofErr w:type="spellEnd"/>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כלל לא ברור שאכן מדובר בתנאים מצטברים, ולא בתנאי אחד שחוזר על עצמו בניסוחים שונים. שכן אם קיימים טעמים מיוחדים המצדיקים את הבירור, לכאורה 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w:t>
      </w:r>
      <w:proofErr w:type="spellStart"/>
      <w:r w:rsidR="00BD6C16" w:rsidRPr="00810CCA">
        <w:rPr>
          <w:rFonts w:hint="cs"/>
          <w:color w:val="auto"/>
          <w:sz w:val="24"/>
          <w:szCs w:val="24"/>
          <w:rtl/>
        </w:rPr>
        <w:t>מבררי</w:t>
      </w:r>
      <w:proofErr w:type="spellEnd"/>
      <w:r w:rsidR="00BD6C16" w:rsidRPr="00810CCA">
        <w:rPr>
          <w:rFonts w:hint="cs"/>
          <w:color w:val="auto"/>
          <w:sz w:val="24"/>
          <w:szCs w:val="24"/>
          <w:rtl/>
        </w:rPr>
        <w:t xml:space="preserve">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C34069" w:rsidRPr="000D36BB" w:rsidRDefault="003C2769" w:rsidP="00604771">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אישור היועץ המשפטי לממשלה לברר 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את שאלת 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w:t>
      </w:r>
      <w:proofErr w:type="spellStart"/>
      <w:r w:rsidR="002B05D9" w:rsidRPr="000D36BB">
        <w:rPr>
          <w:rFonts w:hint="cs"/>
          <w:color w:val="auto"/>
          <w:sz w:val="24"/>
          <w:szCs w:val="24"/>
          <w:rtl/>
        </w:rPr>
        <w:t>שבהתקיים</w:t>
      </w:r>
      <w:proofErr w:type="spellEnd"/>
      <w:r w:rsidR="002B05D9" w:rsidRPr="000D36BB">
        <w:rPr>
          <w:rFonts w:hint="cs"/>
          <w:color w:val="auto"/>
          <w:sz w:val="24"/>
          <w:szCs w:val="24"/>
          <w:rtl/>
        </w:rPr>
        <w:t xml:space="preserve">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p>
    <w:p w:rsidR="00AF52AC" w:rsidRPr="00641FCE" w:rsidRDefault="00053DB2" w:rsidP="00604771">
      <w:pPr>
        <w:pStyle w:val="Hesber"/>
        <w:spacing w:after="120"/>
        <w:ind w:firstLine="0"/>
        <w:rPr>
          <w:color w:val="auto"/>
          <w:sz w:val="24"/>
          <w:szCs w:val="24"/>
          <w:rtl/>
        </w:rPr>
      </w:pPr>
      <w:r w:rsidRPr="000D36BB">
        <w:rPr>
          <w:rFonts w:hint="cs"/>
          <w:color w:val="auto"/>
          <w:sz w:val="24"/>
          <w:szCs w:val="24"/>
          <w:rtl/>
        </w:rPr>
        <w:t xml:space="preserve">יוער, כי אצל </w:t>
      </w:r>
      <w:proofErr w:type="spellStart"/>
      <w:r w:rsidRPr="000D36BB">
        <w:rPr>
          <w:rFonts w:hint="cs"/>
          <w:color w:val="auto"/>
          <w:sz w:val="24"/>
          <w:szCs w:val="24"/>
          <w:rtl/>
        </w:rPr>
        <w:t>מבררי</w:t>
      </w:r>
      <w:proofErr w:type="spellEnd"/>
      <w:r w:rsidRPr="000D36BB">
        <w:rPr>
          <w:rFonts w:hint="cs"/>
          <w:color w:val="auto"/>
          <w:sz w:val="24"/>
          <w:szCs w:val="24"/>
          <w:rtl/>
        </w:rPr>
        <w:t xml:space="preserve"> </w:t>
      </w:r>
      <w:r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Pr="00641FCE">
        <w:rPr>
          <w:rFonts w:hint="cs"/>
          <w:color w:val="auto"/>
          <w:sz w:val="24"/>
          <w:szCs w:val="24"/>
          <w:rtl/>
        </w:rPr>
        <w:t xml:space="preserve"> </w:t>
      </w:r>
    </w:p>
    <w:p w:rsidR="006554B9" w:rsidRPr="00641FCE" w:rsidRDefault="006554B9" w:rsidP="00604771">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lastRenderedPageBreak/>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proofErr w:type="spellStart"/>
      <w:r w:rsidR="00096E54" w:rsidRPr="00674CC7">
        <w:rPr>
          <w:rFonts w:hint="eastAsia"/>
          <w:color w:val="auto"/>
          <w:sz w:val="24"/>
          <w:szCs w:val="24"/>
          <w:rtl/>
        </w:rPr>
        <w:t>היתה</w:t>
      </w:r>
      <w:proofErr w:type="spellEnd"/>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proofErr w:type="spellStart"/>
      <w:r w:rsidR="00096E54" w:rsidRPr="004B7035">
        <w:rPr>
          <w:rFonts w:hint="eastAsia"/>
          <w:color w:val="auto"/>
          <w:sz w:val="24"/>
          <w:szCs w:val="24"/>
          <w:rtl/>
        </w:rPr>
        <w:t>המינהלית</w:t>
      </w:r>
      <w:proofErr w:type="spellEnd"/>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proofErr w:type="spellStart"/>
      <w:r w:rsidR="00C21CFF" w:rsidRPr="00E42807">
        <w:rPr>
          <w:rFonts w:ascii="David" w:hAnsi="David" w:hint="cs"/>
          <w:b w:val="0"/>
          <w:bCs w:val="0"/>
          <w:color w:val="auto"/>
          <w:sz w:val="24"/>
          <w:szCs w:val="24"/>
          <w:rtl/>
        </w:rPr>
        <w:t>להחריג</w:t>
      </w:r>
      <w:proofErr w:type="spellEnd"/>
      <w:r w:rsidR="00C21CFF" w:rsidRPr="00E42807">
        <w:rPr>
          <w:rFonts w:ascii="David" w:hAnsi="David" w:hint="cs"/>
          <w:b w:val="0"/>
          <w:bCs w:val="0"/>
          <w:color w:val="auto"/>
          <w:sz w:val="24"/>
          <w:szCs w:val="24"/>
          <w:rtl/>
        </w:rPr>
        <w:t xml:space="preserve">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w:t>
      </w:r>
      <w:proofErr w:type="spellStart"/>
      <w:r w:rsidR="00A61955" w:rsidRPr="00E42807">
        <w:rPr>
          <w:rFonts w:ascii="David" w:hAnsi="David" w:hint="cs"/>
          <w:b w:val="0"/>
          <w:bCs w:val="0"/>
          <w:color w:val="auto"/>
          <w:sz w:val="24"/>
          <w:szCs w:val="24"/>
          <w:rtl/>
        </w:rPr>
        <w:t>להחריג</w:t>
      </w:r>
      <w:proofErr w:type="spellEnd"/>
      <w:r w:rsidR="00A61955" w:rsidRPr="00E42807">
        <w:rPr>
          <w:rFonts w:ascii="David" w:hAnsi="David" w:hint="cs"/>
          <w:b w:val="0"/>
          <w:bCs w:val="0"/>
          <w:color w:val="auto"/>
          <w:sz w:val="24"/>
          <w:szCs w:val="24"/>
          <w:rtl/>
        </w:rPr>
        <w:t xml:space="preserve">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7F07DB" w:rsidRDefault="007F07DB" w:rsidP="00604771">
      <w:pPr>
        <w:pStyle w:val="HesberHeading"/>
        <w:spacing w:before="68" w:after="120" w:line="240" w:lineRule="auto"/>
        <w:rPr>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lastRenderedPageBreak/>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שהיתה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w:t>
      </w:r>
      <w:proofErr w:type="spellStart"/>
      <w:r w:rsidR="00D36083" w:rsidRPr="00C30FD3">
        <w:rPr>
          <w:rFonts w:hint="cs"/>
          <w:b w:val="0"/>
          <w:bCs w:val="0"/>
          <w:color w:val="auto"/>
          <w:sz w:val="24"/>
          <w:szCs w:val="24"/>
          <w:rtl/>
        </w:rPr>
        <w:t>מבררי</w:t>
      </w:r>
      <w:proofErr w:type="spellEnd"/>
      <w:r w:rsidR="00D36083" w:rsidRPr="00C30FD3">
        <w:rPr>
          <w:rFonts w:hint="cs"/>
          <w:b w:val="0"/>
          <w:bCs w:val="0"/>
          <w:color w:val="auto"/>
          <w:sz w:val="24"/>
          <w:szCs w:val="24"/>
          <w:rtl/>
        </w:rPr>
        <w:t xml:space="preserve">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w:t>
      </w:r>
      <w:proofErr w:type="spellStart"/>
      <w:r w:rsidR="006316CB" w:rsidRPr="00C30FD3">
        <w:rPr>
          <w:rFonts w:hint="cs"/>
          <w:b w:val="0"/>
          <w:bCs w:val="0"/>
          <w:color w:val="auto"/>
          <w:sz w:val="24"/>
          <w:szCs w:val="24"/>
          <w:rtl/>
        </w:rPr>
        <w:t>מבררי</w:t>
      </w:r>
      <w:proofErr w:type="spellEnd"/>
      <w:r w:rsidR="006316CB" w:rsidRPr="00C30FD3">
        <w:rPr>
          <w:rFonts w:hint="cs"/>
          <w:b w:val="0"/>
          <w:bCs w:val="0"/>
          <w:color w:val="auto"/>
          <w:sz w:val="24"/>
          <w:szCs w:val="24"/>
          <w:rtl/>
        </w:rPr>
        <w:t xml:space="preserve">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w:t>
      </w:r>
      <w:proofErr w:type="spellStart"/>
      <w:r w:rsidRPr="00C30FD3">
        <w:rPr>
          <w:rFonts w:hint="cs"/>
          <w:b w:val="0"/>
          <w:bCs w:val="0"/>
          <w:color w:val="auto"/>
          <w:sz w:val="24"/>
          <w:szCs w:val="24"/>
          <w:rtl/>
        </w:rPr>
        <w:t>במינהל</w:t>
      </w:r>
      <w:proofErr w:type="spellEnd"/>
      <w:r w:rsidRPr="00C30FD3">
        <w:rPr>
          <w:rFonts w:hint="cs"/>
          <w:b w:val="0"/>
          <w:bCs w:val="0"/>
          <w:color w:val="auto"/>
          <w:sz w:val="24"/>
          <w:szCs w:val="24"/>
          <w:rtl/>
        </w:rPr>
        <w:t xml:space="preserve">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proofErr w:type="spellStart"/>
      <w:r w:rsidRPr="0040735F">
        <w:rPr>
          <w:rFonts w:hint="eastAsia"/>
          <w:color w:val="auto"/>
          <w:sz w:val="24"/>
          <w:szCs w:val="24"/>
          <w:rtl/>
        </w:rPr>
        <w:t>הנילון</w:t>
      </w:r>
      <w:proofErr w:type="spellEnd"/>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proofErr w:type="spellStart"/>
      <w:r w:rsidRPr="0040735F">
        <w:rPr>
          <w:rFonts w:hint="eastAsia"/>
          <w:color w:val="auto"/>
          <w:sz w:val="24"/>
          <w:szCs w:val="24"/>
          <w:rtl/>
        </w:rPr>
        <w:t>לנילון</w:t>
      </w:r>
      <w:proofErr w:type="spellEnd"/>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 xml:space="preserve">על פי המוצע, אם הממונה על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הודיע לנציב כי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 xml:space="preserve">הגורם המקצועי יהיה </w:t>
      </w:r>
      <w:proofErr w:type="spellStart"/>
      <w:r w:rsidR="00BC7FB9" w:rsidRPr="00F609ED">
        <w:rPr>
          <w:rFonts w:hint="cs"/>
          <w:color w:val="auto"/>
          <w:sz w:val="24"/>
          <w:szCs w:val="24"/>
          <w:rtl/>
        </w:rPr>
        <w:t>הנילון</w:t>
      </w:r>
      <w:proofErr w:type="spellEnd"/>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proofErr w:type="spellStart"/>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proofErr w:type="spellEnd"/>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w:t>
      </w:r>
      <w:proofErr w:type="spellStart"/>
      <w:r w:rsidR="00460481" w:rsidRPr="0086675F">
        <w:rPr>
          <w:rFonts w:hint="cs"/>
          <w:color w:val="auto"/>
          <w:sz w:val="24"/>
          <w:szCs w:val="24"/>
          <w:u w:val="single"/>
          <w:rtl/>
        </w:rPr>
        <w:t>הנילון</w:t>
      </w:r>
      <w:proofErr w:type="spellEnd"/>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proofErr w:type="spellStart"/>
      <w:r w:rsidRPr="00024905">
        <w:rPr>
          <w:rFonts w:hint="eastAsia"/>
          <w:color w:val="auto"/>
          <w:sz w:val="24"/>
          <w:szCs w:val="24"/>
          <w:rtl/>
        </w:rPr>
        <w:t>הנילון</w:t>
      </w:r>
      <w:proofErr w:type="spellEnd"/>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proofErr w:type="spellStart"/>
      <w:r w:rsidR="00460481" w:rsidRPr="004E276A">
        <w:rPr>
          <w:rFonts w:hint="eastAsia"/>
          <w:color w:val="auto"/>
          <w:sz w:val="24"/>
          <w:szCs w:val="24"/>
          <w:rtl/>
        </w:rPr>
        <w:t>הנילון</w:t>
      </w:r>
      <w:proofErr w:type="spellEnd"/>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proofErr w:type="spellStart"/>
      <w:r w:rsidR="00460481" w:rsidRPr="00460481">
        <w:rPr>
          <w:rFonts w:hint="eastAsia"/>
          <w:color w:val="auto"/>
          <w:sz w:val="24"/>
          <w:szCs w:val="24"/>
          <w:rtl/>
        </w:rPr>
        <w:t>לנילון</w:t>
      </w:r>
      <w:proofErr w:type="spellEnd"/>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lastRenderedPageBreak/>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 xml:space="preserve">מתי הנציב מודיע </w:t>
      </w:r>
      <w:proofErr w:type="spellStart"/>
      <w:r w:rsidR="00460481" w:rsidRPr="00460481">
        <w:rPr>
          <w:rFonts w:hint="cs"/>
          <w:b/>
          <w:bCs/>
          <w:color w:val="auto"/>
          <w:sz w:val="24"/>
          <w:szCs w:val="24"/>
          <w:rtl/>
        </w:rPr>
        <w:t>ל</w:t>
      </w:r>
      <w:r w:rsidR="00E21621" w:rsidRPr="00460481">
        <w:rPr>
          <w:rFonts w:hint="cs"/>
          <w:b/>
          <w:bCs/>
          <w:color w:val="auto"/>
          <w:sz w:val="24"/>
          <w:szCs w:val="24"/>
          <w:rtl/>
        </w:rPr>
        <w:t>נילון</w:t>
      </w:r>
      <w:proofErr w:type="spellEnd"/>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דהיינו: ברור מהניסוח שבסעיף האמור כי ההודעה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 xml:space="preserve">את התלונה לידיעת </w:t>
      </w:r>
      <w:proofErr w:type="spellStart"/>
      <w:r w:rsidR="00E21621" w:rsidRPr="00460481">
        <w:rPr>
          <w:rFonts w:cs="Narkisim" w:hint="cs"/>
          <w:color w:val="auto"/>
          <w:sz w:val="24"/>
          <w:szCs w:val="24"/>
          <w:rtl/>
        </w:rPr>
        <w:t>הנילון</w:t>
      </w:r>
      <w:proofErr w:type="spellEnd"/>
      <w:r w:rsidR="00E21621" w:rsidRPr="00460481">
        <w:rPr>
          <w:rFonts w:cs="Narkisim" w:hint="cs"/>
          <w:color w:val="auto"/>
          <w:sz w:val="24"/>
          <w:szCs w:val="24"/>
          <w:rtl/>
        </w:rPr>
        <w:t xml:space="preserve">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w:t>
      </w:r>
      <w:proofErr w:type="spellStart"/>
      <w:r w:rsidRPr="007505FF">
        <w:rPr>
          <w:rFonts w:hint="cs"/>
          <w:b/>
          <w:bCs/>
          <w:color w:val="auto"/>
          <w:sz w:val="24"/>
          <w:szCs w:val="24"/>
          <w:rtl/>
        </w:rPr>
        <w:t>לנילון</w:t>
      </w:r>
      <w:proofErr w:type="spellEnd"/>
      <w:r w:rsidRPr="007505FF">
        <w:rPr>
          <w:rFonts w:hint="cs"/>
          <w:b/>
          <w:bCs/>
          <w:color w:val="auto"/>
          <w:sz w:val="24"/>
          <w:szCs w:val="24"/>
          <w:rtl/>
        </w:rPr>
        <w:t xml:space="preserve">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w:t>
      </w:r>
      <w:proofErr w:type="spellStart"/>
      <w:r w:rsidR="005D7D1F" w:rsidRPr="007505FF">
        <w:rPr>
          <w:rFonts w:hint="cs"/>
          <w:color w:val="auto"/>
          <w:sz w:val="24"/>
          <w:szCs w:val="24"/>
          <w:rtl/>
        </w:rPr>
        <w:t>שהנילון</w:t>
      </w:r>
      <w:proofErr w:type="spellEnd"/>
      <w:r w:rsidR="005D7D1F" w:rsidRPr="007505FF">
        <w:rPr>
          <w:rFonts w:hint="cs"/>
          <w:color w:val="auto"/>
          <w:sz w:val="24"/>
          <w:szCs w:val="24"/>
          <w:rtl/>
        </w:rPr>
        <w:t xml:space="preserve">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w:t>
      </w:r>
      <w:proofErr w:type="spellStart"/>
      <w:r w:rsidR="00A77342" w:rsidRPr="007505FF">
        <w:rPr>
          <w:rFonts w:hint="cs"/>
          <w:color w:val="auto"/>
          <w:sz w:val="24"/>
          <w:szCs w:val="24"/>
          <w:rtl/>
        </w:rPr>
        <w:t>הנילון</w:t>
      </w:r>
      <w:proofErr w:type="spellEnd"/>
      <w:r w:rsidR="00A77342" w:rsidRPr="007505FF">
        <w:rPr>
          <w:rFonts w:hint="cs"/>
          <w:color w:val="auto"/>
          <w:sz w:val="24"/>
          <w:szCs w:val="24"/>
          <w:rtl/>
        </w:rPr>
        <w:t xml:space="preserve"> והממונה עליו את כל 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 xml:space="preserve">שמיעת </w:t>
      </w:r>
      <w:proofErr w:type="spellStart"/>
      <w:r w:rsidR="00024905" w:rsidRPr="00460481">
        <w:rPr>
          <w:rFonts w:hint="cs"/>
          <w:b/>
          <w:bCs/>
          <w:color w:val="auto"/>
          <w:sz w:val="24"/>
          <w:szCs w:val="24"/>
          <w:rtl/>
        </w:rPr>
        <w:t>הנילון</w:t>
      </w:r>
      <w:proofErr w:type="spellEnd"/>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w:t>
      </w:r>
      <w:proofErr w:type="spellStart"/>
      <w:r w:rsidR="00024905" w:rsidRPr="00460481">
        <w:rPr>
          <w:rFonts w:hint="cs"/>
          <w:color w:val="auto"/>
          <w:sz w:val="24"/>
          <w:szCs w:val="24"/>
          <w:rtl/>
        </w:rPr>
        <w:t>הנילון</w:t>
      </w:r>
      <w:proofErr w:type="spellEnd"/>
      <w:r w:rsidR="00024905" w:rsidRPr="00460481">
        <w:rPr>
          <w:rFonts w:hint="cs"/>
          <w:color w:val="auto"/>
          <w:sz w:val="24"/>
          <w:szCs w:val="24"/>
          <w:rtl/>
        </w:rPr>
        <w:t>,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 xml:space="preserve">רשאי לשמוע גם את </w:t>
      </w:r>
      <w:proofErr w:type="spellStart"/>
      <w:r w:rsidR="00842F17">
        <w:rPr>
          <w:rFonts w:hint="cs"/>
          <w:color w:val="auto"/>
          <w:sz w:val="24"/>
          <w:szCs w:val="24"/>
          <w:rtl/>
        </w:rPr>
        <w:t>הנילון</w:t>
      </w:r>
      <w:proofErr w:type="spellEnd"/>
      <w:r w:rsidR="00842F17">
        <w:rPr>
          <w:rFonts w:hint="cs"/>
          <w:color w:val="auto"/>
          <w:sz w:val="24"/>
          <w:szCs w:val="24"/>
          <w:rtl/>
        </w:rPr>
        <w:t>.</w:t>
      </w:r>
    </w:p>
    <w:p w:rsidR="004E276A" w:rsidRPr="00460481" w:rsidRDefault="004E276A" w:rsidP="007F07DB">
      <w:pPr>
        <w:pStyle w:val="Hesber"/>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proofErr w:type="spellStart"/>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proofErr w:type="spellEnd"/>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7F07DB" w:rsidRDefault="007F07DB" w:rsidP="006611F8">
      <w:pPr>
        <w:pStyle w:val="Hesber"/>
        <w:spacing w:after="120" w:line="240" w:lineRule="auto"/>
        <w:ind w:firstLine="0"/>
        <w:rPr>
          <w:b/>
          <w:bCs/>
          <w:color w:val="auto"/>
          <w:sz w:val="24"/>
          <w:szCs w:val="24"/>
          <w:u w:val="single"/>
          <w:rtl/>
        </w:rPr>
      </w:pPr>
    </w:p>
    <w:p w:rsidR="007F07DB" w:rsidRDefault="007F07DB" w:rsidP="006611F8">
      <w:pPr>
        <w:pStyle w:val="Hesber"/>
        <w:spacing w:after="120" w:line="240" w:lineRule="auto"/>
        <w:ind w:firstLine="0"/>
        <w:rPr>
          <w:b/>
          <w:bCs/>
          <w:color w:val="auto"/>
          <w:sz w:val="24"/>
          <w:szCs w:val="24"/>
          <w:u w:val="single"/>
          <w:rtl/>
        </w:rPr>
      </w:pPr>
    </w:p>
    <w:p w:rsidR="007F07DB" w:rsidRDefault="007F07DB" w:rsidP="006611F8">
      <w:pPr>
        <w:pStyle w:val="Hesber"/>
        <w:spacing w:after="120" w:line="240" w:lineRule="auto"/>
        <w:ind w:firstLine="0"/>
        <w:rPr>
          <w:b/>
          <w:bCs/>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lastRenderedPageBreak/>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7F07DB">
      <w:pPr>
        <w:pStyle w:val="Hesber"/>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 xml:space="preserve">יות המוקנות לנציב כדי לברר את התלונה. הוראה העוסקת במגבלות על גילוי או פרסום מידע שמגיע לידי הנציב כדוגמת זו המוצעת </w:t>
      </w:r>
      <w:proofErr w:type="spellStart"/>
      <w:r w:rsidR="00ED08BF" w:rsidRPr="007505FF">
        <w:rPr>
          <w:rFonts w:hint="cs"/>
          <w:color w:val="auto"/>
          <w:sz w:val="24"/>
          <w:szCs w:val="24"/>
          <w:rtl/>
        </w:rPr>
        <w:t>בסיפה</w:t>
      </w:r>
      <w:proofErr w:type="spellEnd"/>
      <w:r w:rsidR="00ED08BF" w:rsidRPr="007505FF">
        <w:rPr>
          <w:rFonts w:hint="cs"/>
          <w:color w:val="auto"/>
          <w:sz w:val="24"/>
          <w:szCs w:val="24"/>
          <w:rtl/>
        </w:rPr>
        <w:t xml:space="preserve">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7F07DB">
      <w:pPr>
        <w:pStyle w:val="Hesber"/>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lastRenderedPageBreak/>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proofErr w:type="spellStart"/>
            <w:r w:rsidRPr="00751AAA">
              <w:rPr>
                <w:rFonts w:cs="Narkisim" w:hint="eastAsia"/>
                <w:color w:val="auto"/>
                <w:sz w:val="24"/>
                <w:szCs w:val="24"/>
                <w:rtl/>
              </w:rPr>
              <w:t>הנילון</w:t>
            </w:r>
            <w:proofErr w:type="spellEnd"/>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proofErr w:type="spellStart"/>
            <w:r w:rsidRPr="00751AAA">
              <w:rPr>
                <w:rFonts w:cs="Narkisim" w:hint="eastAsia"/>
                <w:color w:val="auto"/>
                <w:sz w:val="24"/>
                <w:szCs w:val="24"/>
                <w:rtl/>
              </w:rPr>
              <w:t>לנילון</w:t>
            </w:r>
            <w:proofErr w:type="spellEnd"/>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proofErr w:type="spellStart"/>
      <w:r w:rsidRPr="00751AAA">
        <w:rPr>
          <w:rFonts w:hint="eastAsia"/>
          <w:color w:val="auto"/>
          <w:sz w:val="24"/>
          <w:szCs w:val="24"/>
          <w:rtl/>
        </w:rPr>
        <w:t>הנילון</w:t>
      </w:r>
      <w:proofErr w:type="spellEnd"/>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w:t>
      </w:r>
      <w:proofErr w:type="spellStart"/>
      <w:r>
        <w:rPr>
          <w:rFonts w:hint="cs"/>
          <w:color w:val="auto"/>
          <w:sz w:val="24"/>
          <w:szCs w:val="24"/>
          <w:rtl/>
        </w:rPr>
        <w:t>שהנילון</w:t>
      </w:r>
      <w:proofErr w:type="spellEnd"/>
      <w:r>
        <w:rPr>
          <w:rFonts w:hint="cs"/>
          <w:color w:val="auto"/>
          <w:sz w:val="24"/>
          <w:szCs w:val="24"/>
          <w:rtl/>
        </w:rPr>
        <w:t xml:space="preserve">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w:t>
      </w:r>
      <w:r>
        <w:rPr>
          <w:rFonts w:hint="cs"/>
          <w:color w:val="auto"/>
          <w:sz w:val="24"/>
          <w:szCs w:val="24"/>
          <w:rtl/>
        </w:rPr>
        <w:lastRenderedPageBreak/>
        <w:t>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proofErr w:type="spellStart"/>
      <w:r w:rsidRPr="00751AAA">
        <w:rPr>
          <w:rFonts w:hint="eastAsia"/>
          <w:color w:val="auto"/>
          <w:sz w:val="24"/>
          <w:szCs w:val="24"/>
          <w:rtl/>
        </w:rPr>
        <w:t>לנילון</w:t>
      </w:r>
      <w:proofErr w:type="spellEnd"/>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proofErr w:type="spellStart"/>
      <w:r w:rsidRPr="004F4E24">
        <w:rPr>
          <w:rFonts w:hint="eastAsia"/>
          <w:color w:val="auto"/>
          <w:sz w:val="24"/>
          <w:szCs w:val="24"/>
          <w:rtl/>
        </w:rPr>
        <w:t>לנילון</w:t>
      </w:r>
      <w:proofErr w:type="spellEnd"/>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xml:space="preserve">, נקבע כי בהודעה ששולח הנציב למתלונן, </w:t>
      </w:r>
      <w:proofErr w:type="spellStart"/>
      <w:r>
        <w:rPr>
          <w:rFonts w:hint="cs"/>
          <w:color w:val="auto"/>
          <w:sz w:val="24"/>
          <w:szCs w:val="24"/>
          <w:rtl/>
        </w:rPr>
        <w:t>לנילון</w:t>
      </w:r>
      <w:proofErr w:type="spellEnd"/>
      <w:r>
        <w:rPr>
          <w:rFonts w:hint="cs"/>
          <w:color w:val="auto"/>
          <w:sz w:val="24"/>
          <w:szCs w:val="24"/>
          <w:rtl/>
        </w:rPr>
        <w:t xml:space="preserve"> </w:t>
      </w:r>
      <w:r>
        <w:rPr>
          <w:rFonts w:hint="cs"/>
          <w:color w:val="auto"/>
          <w:sz w:val="24"/>
          <w:szCs w:val="24"/>
          <w:rtl/>
        </w:rPr>
        <w:lastRenderedPageBreak/>
        <w:t>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xml:space="preserve">, וכדי שהמתלונן ידע לא רק שהתלונה </w:t>
      </w:r>
      <w:proofErr w:type="spellStart"/>
      <w:r w:rsidR="00173BAB">
        <w:rPr>
          <w:rFonts w:hint="cs"/>
          <w:color w:val="auto"/>
          <w:sz w:val="24"/>
          <w:szCs w:val="24"/>
          <w:rtl/>
        </w:rPr>
        <w:t>היתה</w:t>
      </w:r>
      <w:proofErr w:type="spellEnd"/>
      <w:r w:rsidR="00173BAB">
        <w:rPr>
          <w:rFonts w:hint="cs"/>
          <w:color w:val="auto"/>
          <w:sz w:val="24"/>
          <w:szCs w:val="24"/>
          <w:rtl/>
        </w:rPr>
        <w:t xml:space="preserve">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proofErr w:type="spellStart"/>
            <w:r w:rsidR="008077D2" w:rsidRPr="004C711C">
              <w:rPr>
                <w:rFonts w:cs="Narkisim" w:hint="eastAsia"/>
                <w:color w:val="auto"/>
                <w:sz w:val="24"/>
                <w:szCs w:val="24"/>
                <w:rtl/>
              </w:rPr>
              <w:t>הנילון</w:t>
            </w:r>
            <w:proofErr w:type="spellEnd"/>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proofErr w:type="spellStart"/>
      <w:r w:rsidRPr="004C711C">
        <w:rPr>
          <w:rFonts w:hint="eastAsia"/>
          <w:color w:val="auto"/>
          <w:spacing w:val="-2"/>
          <w:sz w:val="24"/>
          <w:szCs w:val="24"/>
          <w:rtl/>
        </w:rPr>
        <w:t>הנילון</w:t>
      </w:r>
      <w:proofErr w:type="spellEnd"/>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 xml:space="preserve">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w:t>
      </w:r>
      <w:r w:rsidR="00C16306">
        <w:rPr>
          <w:rFonts w:hint="cs"/>
          <w:color w:val="auto"/>
          <w:spacing w:val="-2"/>
          <w:sz w:val="24"/>
          <w:szCs w:val="24"/>
          <w:rtl/>
        </w:rPr>
        <w:lastRenderedPageBreak/>
        <w:t xml:space="preserve">למשל סעיף 17 שמאפשר לנציב להפסיק את הבירור בהתקיים עילות שונות, המילים "לפי סעיף 15" אינן מדויקות ועל כן יש </w:t>
      </w:r>
      <w:proofErr w:type="spellStart"/>
      <w:r w:rsidR="00C16306">
        <w:rPr>
          <w:rFonts w:hint="cs"/>
          <w:color w:val="auto"/>
          <w:spacing w:val="-2"/>
          <w:sz w:val="24"/>
          <w:szCs w:val="24"/>
          <w:rtl/>
        </w:rPr>
        <w:t>למוחקן</w:t>
      </w:r>
      <w:proofErr w:type="spellEnd"/>
      <w:r w:rsidR="00C16306">
        <w:rPr>
          <w:rFonts w:hint="cs"/>
          <w:color w:val="auto"/>
          <w:spacing w:val="-2"/>
          <w:sz w:val="24"/>
          <w:szCs w:val="24"/>
          <w:rtl/>
        </w:rPr>
        <w:t>.</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w:t>
      </w:r>
      <w:r w:rsidR="0062783A" w:rsidRPr="00683720">
        <w:rPr>
          <w:rFonts w:ascii="David" w:hAnsi="David" w:hint="cs"/>
          <w:color w:val="auto"/>
          <w:sz w:val="24"/>
          <w:szCs w:val="24"/>
          <w:rtl/>
        </w:rPr>
        <w:lastRenderedPageBreak/>
        <w:t>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CF7617"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 xml:space="preserve">כדי למנוע חששות אלה, 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w:t>
      </w:r>
      <w:r w:rsidR="00BC223E" w:rsidRPr="00683720">
        <w:rPr>
          <w:rFonts w:ascii="David" w:hAnsi="David" w:hint="cs"/>
          <w:color w:val="auto"/>
          <w:sz w:val="24"/>
          <w:szCs w:val="24"/>
          <w:rtl/>
        </w:rPr>
        <w:lastRenderedPageBreak/>
        <w:t xml:space="preserve">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xml:space="preserve">) היועץ המשפטי לממשלה </w:t>
      </w:r>
      <w:proofErr w:type="spellStart"/>
      <w:r w:rsidRPr="008E33ED">
        <w:rPr>
          <w:rFonts w:ascii="David" w:hAnsi="David" w:hint="cs"/>
          <w:b/>
          <w:bCs/>
          <w:color w:val="auto"/>
          <w:sz w:val="24"/>
          <w:szCs w:val="24"/>
          <w:rtl/>
        </w:rPr>
        <w:t>כנילון</w:t>
      </w:r>
      <w:proofErr w:type="spellEnd"/>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 xml:space="preserve">גם כאן מתעוררת השאלה, מה יקרה במצב שבו היועץ עצמו הוא </w:t>
      </w:r>
      <w:proofErr w:type="spellStart"/>
      <w:r w:rsidRPr="008E33ED">
        <w:rPr>
          <w:rFonts w:ascii="David" w:hAnsi="David" w:hint="cs"/>
          <w:color w:val="auto"/>
          <w:sz w:val="24"/>
          <w:szCs w:val="24"/>
          <w:rtl/>
        </w:rPr>
        <w:t>הנילון</w:t>
      </w:r>
      <w:proofErr w:type="spellEnd"/>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xml:space="preserve">,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w:t>
      </w:r>
      <w:proofErr w:type="spellStart"/>
      <w:r w:rsidRPr="00BF4F83">
        <w:rPr>
          <w:rFonts w:ascii="David" w:hAnsi="David" w:hint="cs"/>
          <w:color w:val="auto"/>
          <w:sz w:val="24"/>
          <w:szCs w:val="24"/>
          <w:rtl/>
        </w:rPr>
        <w:t>השניה</w:t>
      </w:r>
      <w:proofErr w:type="spellEnd"/>
      <w:r w:rsidRPr="00BF4F83">
        <w:rPr>
          <w:rFonts w:ascii="David" w:hAnsi="David" w:hint="cs"/>
          <w:color w:val="auto"/>
          <w:sz w:val="24"/>
          <w:szCs w:val="24"/>
          <w:rtl/>
        </w:rPr>
        <w:t xml:space="preserve">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lastRenderedPageBreak/>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proofErr w:type="spellStart"/>
      <w:r w:rsidR="00AD761D" w:rsidRPr="00BF4F83">
        <w:rPr>
          <w:rFonts w:ascii="David" w:hAnsi="David" w:cs="David"/>
          <w:sz w:val="24"/>
          <w:rtl/>
        </w:rPr>
        <w:t>שטרסברג</w:t>
      </w:r>
      <w:proofErr w:type="spellEnd"/>
      <w:r w:rsidR="00AD761D" w:rsidRPr="00BF4F83">
        <w:rPr>
          <w:rFonts w:ascii="David" w:hAnsi="David" w:cs="David"/>
          <w:sz w:val="24"/>
          <w:rtl/>
        </w:rPr>
        <w:t xml:space="preserve">-כהן,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w:t>
      </w:r>
      <w:proofErr w:type="spellStart"/>
      <w:r w:rsidR="00F75C85" w:rsidRPr="00BF4F83">
        <w:rPr>
          <w:rFonts w:ascii="David" w:hAnsi="David" w:cs="David" w:hint="cs"/>
          <w:sz w:val="24"/>
          <w:rtl/>
        </w:rPr>
        <w:t>ככזו</w:t>
      </w:r>
      <w:proofErr w:type="spellEnd"/>
      <w:r w:rsidR="00F75C85" w:rsidRPr="00BF4F83">
        <w:rPr>
          <w:rFonts w:ascii="David" w:hAnsi="David" w:cs="David" w:hint="cs"/>
          <w:sz w:val="24"/>
          <w:rtl/>
        </w:rPr>
        <w:t xml:space="preserve">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proofErr w:type="spellStart"/>
      <w:r w:rsidR="00AD761D" w:rsidRPr="00BF4F83">
        <w:rPr>
          <w:rFonts w:ascii="David" w:hAnsi="David" w:cs="David"/>
          <w:sz w:val="24"/>
          <w:rtl/>
        </w:rPr>
        <w:t>היתה</w:t>
      </w:r>
      <w:proofErr w:type="spellEnd"/>
      <w:r w:rsidR="00AD761D" w:rsidRPr="00BF4F83">
        <w:rPr>
          <w:rFonts w:ascii="David" w:hAnsi="David" w:cs="David"/>
          <w:sz w:val="24"/>
          <w:rtl/>
        </w:rPr>
        <w:t xml:space="preserve">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B04A89">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שני הסייגים הנוספים (הדרישה לקיומו של "עניין ציבורי"; ומתן זכות טיעון לפני הפרסום)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lastRenderedPageBreak/>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lastRenderedPageBreak/>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 xml:space="preserve">סחם של הסעיפים המקבילים אצל </w:t>
      </w:r>
      <w:proofErr w:type="spellStart"/>
      <w:r w:rsidR="00A41B1A" w:rsidRPr="00EE383D">
        <w:rPr>
          <w:rFonts w:hint="cs"/>
          <w:color w:val="auto"/>
          <w:sz w:val="24"/>
          <w:szCs w:val="24"/>
          <w:rtl/>
        </w:rPr>
        <w:t>מבררי</w:t>
      </w:r>
      <w:proofErr w:type="spellEnd"/>
      <w:r w:rsidR="00A41B1A" w:rsidRPr="00EE383D">
        <w:rPr>
          <w:rFonts w:hint="cs"/>
          <w:color w:val="auto"/>
          <w:sz w:val="24"/>
          <w:szCs w:val="24"/>
          <w:rtl/>
        </w:rPr>
        <w:t xml:space="preserve">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בכך שניתנת הודעה על כך שהחומר הוא "עניין" לביטחון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ואילו אצל נציב תלונות הציבור על מייצגי המדינה בערכאות נדרש שהמידע "עלול לפגוע" בביטחון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דהיינו: הרף הנדרש לצורך אי הכללה ואי גילוי של החומר לגבי הנציב הוא גבוה יותר מזה שאצל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lastRenderedPageBreak/>
        <w:t xml:space="preserve">(2) סייגים למסירת מידע שאינם קיימים אצל </w:t>
      </w:r>
      <w:proofErr w:type="spellStart"/>
      <w:r w:rsidRPr="007F0EE0">
        <w:rPr>
          <w:rFonts w:hint="cs"/>
          <w:b/>
          <w:bCs/>
          <w:color w:val="auto"/>
          <w:sz w:val="24"/>
          <w:szCs w:val="24"/>
          <w:rtl/>
        </w:rPr>
        <w:t>מבררי</w:t>
      </w:r>
      <w:proofErr w:type="spellEnd"/>
      <w:r w:rsidRPr="007F0EE0">
        <w:rPr>
          <w:rFonts w:hint="cs"/>
          <w:b/>
          <w:bCs/>
          <w:color w:val="auto"/>
          <w:sz w:val="24"/>
          <w:szCs w:val="24"/>
          <w:rtl/>
        </w:rPr>
        <w:t xml:space="preserve">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w:t>
      </w:r>
      <w:proofErr w:type="spellStart"/>
      <w:r>
        <w:rPr>
          <w:rFonts w:hint="cs"/>
          <w:color w:val="auto"/>
          <w:sz w:val="24"/>
          <w:szCs w:val="24"/>
          <w:rtl/>
        </w:rPr>
        <w:t>ס"ק</w:t>
      </w:r>
      <w:proofErr w:type="spellEnd"/>
      <w:r>
        <w:rPr>
          <w:rFonts w:hint="cs"/>
          <w:color w:val="auto"/>
          <w:sz w:val="24"/>
          <w:szCs w:val="24"/>
          <w:rtl/>
        </w:rPr>
        <w:t xml:space="preserve"> (א)(3)), פרסום או גילוי שאסור על פי דין (</w:t>
      </w:r>
      <w:proofErr w:type="spellStart"/>
      <w:r>
        <w:rPr>
          <w:rFonts w:hint="cs"/>
          <w:color w:val="auto"/>
          <w:sz w:val="24"/>
          <w:szCs w:val="24"/>
          <w:rtl/>
        </w:rPr>
        <w:t>ס"ק</w:t>
      </w:r>
      <w:proofErr w:type="spellEnd"/>
      <w:r>
        <w:rPr>
          <w:rFonts w:hint="cs"/>
          <w:color w:val="auto"/>
          <w:sz w:val="24"/>
          <w:szCs w:val="24"/>
          <w:rtl/>
        </w:rPr>
        <w:t xml:space="preserve"> (א)(4)), מידע בדבר דיונים פנימיים וכו' (</w:t>
      </w:r>
      <w:proofErr w:type="spellStart"/>
      <w:r>
        <w:rPr>
          <w:rFonts w:hint="cs"/>
          <w:color w:val="auto"/>
          <w:sz w:val="24"/>
          <w:szCs w:val="24"/>
          <w:rtl/>
        </w:rPr>
        <w:t>ס"ק</w:t>
      </w:r>
      <w:proofErr w:type="spellEnd"/>
      <w:r>
        <w:rPr>
          <w:rFonts w:hint="cs"/>
          <w:color w:val="auto"/>
          <w:sz w:val="24"/>
          <w:szCs w:val="24"/>
          <w:rtl/>
        </w:rPr>
        <w:t xml:space="preserve"> (א)(5)) ומידע שעלול לפגוע שלא כדין בפרטיות (</w:t>
      </w:r>
      <w:proofErr w:type="spellStart"/>
      <w:r>
        <w:rPr>
          <w:rFonts w:hint="cs"/>
          <w:color w:val="auto"/>
          <w:sz w:val="24"/>
          <w:szCs w:val="24"/>
          <w:rtl/>
        </w:rPr>
        <w:t>ס"ק</w:t>
      </w:r>
      <w:proofErr w:type="spellEnd"/>
      <w:r>
        <w:rPr>
          <w:rFonts w:hint="cs"/>
          <w:color w:val="auto"/>
          <w:sz w:val="24"/>
          <w:szCs w:val="24"/>
          <w:rtl/>
        </w:rPr>
        <w:t xml:space="preserve">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w:t>
      </w:r>
      <w:proofErr w:type="spellStart"/>
      <w:r w:rsidR="003F7DB0" w:rsidRPr="000E75C4">
        <w:rPr>
          <w:rFonts w:hint="cs"/>
          <w:color w:val="auto"/>
          <w:sz w:val="24"/>
          <w:szCs w:val="24"/>
          <w:rtl/>
        </w:rPr>
        <w:t>מבררי</w:t>
      </w:r>
      <w:proofErr w:type="spellEnd"/>
      <w:r w:rsidR="003F7DB0" w:rsidRPr="000E75C4">
        <w:rPr>
          <w:rFonts w:hint="cs"/>
          <w:color w:val="auto"/>
          <w:sz w:val="24"/>
          <w:szCs w:val="24"/>
          <w:rtl/>
        </w:rPr>
        <w:t xml:space="preserve">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w:t>
      </w:r>
      <w:proofErr w:type="spellStart"/>
      <w:r w:rsidR="00B3363E" w:rsidRPr="000E75C4">
        <w:rPr>
          <w:rFonts w:hint="cs"/>
          <w:color w:val="auto"/>
          <w:sz w:val="24"/>
          <w:szCs w:val="24"/>
          <w:rtl/>
        </w:rPr>
        <w:t>וכו</w:t>
      </w:r>
      <w:proofErr w:type="spellEnd"/>
      <w:r w:rsidR="00B3363E" w:rsidRPr="000E75C4">
        <w:rPr>
          <w:rFonts w:hint="cs"/>
          <w:color w:val="auto"/>
          <w:sz w:val="24"/>
          <w:szCs w:val="24"/>
          <w:rtl/>
        </w:rPr>
        <w:t xml:space="preserve">'.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העובדה שלפי חוק חופש המידע מדובר במידע שרשות ציבורית אינה חייבת למסור, אינה הצדקה לאסור על הנציב מלפרסם 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 xml:space="preserve">לכל היותר, היא יכולה לשמש </w:t>
      </w:r>
      <w:proofErr w:type="spellStart"/>
      <w:r w:rsidR="0010464C" w:rsidRPr="000E75C4">
        <w:rPr>
          <w:rFonts w:hint="cs"/>
          <w:color w:val="auto"/>
          <w:sz w:val="24"/>
          <w:szCs w:val="24"/>
          <w:u w:val="single"/>
          <w:rtl/>
        </w:rPr>
        <w:t>כהנחייה</w:t>
      </w:r>
      <w:proofErr w:type="spellEnd"/>
      <w:r w:rsidR="0010464C" w:rsidRPr="000E75C4">
        <w:rPr>
          <w:rFonts w:hint="cs"/>
          <w:color w:val="auto"/>
          <w:sz w:val="24"/>
          <w:szCs w:val="24"/>
          <w:u w:val="single"/>
          <w:rtl/>
        </w:rPr>
        <w:t xml:space="preserve">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t xml:space="preserve">יתירה מזאת, ההצדקה להיתר של סעיף 9(ב)(4) לחוק חופש המידע, שלא למסור מידע בדבר דיונים פנימיים </w:t>
      </w:r>
      <w:proofErr w:type="spellStart"/>
      <w:r w:rsidR="005664FF" w:rsidRPr="000E75C4">
        <w:rPr>
          <w:rFonts w:hint="cs"/>
          <w:color w:val="auto"/>
          <w:sz w:val="24"/>
          <w:szCs w:val="24"/>
          <w:rtl/>
        </w:rPr>
        <w:t>וכו</w:t>
      </w:r>
      <w:proofErr w:type="spellEnd"/>
      <w:r w:rsidR="005664FF" w:rsidRPr="000E75C4">
        <w:rPr>
          <w:rFonts w:hint="cs"/>
          <w:color w:val="auto"/>
          <w:sz w:val="24"/>
          <w:szCs w:val="24"/>
          <w:rtl/>
        </w:rPr>
        <w:t xml:space="preserve">',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lastRenderedPageBreak/>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lastRenderedPageBreak/>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proofErr w:type="spellStart"/>
      <w:r w:rsidRPr="001515CF">
        <w:rPr>
          <w:rFonts w:hint="eastAsia"/>
          <w:color w:val="auto"/>
          <w:sz w:val="24"/>
          <w:szCs w:val="24"/>
          <w:rtl/>
        </w:rPr>
        <w:t>בסעדים</w:t>
      </w:r>
      <w:proofErr w:type="spellEnd"/>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lastRenderedPageBreak/>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proofErr w:type="spellStart"/>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proofErr w:type="spellEnd"/>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proofErr w:type="spellStart"/>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proofErr w:type="spellEnd"/>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 xml:space="preserve">שאי למנות מבקר פנימי באותו משרד רשאי למנות מבקר פנימי לגוף או ליחידה באותו משרד שאינם כפופים למנהל </w:t>
            </w:r>
            <w:r w:rsidRPr="000A0275">
              <w:rPr>
                <w:rStyle w:val="default"/>
                <w:rFonts w:cs="Narkisim" w:hint="cs"/>
                <w:sz w:val="24"/>
                <w:szCs w:val="24"/>
                <w:rtl/>
              </w:rPr>
              <w:lastRenderedPageBreak/>
              <w:t>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lastRenderedPageBreak/>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w:t>
      </w:r>
      <w:r w:rsidRPr="00951072">
        <w:rPr>
          <w:rFonts w:ascii="Arial" w:eastAsia="Arial Unicode MS" w:hAnsi="Arial" w:cs="David" w:hint="cs"/>
          <w:snapToGrid w:val="0"/>
          <w:sz w:val="24"/>
          <w:rtl/>
          <w:lang w:eastAsia="ja-JP"/>
        </w:rPr>
        <w:lastRenderedPageBreak/>
        <w:t xml:space="preserve">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proofErr w:type="spellStart"/>
      <w:r w:rsidR="00951072" w:rsidRPr="00951072">
        <w:rPr>
          <w:rFonts w:ascii="Arial" w:eastAsia="Arial Unicode MS" w:hAnsi="Arial" w:cs="David" w:hint="cs"/>
          <w:snapToGrid w:val="0"/>
          <w:sz w:val="24"/>
          <w:rtl/>
          <w:lang w:eastAsia="ja-JP"/>
        </w:rPr>
        <w:t>הרציונאל</w:t>
      </w:r>
      <w:proofErr w:type="spellEnd"/>
      <w:r w:rsidR="00951072" w:rsidRPr="00951072">
        <w:rPr>
          <w:rFonts w:ascii="Arial" w:eastAsia="Arial Unicode MS" w:hAnsi="Arial" w:cs="David" w:hint="cs"/>
          <w:snapToGrid w:val="0"/>
          <w:sz w:val="24"/>
          <w:rtl/>
          <w:lang w:eastAsia="ja-JP"/>
        </w:rPr>
        <w:t xml:space="preserve">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xml:space="preserve">: בחודש דצמבר 2006, הגישה "הוועדה הציבורית לבחינת חוק הביקורת הפנימית, התשנ"ב-1992", בראשות השופט בדימוס </w:t>
      </w:r>
      <w:proofErr w:type="spellStart"/>
      <w:r w:rsidRPr="00A827AE">
        <w:rPr>
          <w:rFonts w:ascii="Arial" w:eastAsia="Arial Unicode MS" w:hAnsi="Arial" w:cs="David" w:hint="cs"/>
          <w:snapToGrid w:val="0"/>
          <w:sz w:val="24"/>
          <w:rtl/>
          <w:lang w:eastAsia="ja-JP"/>
        </w:rPr>
        <w:t>ורדימוס</w:t>
      </w:r>
      <w:proofErr w:type="spellEnd"/>
      <w:r w:rsidRPr="00A827AE">
        <w:rPr>
          <w:rFonts w:ascii="Arial" w:eastAsia="Arial Unicode MS" w:hAnsi="Arial" w:cs="David" w:hint="cs"/>
          <w:snapToGrid w:val="0"/>
          <w:sz w:val="24"/>
          <w:rtl/>
          <w:lang w:eastAsia="ja-JP"/>
        </w:rPr>
        <w:t xml:space="preserve"> </w:t>
      </w:r>
      <w:proofErr w:type="spellStart"/>
      <w:r w:rsidRPr="00A827AE">
        <w:rPr>
          <w:rFonts w:ascii="Arial" w:eastAsia="Arial Unicode MS" w:hAnsi="Arial" w:cs="David" w:hint="cs"/>
          <w:snapToGrid w:val="0"/>
          <w:sz w:val="24"/>
          <w:rtl/>
          <w:lang w:eastAsia="ja-JP"/>
        </w:rPr>
        <w:t>זיילר</w:t>
      </w:r>
      <w:proofErr w:type="spellEnd"/>
      <w:r w:rsidRPr="00A827AE">
        <w:rPr>
          <w:rFonts w:ascii="Arial" w:eastAsia="Arial Unicode MS" w:hAnsi="Arial" w:cs="David" w:hint="cs"/>
          <w:snapToGrid w:val="0"/>
          <w:sz w:val="24"/>
          <w:rtl/>
          <w:lang w:eastAsia="ja-JP"/>
        </w:rPr>
        <w:t>, את מסקנותיה לשרת המשפטים דאז</w:t>
      </w:r>
      <w:r w:rsidR="00646F7A" w:rsidRPr="00A827AE">
        <w:rPr>
          <w:rFonts w:ascii="Arial" w:eastAsia="Arial Unicode MS" w:hAnsi="Arial" w:cs="David" w:hint="cs"/>
          <w:snapToGrid w:val="0"/>
          <w:sz w:val="24"/>
          <w:rtl/>
          <w:lang w:eastAsia="ja-JP"/>
        </w:rPr>
        <w:t xml:space="preserve">, חה"כ ציפי </w:t>
      </w:r>
      <w:proofErr w:type="spellStart"/>
      <w:r w:rsidR="00646F7A" w:rsidRPr="00A827AE">
        <w:rPr>
          <w:rFonts w:ascii="Arial" w:eastAsia="Arial Unicode MS" w:hAnsi="Arial" w:cs="David" w:hint="cs"/>
          <w:snapToGrid w:val="0"/>
          <w:sz w:val="24"/>
          <w:rtl/>
          <w:lang w:eastAsia="ja-JP"/>
        </w:rPr>
        <w:t>ליבני</w:t>
      </w:r>
      <w:proofErr w:type="spellEnd"/>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lastRenderedPageBreak/>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w:t>
      </w:r>
      <w:proofErr w:type="spellStart"/>
      <w:r w:rsidR="00C066DA" w:rsidRPr="00BA4840">
        <w:rPr>
          <w:rFonts w:hint="cs"/>
          <w:color w:val="auto"/>
          <w:sz w:val="24"/>
          <w:szCs w:val="24"/>
          <w:rtl/>
        </w:rPr>
        <w:t>הטייה</w:t>
      </w:r>
      <w:proofErr w:type="spellEnd"/>
      <w:r w:rsidR="00C066DA" w:rsidRPr="00BA4840">
        <w:rPr>
          <w:rFonts w:hint="cs"/>
          <w:color w:val="auto"/>
          <w:sz w:val="24"/>
          <w:szCs w:val="24"/>
          <w:rtl/>
        </w:rPr>
        <w:t xml:space="preserve">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lastRenderedPageBreak/>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proofErr w:type="spellStart"/>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proofErr w:type="spellEnd"/>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proofErr w:type="spellStart"/>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proofErr w:type="spellEnd"/>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lastRenderedPageBreak/>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proofErr w:type="spellStart"/>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proofErr w:type="spellEnd"/>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lastRenderedPageBreak/>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w:t>
      </w:r>
      <w:proofErr w:type="spellStart"/>
      <w:r w:rsidR="00A646CB" w:rsidRPr="000F706D">
        <w:rPr>
          <w:rFonts w:hint="cs"/>
          <w:color w:val="auto"/>
          <w:sz w:val="24"/>
          <w:szCs w:val="24"/>
          <w:rtl/>
        </w:rPr>
        <w:t>שהיתה</w:t>
      </w:r>
      <w:proofErr w:type="spellEnd"/>
      <w:r w:rsidR="00A646CB" w:rsidRPr="000F706D">
        <w:rPr>
          <w:rFonts w:hint="cs"/>
          <w:color w:val="auto"/>
          <w:sz w:val="24"/>
          <w:szCs w:val="24"/>
          <w:rtl/>
        </w:rPr>
        <w:t xml:space="preserve">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proofErr w:type="spellStart"/>
      <w:r w:rsidR="00A646CB" w:rsidRPr="000F706D">
        <w:rPr>
          <w:rFonts w:hint="cs"/>
          <w:color w:val="auto"/>
          <w:sz w:val="24"/>
          <w:szCs w:val="24"/>
          <w:rtl/>
        </w:rPr>
        <w:t>היתה</w:t>
      </w:r>
      <w:proofErr w:type="spellEnd"/>
      <w:r w:rsidR="00A646CB" w:rsidRPr="000F706D">
        <w:rPr>
          <w:rFonts w:hint="cs"/>
          <w:color w:val="auto"/>
          <w:sz w:val="24"/>
          <w:szCs w:val="24"/>
          <w:rtl/>
        </w:rPr>
        <w:t xml:space="preserve">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w:t>
      </w:r>
      <w:r w:rsidRPr="0084698F">
        <w:rPr>
          <w:rFonts w:hint="cs"/>
          <w:color w:val="auto"/>
          <w:sz w:val="24"/>
          <w:szCs w:val="24"/>
          <w:rtl/>
        </w:rPr>
        <w:lastRenderedPageBreak/>
        <w:t xml:space="preserve">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 xml:space="preserve">החלטה של </w:t>
      </w:r>
      <w:proofErr w:type="spellStart"/>
      <w:r w:rsidR="008A2F2E" w:rsidRPr="00C959E6">
        <w:rPr>
          <w:rFonts w:hint="cs"/>
          <w:b/>
          <w:bCs/>
          <w:color w:val="auto"/>
          <w:sz w:val="24"/>
          <w:szCs w:val="24"/>
          <w:rtl/>
        </w:rPr>
        <w:t>היועהמ"ש</w:t>
      </w:r>
      <w:proofErr w:type="spellEnd"/>
      <w:r w:rsidR="008A2F2E" w:rsidRPr="00C959E6">
        <w:rPr>
          <w:rFonts w:hint="cs"/>
          <w:b/>
          <w:bCs/>
          <w:color w:val="auto"/>
          <w:sz w:val="24"/>
          <w:szCs w:val="24"/>
          <w:rtl/>
        </w:rPr>
        <w:t xml:space="preserve">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lastRenderedPageBreak/>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w:t>
      </w:r>
      <w:proofErr w:type="spellStart"/>
      <w:r w:rsidR="00B75534" w:rsidRPr="00B75534">
        <w:rPr>
          <w:rFonts w:hint="cs"/>
          <w:color w:val="auto"/>
          <w:sz w:val="24"/>
          <w:szCs w:val="24"/>
          <w:rtl/>
        </w:rPr>
        <w:t>למינהל</w:t>
      </w:r>
      <w:proofErr w:type="spellEnd"/>
      <w:r w:rsidR="00B75534" w:rsidRPr="00B75534">
        <w:rPr>
          <w:rFonts w:hint="cs"/>
          <w:color w:val="auto"/>
          <w:sz w:val="24"/>
          <w:szCs w:val="24"/>
          <w:rtl/>
        </w:rPr>
        <w:t xml:space="preserve">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D52" w:rsidRDefault="00310D52" w:rsidP="00631B65">
      <w:pPr>
        <w:spacing w:line="240" w:lineRule="auto"/>
      </w:pPr>
      <w:r>
        <w:separator/>
      </w:r>
    </w:p>
  </w:endnote>
  <w:endnote w:type="continuationSeparator" w:id="0">
    <w:p w:rsidR="00310D52" w:rsidRDefault="00310D52"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310D52" w:rsidRDefault="00310D52">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C21468" w:rsidRPr="00C21468">
          <w:rPr>
            <w:noProof/>
            <w:sz w:val="16"/>
            <w:szCs w:val="16"/>
            <w:rtl/>
            <w:lang w:val="he-IL"/>
          </w:rPr>
          <w:t>22</w:t>
        </w:r>
        <w:r w:rsidRPr="00F358DF">
          <w:rPr>
            <w:sz w:val="16"/>
            <w:szCs w:val="16"/>
          </w:rPr>
          <w:fldChar w:fldCharType="end"/>
        </w:r>
      </w:p>
    </w:sdtContent>
  </w:sdt>
  <w:p w:rsidR="00310D52" w:rsidRDefault="00310D5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D52" w:rsidRDefault="00310D52" w:rsidP="00631B65">
      <w:pPr>
        <w:spacing w:line="240" w:lineRule="auto"/>
      </w:pPr>
      <w:r>
        <w:separator/>
      </w:r>
    </w:p>
  </w:footnote>
  <w:footnote w:type="continuationSeparator" w:id="0">
    <w:p w:rsidR="00310D52" w:rsidRDefault="00310D52" w:rsidP="00631B65">
      <w:pPr>
        <w:spacing w:line="240" w:lineRule="auto"/>
      </w:pPr>
      <w:r>
        <w:continuationSeparator/>
      </w:r>
    </w:p>
  </w:footnote>
  <w:footnote w:id="1">
    <w:p w:rsidR="00310D52" w:rsidRPr="002C1278" w:rsidRDefault="00310D52"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310D52" w:rsidRPr="006601D1" w:rsidRDefault="00310D52"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310D52" w:rsidRDefault="00310D52"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310D52" w:rsidRPr="00AF52AC" w:rsidRDefault="00310D52"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310D52" w:rsidRPr="00202415" w:rsidRDefault="00310D52"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310D52" w:rsidRPr="00DA606D" w:rsidRDefault="00310D52"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310D52" w:rsidRPr="00A47AAF" w:rsidRDefault="00310D52"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w:t>
      </w:r>
      <w:proofErr w:type="spellStart"/>
      <w:r w:rsidRPr="00A47AAF">
        <w:rPr>
          <w:rFonts w:ascii="David" w:hAnsi="David" w:cs="David" w:hint="cs"/>
          <w:sz w:val="20"/>
          <w:szCs w:val="20"/>
          <w:rtl/>
        </w:rPr>
        <w:t>השניה</w:t>
      </w:r>
      <w:proofErr w:type="spellEnd"/>
      <w:r w:rsidRPr="00A47AAF">
        <w:rPr>
          <w:rFonts w:ascii="David" w:hAnsi="David" w:cs="David" w:hint="cs"/>
          <w:sz w:val="20"/>
          <w:szCs w:val="20"/>
          <w:rtl/>
        </w:rPr>
        <w:t xml:space="preserve">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310D52" w:rsidRDefault="00310D52">
      <w:pPr>
        <w:pStyle w:val="a3"/>
        <w:rPr>
          <w:rtl/>
        </w:rPr>
      </w:pPr>
      <w:r>
        <w:rPr>
          <w:rFonts w:hint="cs"/>
          <w:rtl/>
        </w:rPr>
        <w:t xml:space="preserve"> </w:t>
      </w:r>
    </w:p>
  </w:footnote>
  <w:footnote w:id="8">
    <w:p w:rsidR="00310D52" w:rsidRPr="004D6716" w:rsidRDefault="00310D52"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 xml:space="preserve">למשל: הסמכות של היועץ להכריע הם מעשה מסוים הוא בגדר שיקול דעת משפטי (סעיף 15(א)(6) המוצע), או הסמכות של היועץ להצדיק את טענתו של </w:t>
      </w:r>
      <w:proofErr w:type="spellStart"/>
      <w:r w:rsidRPr="004D6716">
        <w:rPr>
          <w:rFonts w:ascii="David" w:eastAsia="Arial Unicode MS" w:hAnsi="David" w:cs="David" w:hint="cs"/>
          <w:snapToGrid w:val="0"/>
          <w:rtl/>
          <w:lang w:eastAsia="ja-JP"/>
        </w:rPr>
        <w:t>נילון</w:t>
      </w:r>
      <w:proofErr w:type="spellEnd"/>
      <w:r w:rsidRPr="004D6716">
        <w:rPr>
          <w:rFonts w:ascii="David" w:eastAsia="Arial Unicode MS" w:hAnsi="David" w:cs="David" w:hint="cs"/>
          <w:snapToGrid w:val="0"/>
          <w:rtl/>
          <w:lang w:eastAsia="ja-JP"/>
        </w:rPr>
        <w:t xml:space="preserve"> כי יכולתו להתגונן נפגעת באופן משמעותי בשל כך שמידע שנדרש לצורך הגנתו הוא מידע שגילויו אסור לפי דין (סעיף 17(ג) המוצע).</w:t>
      </w:r>
    </w:p>
  </w:footnote>
  <w:footnote w:id="9">
    <w:p w:rsidR="00310D52" w:rsidRDefault="00310D52"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230A"/>
    <w:rsid w:val="000826E8"/>
    <w:rsid w:val="000832CF"/>
    <w:rsid w:val="00083322"/>
    <w:rsid w:val="00085D7F"/>
    <w:rsid w:val="000873D5"/>
    <w:rsid w:val="00090DB0"/>
    <w:rsid w:val="00091498"/>
    <w:rsid w:val="00092DBC"/>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E9"/>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A89"/>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0D52"/>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5DC2"/>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192C"/>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7DB"/>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2CB"/>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AE5"/>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647B"/>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468"/>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969"/>
    <w:rsid w:val="00C40D2D"/>
    <w:rsid w:val="00C41961"/>
    <w:rsid w:val="00C42B71"/>
    <w:rsid w:val="00C43125"/>
    <w:rsid w:val="00C442E9"/>
    <w:rsid w:val="00C445C6"/>
    <w:rsid w:val="00C4468A"/>
    <w:rsid w:val="00C505DB"/>
    <w:rsid w:val="00C5082F"/>
    <w:rsid w:val="00C52723"/>
    <w:rsid w:val="00C52EC0"/>
    <w:rsid w:val="00C53256"/>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12"/>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17F7"/>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542"/>
    <w:rsid w:val="00F20276"/>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891992-4E68-4C7F-8548-F5FA41057D9B}"/>
</file>

<file path=customXml/itemProps2.xml><?xml version="1.0" encoding="utf-8"?>
<ds:datastoreItem xmlns:ds="http://schemas.openxmlformats.org/officeDocument/2006/customXml" ds:itemID="{2D50DFC1-3B92-4F8A-A02F-7A983A46FBFD}"/>
</file>

<file path=customXml/itemProps3.xml><?xml version="1.0" encoding="utf-8"?>
<ds:datastoreItem xmlns:ds="http://schemas.openxmlformats.org/officeDocument/2006/customXml" ds:itemID="{AE1C2F5F-1DDE-42CE-BFE1-9C6B1ADBC0DF}"/>
</file>

<file path=customXml/itemProps4.xml><?xml version="1.0" encoding="utf-8"?>
<ds:datastoreItem xmlns:ds="http://schemas.openxmlformats.org/officeDocument/2006/customXml" ds:itemID="{B329129C-2045-4C3F-8314-E040C60BEB3D}"/>
</file>

<file path=docProps/app.xml><?xml version="1.0" encoding="utf-8"?>
<Properties xmlns="http://schemas.openxmlformats.org/officeDocument/2006/extended-properties" xmlns:vt="http://schemas.openxmlformats.org/officeDocument/2006/docPropsVTypes">
  <Template>Normal</Template>
  <TotalTime>322</TotalTime>
  <Pages>41</Pages>
  <Words>17271</Words>
  <Characters>86358</Characters>
  <Application>Microsoft Office Word</Application>
  <DocSecurity>0</DocSecurity>
  <Lines>719</Lines>
  <Paragraphs>206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103423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52</cp:revision>
  <dcterms:created xsi:type="dcterms:W3CDTF">2016-06-07T09:54:00Z</dcterms:created>
  <dcterms:modified xsi:type="dcterms:W3CDTF">2016-07-19T06:02:00Z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2005703</vt:r8>
  </property>
</Properties>
</file>