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AD3" w:rsidRPr="008B41FD" w:rsidRDefault="004B4EFB" w:rsidP="00664AD3">
      <w:pPr>
        <w:spacing w:after="0" w:line="240" w:lineRule="auto"/>
        <w:ind w:left="5760" w:firstLine="720"/>
        <w:rPr>
          <w:rFonts w:cs="David"/>
          <w:sz w:val="24"/>
          <w:szCs w:val="24"/>
          <w:rtl/>
        </w:rPr>
      </w:pPr>
      <w:bookmarkStart w:id="0" w:name="_GoBack"/>
      <w:bookmarkEnd w:id="0"/>
      <w:proofErr w:type="spellStart"/>
      <w:r>
        <w:rPr>
          <w:rFonts w:cs="David" w:hint="cs"/>
          <w:sz w:val="24"/>
          <w:szCs w:val="24"/>
          <w:rtl/>
        </w:rPr>
        <w:t>יב</w:t>
      </w:r>
      <w:proofErr w:type="spellEnd"/>
      <w:r>
        <w:rPr>
          <w:rFonts w:cs="David" w:hint="cs"/>
          <w:sz w:val="24"/>
          <w:szCs w:val="24"/>
          <w:rtl/>
        </w:rPr>
        <w:t>' בתמוז</w:t>
      </w:r>
      <w:r w:rsidR="00664AD3" w:rsidRPr="008B41FD">
        <w:rPr>
          <w:rFonts w:cs="David" w:hint="cs"/>
          <w:sz w:val="24"/>
          <w:szCs w:val="24"/>
          <w:rtl/>
        </w:rPr>
        <w:t xml:space="preserve"> </w:t>
      </w:r>
      <w:proofErr w:type="spellStart"/>
      <w:r w:rsidR="00664AD3" w:rsidRPr="008B41FD">
        <w:rPr>
          <w:rFonts w:cs="David" w:hint="cs"/>
          <w:sz w:val="24"/>
          <w:szCs w:val="24"/>
          <w:rtl/>
        </w:rPr>
        <w:t>ה</w:t>
      </w:r>
      <w:r w:rsidR="00664AD3" w:rsidRPr="008B41FD">
        <w:rPr>
          <w:rFonts w:cs="David"/>
          <w:sz w:val="24"/>
          <w:szCs w:val="24"/>
          <w:rtl/>
        </w:rPr>
        <w:t>תשע"</w:t>
      </w:r>
      <w:r w:rsidR="00664AD3" w:rsidRPr="008B41FD">
        <w:rPr>
          <w:rFonts w:cs="David" w:hint="cs"/>
          <w:sz w:val="24"/>
          <w:szCs w:val="24"/>
          <w:rtl/>
        </w:rPr>
        <w:t>ו</w:t>
      </w:r>
      <w:proofErr w:type="spellEnd"/>
    </w:p>
    <w:p w:rsidR="00664AD3" w:rsidRPr="008B41FD" w:rsidRDefault="00664AD3" w:rsidP="004B4EFB">
      <w:pPr>
        <w:spacing w:after="0" w:line="240" w:lineRule="auto"/>
        <w:rPr>
          <w:rFonts w:cs="David"/>
          <w:sz w:val="24"/>
          <w:szCs w:val="24"/>
          <w:rtl/>
        </w:rPr>
      </w:pP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Pr="008B41FD">
        <w:rPr>
          <w:rFonts w:cs="David" w:hint="cs"/>
          <w:sz w:val="24"/>
          <w:szCs w:val="24"/>
          <w:rtl/>
        </w:rPr>
        <w:tab/>
      </w:r>
      <w:r w:rsidR="004B4EFB">
        <w:rPr>
          <w:rFonts w:cs="David" w:hint="cs"/>
          <w:sz w:val="24"/>
          <w:szCs w:val="24"/>
          <w:rtl/>
        </w:rPr>
        <w:t>18 ביולי</w:t>
      </w:r>
      <w:r w:rsidRPr="008B41FD">
        <w:rPr>
          <w:rFonts w:cs="David" w:hint="cs"/>
          <w:sz w:val="24"/>
          <w:szCs w:val="24"/>
          <w:rtl/>
        </w:rPr>
        <w:t xml:space="preserve">       2016</w:t>
      </w:r>
    </w:p>
    <w:p w:rsidR="00664AD3" w:rsidRPr="008B41FD" w:rsidRDefault="00664AD3" w:rsidP="00664AD3">
      <w:pPr>
        <w:spacing w:after="0" w:line="240" w:lineRule="auto"/>
        <w:rPr>
          <w:rFonts w:cs="David"/>
          <w:sz w:val="24"/>
          <w:szCs w:val="24"/>
          <w:rtl/>
        </w:rPr>
      </w:pPr>
    </w:p>
    <w:p w:rsidR="00664AD3" w:rsidRPr="008B41FD" w:rsidRDefault="00664AD3" w:rsidP="00664AD3">
      <w:pPr>
        <w:spacing w:after="0" w:line="240" w:lineRule="auto"/>
        <w:rPr>
          <w:rFonts w:cs="David"/>
          <w:sz w:val="24"/>
          <w:szCs w:val="24"/>
          <w:rtl/>
        </w:rPr>
      </w:pPr>
      <w:r w:rsidRPr="008B41FD">
        <w:rPr>
          <w:rFonts w:cs="David" w:hint="cs"/>
          <w:sz w:val="24"/>
          <w:szCs w:val="24"/>
          <w:rtl/>
        </w:rPr>
        <w:t xml:space="preserve">לכבוד חברי ועדת חוקה, חוק ומשפט </w:t>
      </w:r>
    </w:p>
    <w:p w:rsidR="00664AD3" w:rsidRPr="008B41FD" w:rsidRDefault="00664AD3" w:rsidP="00664AD3">
      <w:pPr>
        <w:spacing w:after="0" w:line="240" w:lineRule="auto"/>
        <w:rPr>
          <w:rFonts w:cs="David"/>
          <w:sz w:val="24"/>
          <w:szCs w:val="24"/>
          <w:rtl/>
        </w:rPr>
      </w:pPr>
      <w:r w:rsidRPr="008B41FD">
        <w:rPr>
          <w:rFonts w:cs="David" w:hint="cs"/>
          <w:sz w:val="24"/>
          <w:szCs w:val="24"/>
          <w:rtl/>
        </w:rPr>
        <w:t>מאת: הייעוץ המשפטי לוועדה</w:t>
      </w:r>
    </w:p>
    <w:p w:rsidR="00664AD3" w:rsidRPr="008B41FD" w:rsidRDefault="00664AD3" w:rsidP="00664AD3">
      <w:pPr>
        <w:rPr>
          <w:rFonts w:cs="David"/>
          <w:sz w:val="24"/>
          <w:szCs w:val="24"/>
          <w:rtl/>
        </w:rPr>
      </w:pPr>
    </w:p>
    <w:p w:rsidR="00664AD3" w:rsidRPr="008B41FD" w:rsidRDefault="00664AD3" w:rsidP="00664AD3">
      <w:pPr>
        <w:spacing w:before="120" w:after="0" w:line="360" w:lineRule="auto"/>
        <w:jc w:val="center"/>
        <w:rPr>
          <w:rFonts w:ascii="David" w:hAnsi="David" w:cs="David"/>
          <w:b/>
          <w:bCs/>
          <w:sz w:val="26"/>
          <w:szCs w:val="26"/>
          <w:u w:val="single"/>
          <w:rtl/>
        </w:rPr>
      </w:pPr>
      <w:r w:rsidRPr="008B41FD">
        <w:rPr>
          <w:rFonts w:ascii="David" w:hAnsi="David" w:cs="David"/>
          <w:b/>
          <w:bCs/>
          <w:sz w:val="26"/>
          <w:szCs w:val="26"/>
          <w:u w:val="single"/>
          <w:rtl/>
        </w:rPr>
        <w:t xml:space="preserve">מסמך רקע לקראת דיון הוועדה ביום </w:t>
      </w:r>
      <w:r w:rsidRPr="008B41FD">
        <w:rPr>
          <w:rFonts w:ascii="David" w:hAnsi="David" w:cs="David" w:hint="cs"/>
          <w:b/>
          <w:bCs/>
          <w:sz w:val="26"/>
          <w:szCs w:val="26"/>
          <w:u w:val="single"/>
          <w:rtl/>
        </w:rPr>
        <w:t>19.7.16</w:t>
      </w:r>
      <w:r w:rsidRPr="008B41FD">
        <w:rPr>
          <w:rFonts w:ascii="David" w:hAnsi="David" w:cs="David"/>
          <w:b/>
          <w:bCs/>
          <w:sz w:val="26"/>
          <w:szCs w:val="26"/>
          <w:u w:val="single"/>
          <w:rtl/>
        </w:rPr>
        <w:t xml:space="preserve"> בהצע</w:t>
      </w:r>
      <w:r w:rsidRPr="008B41FD">
        <w:rPr>
          <w:rFonts w:ascii="David" w:hAnsi="David" w:cs="David" w:hint="cs"/>
          <w:b/>
          <w:bCs/>
          <w:sz w:val="26"/>
          <w:szCs w:val="26"/>
          <w:u w:val="single"/>
          <w:rtl/>
        </w:rPr>
        <w:t>ו</w:t>
      </w:r>
      <w:r w:rsidRPr="008B41FD">
        <w:rPr>
          <w:rFonts w:ascii="David" w:hAnsi="David" w:cs="David"/>
          <w:b/>
          <w:bCs/>
          <w:sz w:val="26"/>
          <w:szCs w:val="26"/>
          <w:u w:val="single"/>
          <w:rtl/>
        </w:rPr>
        <w:t>ת</w:t>
      </w:r>
      <w:r w:rsidRPr="008B41FD">
        <w:rPr>
          <w:rFonts w:ascii="David" w:hAnsi="David" w:cs="David" w:hint="cs"/>
          <w:b/>
          <w:bCs/>
          <w:sz w:val="26"/>
          <w:szCs w:val="26"/>
          <w:u w:val="single"/>
          <w:rtl/>
        </w:rPr>
        <w:t xml:space="preserve"> החוק בנושא עבירות ההמתה</w:t>
      </w:r>
      <w:r w:rsidRPr="008B41FD">
        <w:rPr>
          <w:rFonts w:ascii="David" w:hAnsi="David" w:cs="David"/>
          <w:b/>
          <w:bCs/>
          <w:sz w:val="26"/>
          <w:szCs w:val="26"/>
          <w:u w:val="single"/>
          <w:rtl/>
        </w:rPr>
        <w:t xml:space="preserve"> </w:t>
      </w:r>
    </w:p>
    <w:p w:rsidR="00664AD3" w:rsidRPr="008B41FD" w:rsidRDefault="00664AD3" w:rsidP="00664AD3">
      <w:pPr>
        <w:spacing w:before="120" w:after="0" w:line="360" w:lineRule="auto"/>
        <w:jc w:val="center"/>
        <w:rPr>
          <w:rFonts w:ascii="David" w:hAnsi="David" w:cs="David"/>
          <w:b/>
          <w:bCs/>
          <w:u w:val="single"/>
          <w:rtl/>
        </w:rPr>
      </w:pPr>
      <w:r w:rsidRPr="008B41FD">
        <w:rPr>
          <w:rFonts w:ascii="David" w:hAnsi="David" w:cs="David" w:hint="cs"/>
          <w:b/>
          <w:bCs/>
          <w:u w:val="single"/>
          <w:rtl/>
        </w:rPr>
        <w:t xml:space="preserve">הצעת </w:t>
      </w:r>
      <w:r w:rsidRPr="008B41FD">
        <w:rPr>
          <w:rFonts w:ascii="David" w:hAnsi="David" w:cs="David"/>
          <w:b/>
          <w:bCs/>
          <w:u w:val="single"/>
          <w:rtl/>
        </w:rPr>
        <w:t xml:space="preserve">חוק </w:t>
      </w:r>
      <w:r w:rsidRPr="008B41FD">
        <w:rPr>
          <w:rFonts w:ascii="David" w:hAnsi="David" w:cs="David" w:hint="cs"/>
          <w:b/>
          <w:bCs/>
          <w:u w:val="single"/>
          <w:rtl/>
        </w:rPr>
        <w:t>העונשין (תיקון מס' 124) (עבירות המתה)</w:t>
      </w:r>
      <w:r w:rsidRPr="008B41FD">
        <w:rPr>
          <w:rFonts w:ascii="David" w:hAnsi="David" w:cs="David"/>
          <w:b/>
          <w:bCs/>
          <w:u w:val="single"/>
          <w:rtl/>
        </w:rPr>
        <w:t>, התשע"ו-2015</w:t>
      </w:r>
    </w:p>
    <w:p w:rsidR="00664AD3" w:rsidRPr="008B41FD" w:rsidRDefault="00664AD3" w:rsidP="00664AD3">
      <w:pPr>
        <w:spacing w:before="120" w:after="0" w:line="360" w:lineRule="auto"/>
        <w:jc w:val="center"/>
        <w:rPr>
          <w:b/>
          <w:bCs/>
          <w:u w:val="single"/>
          <w:rtl/>
        </w:rPr>
      </w:pPr>
      <w:r w:rsidRPr="008B41FD">
        <w:rPr>
          <w:rFonts w:ascii="David" w:eastAsia="David" w:hAnsi="David" w:cs="David"/>
          <w:b/>
          <w:bCs/>
          <w:u w:val="single"/>
          <w:rtl/>
        </w:rPr>
        <w:t>הצעת חוק העונשין (תיקון - עבירת רצח), התשע"ה-2015 (פ/1499/20) של חה"כ ניסן</w:t>
      </w:r>
      <w:r w:rsidRPr="008B41FD">
        <w:rPr>
          <w:rFonts w:ascii="David" w:eastAsia="David" w:hAnsi="David" w:cs="David" w:hint="cs"/>
          <w:b/>
          <w:bCs/>
          <w:u w:val="single"/>
          <w:rtl/>
        </w:rPr>
        <w:t xml:space="preserve"> סלומינסקי</w:t>
      </w:r>
      <w:r w:rsidRPr="008B41FD">
        <w:rPr>
          <w:rFonts w:hint="cs"/>
          <w:b/>
          <w:bCs/>
          <w:u w:val="single"/>
          <w:rtl/>
        </w:rPr>
        <w:t xml:space="preserve"> </w:t>
      </w:r>
    </w:p>
    <w:p w:rsidR="00664AD3" w:rsidRPr="008B41FD" w:rsidRDefault="00664AD3" w:rsidP="00664AD3">
      <w:pPr>
        <w:spacing w:before="120" w:after="120" w:line="360" w:lineRule="auto"/>
        <w:jc w:val="center"/>
        <w:rPr>
          <w:b/>
          <w:bCs/>
          <w:u w:val="single"/>
        </w:rPr>
      </w:pPr>
      <w:r w:rsidRPr="008B41FD">
        <w:rPr>
          <w:rFonts w:ascii="David" w:eastAsia="David" w:hAnsi="David" w:cs="David"/>
          <w:b/>
          <w:bCs/>
          <w:u w:val="single"/>
          <w:rtl/>
        </w:rPr>
        <w:t xml:space="preserve">הצעת חוק העונשין (תיקון–עבירות המתה ורשלנות), </w:t>
      </w:r>
      <w:proofErr w:type="spellStart"/>
      <w:r w:rsidRPr="008B41FD">
        <w:rPr>
          <w:rFonts w:ascii="David" w:eastAsia="David" w:hAnsi="David" w:cs="David"/>
          <w:b/>
          <w:bCs/>
          <w:u w:val="single"/>
          <w:rtl/>
        </w:rPr>
        <w:t>התשע"ו</w:t>
      </w:r>
      <w:proofErr w:type="spellEnd"/>
      <w:r w:rsidRPr="008B41FD">
        <w:rPr>
          <w:rFonts w:ascii="David" w:eastAsia="David" w:hAnsi="David" w:cs="David"/>
          <w:b/>
          <w:bCs/>
          <w:u w:val="single"/>
          <w:rtl/>
        </w:rPr>
        <w:t>–2015 (פ/2321/20) של חה"כ מיקי רוזנטל</w:t>
      </w:r>
    </w:p>
    <w:p w:rsidR="00664AD3" w:rsidRPr="008B41FD" w:rsidRDefault="00664AD3" w:rsidP="00664AD3">
      <w:pPr>
        <w:spacing w:before="120" w:after="120" w:line="360" w:lineRule="auto"/>
        <w:jc w:val="both"/>
        <w:rPr>
          <w:spacing w:val="4"/>
          <w:rtl/>
          <w:lang w:eastAsia="he-IL"/>
        </w:rPr>
      </w:pPr>
      <w:r w:rsidRPr="008B41FD">
        <w:rPr>
          <w:rFonts w:ascii="David" w:hAnsi="David" w:cs="David"/>
          <w:sz w:val="24"/>
          <w:szCs w:val="24"/>
          <w:rtl/>
        </w:rPr>
        <w:t>הצעת חוק העונשין (תיקון מס' 124) (עבירות המתה), התשע"</w:t>
      </w:r>
      <w:r w:rsidRPr="008B41FD">
        <w:rPr>
          <w:rFonts w:ascii="David" w:hAnsi="David" w:cs="David" w:hint="cs"/>
          <w:sz w:val="24"/>
          <w:szCs w:val="24"/>
          <w:rtl/>
        </w:rPr>
        <w:t>ו</w:t>
      </w:r>
      <w:r w:rsidRPr="008B41FD">
        <w:rPr>
          <w:rFonts w:ascii="David" w:hAnsi="David" w:cs="David"/>
          <w:sz w:val="24"/>
          <w:szCs w:val="24"/>
          <w:rtl/>
        </w:rPr>
        <w:t>-2015</w:t>
      </w:r>
      <w:r w:rsidRPr="008B41FD">
        <w:rPr>
          <w:rFonts w:ascii="David" w:hAnsi="David" w:cs="David" w:hint="cs"/>
          <w:sz w:val="24"/>
          <w:szCs w:val="24"/>
          <w:rtl/>
        </w:rPr>
        <w:t>,</w:t>
      </w:r>
      <w:r w:rsidRPr="008B41FD">
        <w:rPr>
          <w:rFonts w:ascii="David" w:hAnsi="David" w:cs="David"/>
          <w:sz w:val="24"/>
          <w:szCs w:val="24"/>
          <w:rtl/>
        </w:rPr>
        <w:t xml:space="preserve"> עוסק</w:t>
      </w:r>
      <w:r w:rsidRPr="008B41FD">
        <w:rPr>
          <w:rFonts w:ascii="David" w:hAnsi="David" w:cs="David" w:hint="cs"/>
          <w:sz w:val="24"/>
          <w:szCs w:val="24"/>
          <w:rtl/>
        </w:rPr>
        <w:t>ת</w:t>
      </w:r>
      <w:r w:rsidRPr="008B41FD">
        <w:rPr>
          <w:rFonts w:ascii="David" w:hAnsi="David" w:cs="David"/>
          <w:sz w:val="24"/>
          <w:szCs w:val="24"/>
          <w:rtl/>
        </w:rPr>
        <w:t xml:space="preserve"> ביצירת מדרג חדש של עבירות ההמתה</w:t>
      </w:r>
      <w:r w:rsidRPr="008B41FD">
        <w:rPr>
          <w:rFonts w:ascii="David" w:hAnsi="David" w:cs="David" w:hint="cs"/>
          <w:sz w:val="24"/>
          <w:szCs w:val="24"/>
          <w:rtl/>
        </w:rPr>
        <w:t xml:space="preserve"> בחוק העונשין, </w:t>
      </w:r>
      <w:proofErr w:type="spellStart"/>
      <w:r w:rsidRPr="008B41FD">
        <w:rPr>
          <w:rFonts w:ascii="David" w:hAnsi="David" w:cs="David" w:hint="cs"/>
          <w:sz w:val="24"/>
          <w:szCs w:val="24"/>
          <w:rtl/>
        </w:rPr>
        <w:t>התשל"ז</w:t>
      </w:r>
      <w:proofErr w:type="spellEnd"/>
      <w:r w:rsidRPr="008B41FD">
        <w:rPr>
          <w:rFonts w:ascii="David" w:hAnsi="David" w:cs="David" w:hint="eastAsia"/>
          <w:sz w:val="24"/>
          <w:szCs w:val="24"/>
          <w:rtl/>
        </w:rPr>
        <w:t>–</w:t>
      </w:r>
      <w:r w:rsidRPr="008B41FD">
        <w:rPr>
          <w:rFonts w:ascii="David" w:hAnsi="David" w:cs="David" w:hint="cs"/>
          <w:sz w:val="24"/>
          <w:szCs w:val="24"/>
          <w:rtl/>
        </w:rPr>
        <w:t>1977</w:t>
      </w:r>
      <w:r w:rsidRPr="008B41FD">
        <w:rPr>
          <w:rFonts w:ascii="David" w:hAnsi="David" w:cs="David"/>
          <w:sz w:val="24"/>
          <w:szCs w:val="24"/>
          <w:rtl/>
        </w:rPr>
        <w:t xml:space="preserve">. </w:t>
      </w:r>
      <w:r w:rsidRPr="008B41FD">
        <w:rPr>
          <w:rFonts w:ascii="David" w:hAnsi="David" w:cs="David" w:hint="cs"/>
          <w:sz w:val="24"/>
          <w:szCs w:val="24"/>
          <w:rtl/>
        </w:rPr>
        <w:t>הצעת חוק ממשלתית זו</w:t>
      </w:r>
      <w:r w:rsidRPr="008B41FD">
        <w:rPr>
          <w:rFonts w:ascii="David" w:hAnsi="David" w:cs="David"/>
          <w:sz w:val="24"/>
          <w:szCs w:val="24"/>
          <w:rtl/>
        </w:rPr>
        <w:t xml:space="preserve"> נסמכת על דו"ח ועדה שמינה שר המשפטים, בראשותו של פרופ' מרדכי </w:t>
      </w:r>
      <w:proofErr w:type="spellStart"/>
      <w:r w:rsidRPr="008B41FD">
        <w:rPr>
          <w:rFonts w:ascii="David" w:hAnsi="David" w:cs="David"/>
          <w:sz w:val="24"/>
          <w:szCs w:val="24"/>
          <w:rtl/>
        </w:rPr>
        <w:t>קרמניצר</w:t>
      </w:r>
      <w:proofErr w:type="spellEnd"/>
      <w:r w:rsidRPr="008B41FD">
        <w:rPr>
          <w:rFonts w:ascii="David" w:hAnsi="David" w:cs="David" w:hint="cs"/>
          <w:sz w:val="24"/>
          <w:szCs w:val="24"/>
          <w:rtl/>
        </w:rPr>
        <w:t xml:space="preserve"> (להלן </w:t>
      </w:r>
      <w:r w:rsidRPr="008B41FD">
        <w:rPr>
          <w:rFonts w:ascii="David" w:hAnsi="David" w:cs="David"/>
          <w:sz w:val="24"/>
          <w:szCs w:val="24"/>
          <w:rtl/>
        </w:rPr>
        <w:t>–</w:t>
      </w:r>
      <w:r w:rsidRPr="008B41FD">
        <w:rPr>
          <w:rFonts w:ascii="David" w:hAnsi="David" w:cs="David" w:hint="cs"/>
          <w:sz w:val="24"/>
          <w:szCs w:val="24"/>
          <w:rtl/>
        </w:rPr>
        <w:t xml:space="preserve"> ועדת </w:t>
      </w:r>
      <w:proofErr w:type="spellStart"/>
      <w:r w:rsidRPr="008B41FD">
        <w:rPr>
          <w:rFonts w:ascii="David" w:hAnsi="David" w:cs="David" w:hint="cs"/>
          <w:sz w:val="24"/>
          <w:szCs w:val="24"/>
          <w:rtl/>
        </w:rPr>
        <w:t>קרמניצר</w:t>
      </w:r>
      <w:proofErr w:type="spellEnd"/>
      <w:r w:rsidRPr="008B41FD">
        <w:rPr>
          <w:rFonts w:ascii="David" w:hAnsi="David" w:cs="David" w:hint="cs"/>
          <w:sz w:val="24"/>
          <w:szCs w:val="24"/>
          <w:rtl/>
        </w:rPr>
        <w:t xml:space="preserve"> או הוועדה)</w:t>
      </w:r>
      <w:r w:rsidRPr="008B41FD">
        <w:rPr>
          <w:rFonts w:ascii="David" w:hAnsi="David" w:cs="David"/>
          <w:sz w:val="24"/>
          <w:szCs w:val="24"/>
          <w:rtl/>
        </w:rPr>
        <w:t>, שהתבקש לבחון אפשרות יצירת מדרג ענישה ראוי בין עבירת הרצח לעבירת ההריגה, תוך בחינת הצורך בשינוי יסודות עבירות אלו, ובהתאם לכך גם שינוי במדרג העונשים הקבועים בצדן</w:t>
      </w:r>
      <w:r>
        <w:rPr>
          <w:rFonts w:ascii="David" w:hAnsi="David" w:cs="David" w:hint="cs"/>
          <w:sz w:val="24"/>
          <w:szCs w:val="24"/>
          <w:rtl/>
        </w:rPr>
        <w:t>.."</w:t>
      </w:r>
      <w:r w:rsidRPr="008B41FD">
        <w:rPr>
          <w:rStyle w:val="a7"/>
          <w:spacing w:val="4"/>
          <w:rtl/>
          <w:lang w:eastAsia="he-IL"/>
        </w:rPr>
        <w:footnoteReference w:id="1"/>
      </w:r>
      <w:r>
        <w:rPr>
          <w:rFonts w:ascii="David" w:hAnsi="David" w:cs="David" w:hint="cs"/>
          <w:sz w:val="24"/>
          <w:szCs w:val="24"/>
          <w:rtl/>
        </w:rPr>
        <w:t>.</w:t>
      </w:r>
    </w:p>
    <w:p w:rsidR="00664AD3" w:rsidRPr="008B41FD" w:rsidRDefault="00664AD3" w:rsidP="00664AD3">
      <w:pPr>
        <w:pStyle w:val="BODYVERDICT"/>
        <w:spacing w:before="120" w:line="360" w:lineRule="auto"/>
        <w:jc w:val="both"/>
        <w:rPr>
          <w:rFonts w:cs="David"/>
          <w:sz w:val="24"/>
          <w:szCs w:val="24"/>
          <w:rtl/>
        </w:rPr>
      </w:pPr>
      <w:r w:rsidRPr="008B41FD">
        <w:rPr>
          <w:rFonts w:cs="David" w:hint="cs"/>
          <w:sz w:val="24"/>
          <w:szCs w:val="24"/>
          <w:rtl/>
        </w:rPr>
        <w:t xml:space="preserve">ועדה זו הוקמה, בעקבות קריאתו של בית המשפט העליון </w:t>
      </w:r>
      <w:proofErr w:type="spellStart"/>
      <w:r w:rsidRPr="008B41FD">
        <w:rPr>
          <w:rFonts w:cs="David" w:hint="cs"/>
          <w:sz w:val="24"/>
          <w:szCs w:val="24"/>
          <w:rtl/>
        </w:rPr>
        <w:t>ב</w:t>
      </w:r>
      <w:hyperlink r:id="rId7" w:history="1">
        <w:r w:rsidRPr="008B41FD">
          <w:rPr>
            <w:rStyle w:val="Hyperlink"/>
            <w:rFonts w:cs="David" w:hint="eastAsia"/>
            <w:color w:val="auto"/>
            <w:sz w:val="24"/>
            <w:szCs w:val="24"/>
            <w:rtl/>
          </w:rPr>
          <w:t>דנ</w:t>
        </w:r>
        <w:r w:rsidRPr="008B41FD">
          <w:rPr>
            <w:rStyle w:val="Hyperlink"/>
            <w:rFonts w:cs="David"/>
            <w:color w:val="auto"/>
            <w:sz w:val="24"/>
            <w:szCs w:val="24"/>
            <w:rtl/>
          </w:rPr>
          <w:t>"פ</w:t>
        </w:r>
        <w:proofErr w:type="spellEnd"/>
        <w:r w:rsidRPr="008B41FD">
          <w:rPr>
            <w:rStyle w:val="Hyperlink"/>
            <w:rFonts w:cs="David"/>
            <w:color w:val="auto"/>
            <w:sz w:val="24"/>
            <w:szCs w:val="24"/>
            <w:rtl/>
          </w:rPr>
          <w:t xml:space="preserve"> 1042/04</w:t>
        </w:r>
      </w:hyperlink>
      <w:r w:rsidRPr="008B41FD">
        <w:rPr>
          <w:rFonts w:cs="David" w:hint="cs"/>
          <w:spacing w:val="0"/>
          <w:sz w:val="24"/>
          <w:szCs w:val="24"/>
          <w:rtl/>
        </w:rPr>
        <w:t xml:space="preserve"> </w:t>
      </w:r>
      <w:r w:rsidRPr="008B41FD">
        <w:rPr>
          <w:rFonts w:cs="David" w:hint="cs"/>
          <w:b/>
          <w:bCs/>
          <w:spacing w:val="0"/>
          <w:sz w:val="24"/>
          <w:szCs w:val="24"/>
          <w:rtl/>
        </w:rPr>
        <w:t>ביטון נ' מדינת ישראל</w:t>
      </w:r>
      <w:r w:rsidRPr="008B41FD">
        <w:rPr>
          <w:rStyle w:val="a7"/>
          <w:rFonts w:cs="David"/>
          <w:sz w:val="24"/>
          <w:szCs w:val="24"/>
          <w:rtl/>
        </w:rPr>
        <w:footnoteReference w:id="2"/>
      </w:r>
      <w:r w:rsidRPr="008B41FD">
        <w:rPr>
          <w:rFonts w:cs="David" w:hint="cs"/>
          <w:sz w:val="24"/>
          <w:szCs w:val="24"/>
          <w:rtl/>
        </w:rPr>
        <w:t xml:space="preserve"> למחוקק לבצע בחינה מחודשת של דיני ההמתה הקיימים לאחר שבחן את יסוד "הכוונה תחילה": </w:t>
      </w:r>
    </w:p>
    <w:p w:rsidR="00664AD3" w:rsidRPr="008B41FD" w:rsidRDefault="00664AD3" w:rsidP="00664AD3">
      <w:pPr>
        <w:pStyle w:val="BODYVERDICT"/>
        <w:spacing w:before="120" w:line="360" w:lineRule="auto"/>
        <w:ind w:left="1440" w:right="1728"/>
        <w:jc w:val="both"/>
        <w:rPr>
          <w:rFonts w:cs="David"/>
          <w:b/>
          <w:bCs/>
          <w:sz w:val="24"/>
          <w:szCs w:val="24"/>
          <w:rtl/>
        </w:rPr>
      </w:pPr>
      <w:r w:rsidRPr="008B41FD">
        <w:rPr>
          <w:rFonts w:cs="David" w:hint="cs"/>
          <w:b/>
          <w:bCs/>
          <w:sz w:val="24"/>
          <w:szCs w:val="24"/>
          <w:rtl/>
        </w:rPr>
        <w:t xml:space="preserve">"מקווה אני כי בחינה כוללת של דיני ההמתה תעשה בהקדם האפשרי בישראל וכי הממשלה והכנסת תיתנה דעתן לסוגיה סבוכה זו בכל המהירות הראויה".  </w:t>
      </w:r>
    </w:p>
    <w:p w:rsidR="00664AD3" w:rsidRPr="004F1E78" w:rsidRDefault="00664AD3" w:rsidP="00664AD3">
      <w:pPr>
        <w:spacing w:before="120" w:after="0" w:line="360" w:lineRule="auto"/>
        <w:jc w:val="both"/>
        <w:rPr>
          <w:rFonts w:ascii="David" w:hAnsi="David" w:cs="David"/>
          <w:sz w:val="24"/>
          <w:szCs w:val="24"/>
          <w:rtl/>
        </w:rPr>
      </w:pPr>
      <w:r w:rsidRPr="004F1E78">
        <w:rPr>
          <w:rFonts w:ascii="David" w:hAnsi="David" w:cs="David" w:hint="cs"/>
          <w:sz w:val="24"/>
          <w:szCs w:val="24"/>
          <w:rtl/>
        </w:rPr>
        <w:t>הצעת החוק של יו"ר ועדת החוקה, חה"כ סלומינסקי, נועדה גם היא לעצב מחדש את עבירות ההמתה ולקבוע שתי דרגות של עבירות רצח, כפי שיפורט בהמשך.</w:t>
      </w:r>
    </w:p>
    <w:p w:rsidR="00664AD3" w:rsidRPr="004F1E78" w:rsidRDefault="00664AD3" w:rsidP="00664AD3">
      <w:pPr>
        <w:spacing w:before="120" w:after="0" w:line="360" w:lineRule="auto"/>
        <w:jc w:val="both"/>
        <w:rPr>
          <w:rFonts w:ascii="David" w:hAnsi="David" w:cs="David"/>
          <w:sz w:val="24"/>
          <w:szCs w:val="24"/>
          <w:rtl/>
        </w:rPr>
      </w:pPr>
      <w:r w:rsidRPr="004F1E78">
        <w:rPr>
          <w:rFonts w:ascii="David" w:hAnsi="David" w:cs="David" w:hint="cs"/>
          <w:sz w:val="24"/>
          <w:szCs w:val="24"/>
          <w:rtl/>
        </w:rPr>
        <w:t xml:space="preserve">הצעת החוק של חה"כ רוזנטל זהה להצעת החוק הממשלתית. </w:t>
      </w:r>
    </w:p>
    <w:p w:rsidR="00664AD3" w:rsidRPr="008B41FD" w:rsidRDefault="00664AD3" w:rsidP="00664AD3">
      <w:pPr>
        <w:spacing w:before="120" w:after="0" w:line="360" w:lineRule="auto"/>
        <w:jc w:val="both"/>
        <w:rPr>
          <w:rFonts w:ascii="David" w:hAnsi="David" w:cs="David"/>
          <w:sz w:val="24"/>
          <w:szCs w:val="24"/>
          <w:rtl/>
        </w:rPr>
      </w:pPr>
      <w:r w:rsidRPr="004F1E78">
        <w:rPr>
          <w:rFonts w:ascii="David" w:hAnsi="David" w:cs="David" w:hint="cs"/>
          <w:sz w:val="24"/>
          <w:szCs w:val="24"/>
          <w:rtl/>
        </w:rPr>
        <w:t>במסמך זה נסקור בכלליות את מדרג העבירות הקיים ואת עיקרי הרפורמה המוצעת. מסמך זה הינו ראשוני בלבד ונועד, כאמור, להסביר את הקווים המרכזיים של השינוי המוצע לעומת המצב המשפטי הקיים. בהמשך, לקראת כל ישיבה, יופץ מסמך המתייחס לסוגיות ולסעיפים שיידונו ובו נחדד את הנושאים שיועלו לדיון.</w:t>
      </w:r>
      <w:r w:rsidRPr="008B41FD">
        <w:rPr>
          <w:rFonts w:ascii="David" w:hAnsi="David" w:cs="David" w:hint="cs"/>
          <w:sz w:val="24"/>
          <w:szCs w:val="24"/>
          <w:rtl/>
        </w:rPr>
        <w:t xml:space="preserve"> </w:t>
      </w:r>
    </w:p>
    <w:p w:rsidR="00664AD3" w:rsidRPr="008B41FD" w:rsidRDefault="00664AD3" w:rsidP="00664AD3">
      <w:pPr>
        <w:spacing w:before="120" w:after="0" w:line="360" w:lineRule="auto"/>
        <w:rPr>
          <w:rFonts w:ascii="David" w:hAnsi="David" w:cs="David"/>
          <w:sz w:val="24"/>
          <w:szCs w:val="24"/>
          <w:rtl/>
        </w:rPr>
      </w:pPr>
    </w:p>
    <w:p w:rsidR="00664AD3" w:rsidRPr="008B41FD" w:rsidRDefault="00664AD3" w:rsidP="00664AD3">
      <w:pPr>
        <w:spacing w:before="120" w:after="0" w:line="360" w:lineRule="auto"/>
        <w:rPr>
          <w:rFonts w:ascii="David" w:hAnsi="David" w:cs="David"/>
          <w:b/>
          <w:bCs/>
          <w:sz w:val="24"/>
          <w:szCs w:val="24"/>
          <w:rtl/>
        </w:rPr>
      </w:pPr>
      <w:r w:rsidRPr="008B41FD">
        <w:rPr>
          <w:rFonts w:ascii="David" w:hAnsi="David" w:cs="David" w:hint="cs"/>
          <w:b/>
          <w:bCs/>
          <w:sz w:val="24"/>
          <w:szCs w:val="24"/>
          <w:rtl/>
        </w:rPr>
        <w:t xml:space="preserve">רקע  </w:t>
      </w:r>
    </w:p>
    <w:p w:rsidR="00664AD3" w:rsidRPr="008B41FD" w:rsidRDefault="00664AD3" w:rsidP="00664AD3">
      <w:pPr>
        <w:spacing w:before="120" w:after="0" w:line="360" w:lineRule="auto"/>
        <w:jc w:val="both"/>
        <w:rPr>
          <w:rFonts w:ascii="David" w:hAnsi="David" w:cs="David"/>
          <w:sz w:val="24"/>
          <w:szCs w:val="24"/>
          <w:rtl/>
        </w:rPr>
      </w:pPr>
      <w:r w:rsidRPr="008B41FD">
        <w:rPr>
          <w:rFonts w:ascii="David" w:hAnsi="David" w:cs="David" w:hint="cs"/>
          <w:sz w:val="24"/>
          <w:szCs w:val="24"/>
          <w:rtl/>
        </w:rPr>
        <w:t xml:space="preserve">סימן א' בפרק י' בחוק העונשין עוסק בכלל עבירות ההמתה. החוק קובע מדרג של שלוש עבירות עיקריות </w:t>
      </w:r>
      <w:r>
        <w:rPr>
          <w:rFonts w:ascii="David" w:hAnsi="David" w:cs="David" w:hint="cs"/>
          <w:sz w:val="24"/>
          <w:szCs w:val="24"/>
          <w:rtl/>
        </w:rPr>
        <w:t xml:space="preserve">- </w:t>
      </w:r>
      <w:r w:rsidRPr="008B41FD">
        <w:rPr>
          <w:rFonts w:ascii="David" w:hAnsi="David" w:cs="David" w:hint="cs"/>
          <w:sz w:val="24"/>
          <w:szCs w:val="24"/>
          <w:rtl/>
        </w:rPr>
        <w:t>רצח, הריגה וגרם מוות ברשלנות, שהפער ביניהן הוא מש</w:t>
      </w:r>
      <w:r>
        <w:rPr>
          <w:rFonts w:ascii="David" w:hAnsi="David" w:cs="David" w:hint="cs"/>
          <w:sz w:val="24"/>
          <w:szCs w:val="24"/>
          <w:rtl/>
        </w:rPr>
        <w:t xml:space="preserve">מעותי הן ביחס ליסוד הנפשי הקבוע בהן </w:t>
      </w:r>
      <w:r w:rsidRPr="008B41FD">
        <w:rPr>
          <w:rFonts w:ascii="David" w:hAnsi="David" w:cs="David" w:hint="cs"/>
          <w:sz w:val="24"/>
          <w:szCs w:val="24"/>
          <w:rtl/>
        </w:rPr>
        <w:t xml:space="preserve">והן לעניין העונש שלצדן: </w:t>
      </w: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lastRenderedPageBreak/>
              <w:t xml:space="preserve">300. </w:t>
            </w:r>
            <w:r w:rsidRPr="008B41FD">
              <w:rPr>
                <w:rFonts w:ascii="David" w:hAnsi="David" w:cs="David" w:hint="cs"/>
                <w:b/>
                <w:bCs/>
                <w:sz w:val="24"/>
                <w:szCs w:val="24"/>
                <w:rtl/>
              </w:rPr>
              <w:t>רצח</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(א) העושה אחת מאלה יאשם ברצח ודינו- מאסר עולם ועונש זה בלבד:</w:t>
            </w:r>
          </w:p>
          <w:p w:rsidR="00664AD3" w:rsidRPr="008B41FD" w:rsidRDefault="00664AD3" w:rsidP="00664AD3">
            <w:pPr>
              <w:pStyle w:val="P22"/>
              <w:numPr>
                <w:ilvl w:val="0"/>
                <w:numId w:val="2"/>
              </w:numPr>
              <w:spacing w:before="120" w:line="360" w:lineRule="auto"/>
              <w:ind w:right="1134"/>
              <w:rPr>
                <w:rStyle w:val="default"/>
                <w:rFonts w:cs="David"/>
                <w:sz w:val="24"/>
                <w:szCs w:val="24"/>
                <w:rtl/>
              </w:rPr>
            </w:pPr>
            <w:r w:rsidRPr="008B41FD">
              <w:rPr>
                <w:rStyle w:val="default"/>
                <w:rFonts w:cs="David"/>
                <w:sz w:val="24"/>
                <w:szCs w:val="24"/>
                <w:rtl/>
              </w:rPr>
              <w:t>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במזיד, במעשה או במחדל אסורים, למותו של אביו, אמו, סבו או סבתו;</w:t>
            </w:r>
          </w:p>
          <w:p w:rsidR="00664AD3" w:rsidRPr="008B41FD" w:rsidRDefault="00664AD3" w:rsidP="00A071D2">
            <w:pPr>
              <w:pStyle w:val="P22"/>
              <w:spacing w:before="120" w:line="360" w:lineRule="auto"/>
              <w:ind w:left="1021" w:right="1134"/>
              <w:rPr>
                <w:rStyle w:val="default"/>
                <w:rFonts w:cs="David"/>
                <w:sz w:val="24"/>
                <w:szCs w:val="24"/>
                <w:rtl/>
              </w:rPr>
            </w:pPr>
            <w:r w:rsidRPr="008B41FD">
              <w:rPr>
                <w:rStyle w:val="default"/>
                <w:rFonts w:cs="David" w:hint="cs"/>
                <w:sz w:val="24"/>
                <w:szCs w:val="24"/>
                <w:rtl/>
              </w:rPr>
              <w:t>(2)</w:t>
            </w:r>
            <w:r w:rsidRPr="008B41FD">
              <w:rPr>
                <w:rStyle w:val="default"/>
                <w:rFonts w:cs="David"/>
                <w:sz w:val="24"/>
                <w:szCs w:val="24"/>
                <w:rtl/>
              </w:rPr>
              <w:tab/>
              <w:t>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בכוונה תחילה למותו של אדם;</w:t>
            </w:r>
          </w:p>
          <w:p w:rsidR="00664AD3" w:rsidRPr="008B41FD" w:rsidRDefault="00664AD3" w:rsidP="00A071D2">
            <w:pPr>
              <w:pStyle w:val="P22"/>
              <w:spacing w:before="120" w:line="360" w:lineRule="auto"/>
              <w:ind w:left="1021" w:right="1134"/>
              <w:rPr>
                <w:rStyle w:val="default"/>
                <w:rFonts w:cs="David"/>
                <w:sz w:val="24"/>
                <w:szCs w:val="24"/>
                <w:rtl/>
              </w:rPr>
            </w:pPr>
            <w:r w:rsidRPr="008B41FD">
              <w:rPr>
                <w:rStyle w:val="default"/>
                <w:rFonts w:cs="David" w:hint="cs"/>
                <w:sz w:val="24"/>
                <w:szCs w:val="24"/>
                <w:rtl/>
              </w:rPr>
              <w:t>(3)</w:t>
            </w:r>
            <w:r w:rsidRPr="008B41FD">
              <w:rPr>
                <w:rStyle w:val="default"/>
                <w:rFonts w:cs="David"/>
                <w:sz w:val="24"/>
                <w:szCs w:val="24"/>
                <w:rtl/>
              </w:rPr>
              <w:tab/>
              <w:t>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במזיד למותו של אדם תוך ביצוע עבירה או תוך הכנות</w:t>
            </w:r>
            <w:r w:rsidRPr="008B41FD">
              <w:rPr>
                <w:rStyle w:val="default"/>
                <w:rFonts w:cs="David"/>
                <w:sz w:val="24"/>
                <w:szCs w:val="24"/>
                <w:rtl/>
              </w:rPr>
              <w:t xml:space="preserve"> ל</w:t>
            </w:r>
            <w:r w:rsidRPr="008B41FD">
              <w:rPr>
                <w:rStyle w:val="default"/>
                <w:rFonts w:cs="David" w:hint="cs"/>
                <w:sz w:val="24"/>
                <w:szCs w:val="24"/>
                <w:rtl/>
              </w:rPr>
              <w:t>בי</w:t>
            </w:r>
            <w:r w:rsidRPr="008B41FD">
              <w:rPr>
                <w:rStyle w:val="default"/>
                <w:rFonts w:cs="David"/>
                <w:sz w:val="24"/>
                <w:szCs w:val="24"/>
                <w:rtl/>
              </w:rPr>
              <w:t>צו</w:t>
            </w:r>
            <w:r w:rsidRPr="008B41FD">
              <w:rPr>
                <w:rStyle w:val="default"/>
                <w:rFonts w:cs="David" w:hint="cs"/>
                <w:sz w:val="24"/>
                <w:szCs w:val="24"/>
                <w:rtl/>
              </w:rPr>
              <w:t>עה או כדי להקל על ביצועה;</w:t>
            </w:r>
          </w:p>
          <w:p w:rsidR="00664AD3" w:rsidRPr="008B41FD" w:rsidRDefault="00664AD3" w:rsidP="00A071D2">
            <w:pPr>
              <w:pStyle w:val="P22"/>
              <w:spacing w:before="120" w:line="360" w:lineRule="auto"/>
              <w:ind w:left="1021" w:right="1134"/>
              <w:rPr>
                <w:rStyle w:val="default"/>
                <w:rFonts w:cs="David"/>
                <w:sz w:val="24"/>
                <w:szCs w:val="24"/>
                <w:rtl/>
              </w:rPr>
            </w:pPr>
            <w:r w:rsidRPr="008B41FD">
              <w:rPr>
                <w:rStyle w:val="default"/>
                <w:rFonts w:cs="David" w:hint="cs"/>
                <w:sz w:val="24"/>
                <w:szCs w:val="24"/>
                <w:rtl/>
              </w:rPr>
              <w:t>(4)</w:t>
            </w:r>
            <w:r w:rsidRPr="008B41FD">
              <w:rPr>
                <w:rStyle w:val="default"/>
                <w:rFonts w:cs="David"/>
                <w:sz w:val="24"/>
                <w:szCs w:val="24"/>
                <w:rtl/>
              </w:rPr>
              <w:tab/>
              <w:t>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למותו של אדם כשנעברה עבירה אחרת, כדי להבטיח לעצמו, או למי שהשתתף בביצוע אותה עבירה, בריחה או הימלטות מעונש.</w:t>
            </w:r>
          </w:p>
          <w:p w:rsidR="00664AD3" w:rsidRPr="008B41FD" w:rsidRDefault="00664AD3" w:rsidP="00A071D2">
            <w:pPr>
              <w:spacing w:before="120" w:line="360" w:lineRule="auto"/>
              <w:rPr>
                <w:rFonts w:ascii="David" w:hAnsi="David" w:cs="David"/>
                <w:sz w:val="24"/>
                <w:szCs w:val="24"/>
                <w:rtl/>
              </w:rPr>
            </w:pPr>
            <w:r w:rsidRPr="008B41FD">
              <w:rPr>
                <w:rStyle w:val="default"/>
                <w:rFonts w:cs="David" w:hint="cs"/>
                <w:sz w:val="24"/>
                <w:szCs w:val="24"/>
                <w:rtl/>
              </w:rPr>
              <w:t xml:space="preserve">(ב) </w:t>
            </w:r>
            <w:r w:rsidRPr="008B41FD">
              <w:rPr>
                <w:rStyle w:val="default"/>
                <w:rFonts w:cs="David"/>
                <w:sz w:val="24"/>
                <w:szCs w:val="24"/>
                <w:rtl/>
              </w:rPr>
              <w:t>מ</w:t>
            </w:r>
            <w:r w:rsidRPr="008B41FD">
              <w:rPr>
                <w:rStyle w:val="default"/>
                <w:rFonts w:cs="David" w:hint="cs"/>
                <w:sz w:val="24"/>
                <w:szCs w:val="24"/>
                <w:rtl/>
              </w:rPr>
              <w:t xml:space="preserve">י </w:t>
            </w:r>
            <w:r w:rsidRPr="008B41FD">
              <w:rPr>
                <w:rStyle w:val="default"/>
                <w:rFonts w:cs="David"/>
                <w:sz w:val="24"/>
                <w:szCs w:val="24"/>
                <w:rtl/>
              </w:rPr>
              <w:t>שה</w:t>
            </w:r>
            <w:r w:rsidRPr="008B41FD">
              <w:rPr>
                <w:rStyle w:val="default"/>
                <w:rFonts w:cs="David" w:hint="cs"/>
                <w:sz w:val="24"/>
                <w:szCs w:val="24"/>
                <w:rtl/>
              </w:rPr>
              <w:t>ורשע ברצח לפי סעיף 2(ו) לחוק לעשיית דין בנאצים ועוזריהם, תש"י-</w:t>
            </w:r>
            <w:r w:rsidRPr="008B41FD">
              <w:rPr>
                <w:rStyle w:val="default"/>
                <w:rFonts w:cs="David"/>
                <w:sz w:val="24"/>
                <w:szCs w:val="24"/>
                <w:rtl/>
              </w:rPr>
              <w:t xml:space="preserve">1950, </w:t>
            </w:r>
            <w:r w:rsidRPr="008B41FD">
              <w:rPr>
                <w:rStyle w:val="default"/>
                <w:rFonts w:cs="David" w:hint="cs"/>
                <w:sz w:val="24"/>
                <w:szCs w:val="24"/>
                <w:rtl/>
              </w:rPr>
              <w:t>די</w:t>
            </w:r>
            <w:r w:rsidRPr="008B41FD">
              <w:rPr>
                <w:rStyle w:val="default"/>
                <w:rFonts w:cs="David"/>
                <w:sz w:val="24"/>
                <w:szCs w:val="24"/>
                <w:rtl/>
              </w:rPr>
              <w:t>נו</w:t>
            </w:r>
            <w:r w:rsidRPr="008B41FD">
              <w:rPr>
                <w:rStyle w:val="default"/>
                <w:rFonts w:cs="David" w:hint="cs"/>
                <w:sz w:val="24"/>
                <w:szCs w:val="24"/>
                <w:rtl/>
              </w:rPr>
              <w:t xml:space="preserve"> - מי</w:t>
            </w:r>
            <w:r w:rsidRPr="008B41FD">
              <w:rPr>
                <w:rStyle w:val="default"/>
                <w:rFonts w:cs="David"/>
                <w:sz w:val="24"/>
                <w:szCs w:val="24"/>
                <w:rtl/>
              </w:rPr>
              <w:t>תה</w:t>
            </w:r>
            <w:r w:rsidRPr="008B41FD">
              <w:rPr>
                <w:rStyle w:val="default"/>
                <w:rFonts w:cs="David" w:hint="cs"/>
                <w:sz w:val="24"/>
                <w:szCs w:val="24"/>
                <w:rtl/>
              </w:rPr>
              <w:t>.</w:t>
            </w:r>
          </w:p>
        </w:tc>
      </w:tr>
    </w:tbl>
    <w:p w:rsidR="00664AD3" w:rsidRPr="008B41FD"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עבירת הרצח מתגבשת אם הוכח יסוד נפשי של "כוונה תחילה" (כפי שיפורט בהמשך)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 (יוסבר להלן).</w:t>
      </w: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spacing w:before="120" w:line="360" w:lineRule="auto"/>
              <w:rPr>
                <w:rStyle w:val="default"/>
                <w:rFonts w:cs="David"/>
                <w:sz w:val="24"/>
                <w:szCs w:val="24"/>
                <w:rtl/>
              </w:rPr>
            </w:pPr>
            <w:r w:rsidRPr="008B41FD">
              <w:rPr>
                <w:rStyle w:val="default"/>
                <w:rFonts w:cs="David" w:hint="cs"/>
                <w:sz w:val="24"/>
                <w:szCs w:val="24"/>
                <w:rtl/>
              </w:rPr>
              <w:t xml:space="preserve">"298. </w:t>
            </w:r>
            <w:r w:rsidRPr="008B41FD">
              <w:rPr>
                <w:rStyle w:val="default"/>
                <w:rFonts w:cs="David" w:hint="cs"/>
                <w:b/>
                <w:bCs/>
                <w:sz w:val="24"/>
                <w:szCs w:val="24"/>
                <w:rtl/>
              </w:rPr>
              <w:t>הריגה</w:t>
            </w:r>
          </w:p>
          <w:p w:rsidR="00664AD3" w:rsidRPr="008B41FD" w:rsidRDefault="00664AD3" w:rsidP="00A071D2">
            <w:pPr>
              <w:spacing w:before="120" w:line="360" w:lineRule="auto"/>
              <w:rPr>
                <w:rFonts w:ascii="David" w:hAnsi="David" w:cs="David"/>
                <w:sz w:val="24"/>
                <w:szCs w:val="24"/>
                <w:rtl/>
              </w:rPr>
            </w:pPr>
            <w:r w:rsidRPr="008B41FD">
              <w:rPr>
                <w:rStyle w:val="default"/>
                <w:rFonts w:cs="David"/>
                <w:sz w:val="24"/>
                <w:szCs w:val="24"/>
                <w:rtl/>
              </w:rPr>
              <w:t>הג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במעשה או במחדל אסורים למותו של אדם, יאשם בהריגה, ודינו - מא</w:t>
            </w:r>
            <w:r w:rsidRPr="008B41FD">
              <w:rPr>
                <w:rStyle w:val="default"/>
                <w:rFonts w:cs="David"/>
                <w:sz w:val="24"/>
                <w:szCs w:val="24"/>
                <w:rtl/>
              </w:rPr>
              <w:t>סר</w:t>
            </w:r>
            <w:r w:rsidRPr="008B41FD">
              <w:rPr>
                <w:rStyle w:val="default"/>
                <w:rFonts w:cs="David" w:hint="cs"/>
                <w:sz w:val="24"/>
                <w:szCs w:val="24"/>
                <w:rtl/>
              </w:rPr>
              <w:t xml:space="preserve"> עש</w:t>
            </w:r>
            <w:r w:rsidRPr="008B41FD">
              <w:rPr>
                <w:rStyle w:val="default"/>
                <w:rFonts w:cs="David"/>
                <w:sz w:val="24"/>
                <w:szCs w:val="24"/>
                <w:rtl/>
              </w:rPr>
              <w:t>רי</w:t>
            </w:r>
            <w:r w:rsidRPr="008B41FD">
              <w:rPr>
                <w:rStyle w:val="default"/>
                <w:rFonts w:cs="David" w:hint="cs"/>
                <w:sz w:val="24"/>
                <w:szCs w:val="24"/>
                <w:rtl/>
              </w:rPr>
              <w:t xml:space="preserve">ם </w:t>
            </w:r>
            <w:r w:rsidRPr="008B41FD">
              <w:rPr>
                <w:rStyle w:val="default"/>
                <w:rFonts w:cs="David"/>
                <w:sz w:val="24"/>
                <w:szCs w:val="24"/>
                <w:rtl/>
              </w:rPr>
              <w:t>שנ</w:t>
            </w:r>
            <w:r w:rsidRPr="008B41FD">
              <w:rPr>
                <w:rStyle w:val="default"/>
                <w:rFonts w:cs="David" w:hint="cs"/>
                <w:sz w:val="24"/>
                <w:szCs w:val="24"/>
                <w:rtl/>
              </w:rPr>
              <w:t>ים."</w:t>
            </w:r>
          </w:p>
        </w:tc>
      </w:tr>
    </w:tbl>
    <w:p w:rsidR="00664AD3"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 xml:space="preserve">היסוד הנפשי של עבירת ההריגה הוא מחשבה פלילית. מחשבה פלילית מוגדרת בחוק העונשין- כמודעות לטיב מעשה, לקיום הנסיבות ולאפשרות גרימת תוצאות המעשה תוך כוונה לגרום לתוצאה או בפזיזות באשר לתוצאה. </w:t>
      </w:r>
    </w:p>
    <w:p w:rsidR="00664AD3"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פזיזות כוללת 1. אדישות, קרי שוויון נפש כלפי התוצאה, או-</w:t>
      </w:r>
    </w:p>
    <w:p w:rsidR="00664AD3" w:rsidRDefault="00664AD3" w:rsidP="00664AD3">
      <w:pPr>
        <w:spacing w:before="120" w:after="0" w:line="360" w:lineRule="auto"/>
        <w:ind w:left="1230"/>
        <w:jc w:val="both"/>
        <w:rPr>
          <w:rFonts w:ascii="David" w:hAnsi="David" w:cs="David"/>
          <w:sz w:val="24"/>
          <w:szCs w:val="24"/>
          <w:rtl/>
        </w:rPr>
      </w:pPr>
      <w:r>
        <w:rPr>
          <w:rFonts w:ascii="David" w:hAnsi="David" w:cs="David" w:hint="cs"/>
          <w:sz w:val="24"/>
          <w:szCs w:val="24"/>
          <w:rtl/>
        </w:rPr>
        <w:t xml:space="preserve">2. קלות דעת- נטילת סיכון בלתי סביר לאפשרות גרימת התוצאות מתוך תקווה להצליח למנען. </w:t>
      </w:r>
    </w:p>
    <w:p w:rsidR="00664AD3"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עבירת</w:t>
      </w:r>
      <w:r w:rsidRPr="008B41FD">
        <w:rPr>
          <w:rFonts w:ascii="David" w:hAnsi="David" w:cs="David" w:hint="cs"/>
          <w:sz w:val="24"/>
          <w:szCs w:val="24"/>
          <w:rtl/>
        </w:rPr>
        <w:t xml:space="preserve"> ההריגה חל</w:t>
      </w:r>
      <w:r>
        <w:rPr>
          <w:rFonts w:ascii="David" w:hAnsi="David" w:cs="David" w:hint="cs"/>
          <w:sz w:val="24"/>
          <w:szCs w:val="24"/>
          <w:rtl/>
        </w:rPr>
        <w:t>ה</w:t>
      </w:r>
      <w:r w:rsidRPr="008B41FD">
        <w:rPr>
          <w:rFonts w:ascii="David" w:hAnsi="David" w:cs="David" w:hint="cs"/>
          <w:sz w:val="24"/>
          <w:szCs w:val="24"/>
          <w:rtl/>
        </w:rPr>
        <w:t xml:space="preserve"> על </w:t>
      </w:r>
      <w:r>
        <w:rPr>
          <w:rFonts w:ascii="David" w:hAnsi="David" w:cs="David" w:hint="cs"/>
          <w:sz w:val="24"/>
          <w:szCs w:val="24"/>
          <w:rtl/>
        </w:rPr>
        <w:t xml:space="preserve">קשת רחבה </w:t>
      </w:r>
      <w:r w:rsidRPr="008B41FD">
        <w:rPr>
          <w:rFonts w:ascii="David" w:hAnsi="David" w:cs="David" w:hint="cs"/>
          <w:sz w:val="24"/>
          <w:szCs w:val="24"/>
          <w:rtl/>
        </w:rPr>
        <w:t>מאד של מקרים</w:t>
      </w:r>
      <w:r>
        <w:rPr>
          <w:rFonts w:ascii="David" w:hAnsi="David" w:cs="David" w:hint="cs"/>
          <w:sz w:val="24"/>
          <w:szCs w:val="24"/>
          <w:rtl/>
        </w:rPr>
        <w:t xml:space="preserve"> - ממקרים בהם הייתה כוונה כאמור, אך לא התגבשו יסודות הכוונה תחילה ולכן לא ניתן להרשיע ברצח, למשל אם היה קנטור, ועד מקרים בהם הנאשם נטל סיכון בלתי סביר תוך תקווה שהתוצאה לא תתממש.</w:t>
      </w:r>
    </w:p>
    <w:p w:rsidR="00664AD3" w:rsidRPr="008B41FD" w:rsidRDefault="00664AD3" w:rsidP="00664AD3">
      <w:pPr>
        <w:spacing w:before="120" w:after="0" w:line="360" w:lineRule="auto"/>
        <w:jc w:val="both"/>
        <w:rPr>
          <w:rFonts w:ascii="David" w:hAnsi="David" w:cs="David"/>
          <w:sz w:val="24"/>
          <w:szCs w:val="24"/>
          <w:rtl/>
        </w:rPr>
      </w:pP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304. </w:t>
            </w:r>
            <w:r w:rsidRPr="008B41FD">
              <w:rPr>
                <w:rFonts w:ascii="David" w:hAnsi="David" w:cs="David" w:hint="cs"/>
                <w:b/>
                <w:bCs/>
                <w:sz w:val="24"/>
                <w:szCs w:val="24"/>
                <w:rtl/>
              </w:rPr>
              <w:t>גרימת מוות ברשלנות</w:t>
            </w:r>
          </w:p>
          <w:p w:rsidR="00664AD3" w:rsidRPr="008B41FD" w:rsidRDefault="00664AD3" w:rsidP="00A071D2">
            <w:pPr>
              <w:spacing w:before="120" w:line="360" w:lineRule="auto"/>
              <w:rPr>
                <w:rFonts w:ascii="David" w:hAnsi="David" w:cs="David"/>
                <w:sz w:val="24"/>
                <w:szCs w:val="24"/>
                <w:rtl/>
              </w:rPr>
            </w:pPr>
            <w:r w:rsidRPr="008B41FD">
              <w:rPr>
                <w:rStyle w:val="default"/>
                <w:rFonts w:cs="David"/>
                <w:sz w:val="24"/>
                <w:szCs w:val="24"/>
                <w:rtl/>
              </w:rPr>
              <w:t>הג</w:t>
            </w:r>
            <w:r w:rsidRPr="008B41FD">
              <w:rPr>
                <w:rStyle w:val="default"/>
                <w:rFonts w:cs="David" w:hint="cs"/>
                <w:sz w:val="24"/>
                <w:szCs w:val="24"/>
                <w:rtl/>
              </w:rPr>
              <w:t>ור</w:t>
            </w:r>
            <w:r w:rsidRPr="008B41FD">
              <w:rPr>
                <w:rStyle w:val="default"/>
                <w:rFonts w:cs="David"/>
                <w:sz w:val="24"/>
                <w:szCs w:val="24"/>
                <w:rtl/>
              </w:rPr>
              <w:t xml:space="preserve">ם </w:t>
            </w:r>
            <w:r w:rsidRPr="008B41FD">
              <w:rPr>
                <w:rStyle w:val="default"/>
                <w:rFonts w:cs="David" w:hint="cs"/>
                <w:sz w:val="24"/>
                <w:szCs w:val="24"/>
                <w:rtl/>
              </w:rPr>
              <w:t xml:space="preserve">ברשלנות למותו של אדם, דינו - </w:t>
            </w:r>
            <w:r w:rsidRPr="008B41FD">
              <w:rPr>
                <w:rStyle w:val="default"/>
                <w:rFonts w:cs="David"/>
                <w:sz w:val="24"/>
                <w:szCs w:val="24"/>
                <w:rtl/>
              </w:rPr>
              <w:t>מאסר ש</w:t>
            </w:r>
            <w:r w:rsidRPr="008B41FD">
              <w:rPr>
                <w:rStyle w:val="default"/>
                <w:rFonts w:cs="David" w:hint="cs"/>
                <w:sz w:val="24"/>
                <w:szCs w:val="24"/>
                <w:rtl/>
              </w:rPr>
              <w:t>לוש שנים.</w:t>
            </w:r>
          </w:p>
        </w:tc>
      </w:tr>
    </w:tbl>
    <w:p w:rsidR="00664AD3" w:rsidRDefault="00664AD3" w:rsidP="00664AD3">
      <w:pPr>
        <w:spacing w:before="120" w:after="0" w:line="360" w:lineRule="auto"/>
        <w:rPr>
          <w:rFonts w:cs="David"/>
          <w:sz w:val="24"/>
          <w:szCs w:val="24"/>
          <w:rtl/>
        </w:rPr>
      </w:pPr>
    </w:p>
    <w:p w:rsidR="00664AD3" w:rsidRPr="008B41FD" w:rsidRDefault="00664AD3" w:rsidP="00664AD3">
      <w:pPr>
        <w:spacing w:before="120" w:after="0" w:line="360" w:lineRule="auto"/>
        <w:rPr>
          <w:rFonts w:cs="David"/>
          <w:sz w:val="24"/>
          <w:szCs w:val="24"/>
          <w:rtl/>
        </w:rPr>
      </w:pPr>
      <w:r w:rsidRPr="008B41FD">
        <w:rPr>
          <w:rFonts w:cs="David" w:hint="cs"/>
          <w:sz w:val="24"/>
          <w:szCs w:val="24"/>
          <w:rtl/>
        </w:rPr>
        <w:t>סעיף 301 קובע מהי כוונה תחילה לשם גיבוש עבירת הרצח, כדלקמן:</w:t>
      </w: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spacing w:before="120" w:line="360" w:lineRule="auto"/>
              <w:rPr>
                <w:rFonts w:cs="David"/>
                <w:sz w:val="24"/>
                <w:szCs w:val="24"/>
                <w:rtl/>
              </w:rPr>
            </w:pPr>
            <w:r w:rsidRPr="008B41FD">
              <w:rPr>
                <w:rFonts w:cs="David" w:hint="cs"/>
                <w:sz w:val="24"/>
                <w:szCs w:val="24"/>
                <w:rtl/>
              </w:rPr>
              <w:lastRenderedPageBreak/>
              <w:t xml:space="preserve">301. </w:t>
            </w:r>
            <w:r w:rsidRPr="008B41FD">
              <w:rPr>
                <w:rFonts w:cs="David" w:hint="cs"/>
                <w:b/>
                <w:bCs/>
                <w:sz w:val="24"/>
                <w:szCs w:val="24"/>
                <w:rtl/>
              </w:rPr>
              <w:t>כוונה תחילה</w:t>
            </w:r>
          </w:p>
          <w:p w:rsidR="00664AD3" w:rsidRPr="008B41FD" w:rsidRDefault="00664AD3" w:rsidP="00A071D2">
            <w:pPr>
              <w:spacing w:before="120" w:line="360" w:lineRule="auto"/>
              <w:jc w:val="both"/>
              <w:rPr>
                <w:rStyle w:val="default"/>
                <w:rFonts w:cs="David"/>
                <w:sz w:val="24"/>
                <w:szCs w:val="24"/>
                <w:rtl/>
              </w:rPr>
            </w:pPr>
            <w:r w:rsidRPr="008B41FD">
              <w:rPr>
                <w:rFonts w:cs="David" w:hint="cs"/>
                <w:sz w:val="24"/>
                <w:szCs w:val="24"/>
                <w:rtl/>
              </w:rPr>
              <w:t xml:space="preserve">(א) </w:t>
            </w:r>
            <w:r w:rsidRPr="008B41FD">
              <w:rPr>
                <w:rStyle w:val="default"/>
                <w:rFonts w:cs="David" w:hint="cs"/>
                <w:sz w:val="24"/>
                <w:szCs w:val="24"/>
                <w:rtl/>
              </w:rPr>
              <w:t>לעניין סעיף 300, יראו ממית אדם כמי שהמית בכוונה תחילה אם החליט להמיתו, וה</w:t>
            </w:r>
            <w:r w:rsidRPr="008B41FD">
              <w:rPr>
                <w:rStyle w:val="default"/>
                <w:rFonts w:cs="David"/>
                <w:sz w:val="24"/>
                <w:szCs w:val="24"/>
                <w:rtl/>
              </w:rPr>
              <w:t>מ</w:t>
            </w:r>
            <w:r w:rsidRPr="008B41FD">
              <w:rPr>
                <w:rStyle w:val="default"/>
                <w:rFonts w:cs="David" w:hint="cs"/>
                <w:sz w:val="24"/>
                <w:szCs w:val="24"/>
                <w:rtl/>
              </w:rPr>
              <w:t>יתו בדם קר, בלי שקדמה התגרות בתכוף למעשה, בנ</w:t>
            </w:r>
            <w:r w:rsidRPr="008B41FD">
              <w:rPr>
                <w:rStyle w:val="default"/>
                <w:rFonts w:cs="David"/>
                <w:sz w:val="24"/>
                <w:szCs w:val="24"/>
                <w:rtl/>
              </w:rPr>
              <w:t>ס</w:t>
            </w:r>
            <w:r w:rsidRPr="008B41FD">
              <w:rPr>
                <w:rStyle w:val="default"/>
                <w:rFonts w:cs="David" w:hint="cs"/>
                <w:sz w:val="24"/>
                <w:szCs w:val="24"/>
                <w:rtl/>
              </w:rPr>
              <w:t>י</w:t>
            </w:r>
            <w:r w:rsidRPr="008B41FD">
              <w:rPr>
                <w:rStyle w:val="default"/>
                <w:rFonts w:cs="David"/>
                <w:sz w:val="24"/>
                <w:szCs w:val="24"/>
                <w:rtl/>
              </w:rPr>
              <w:t>ב</w:t>
            </w:r>
            <w:r w:rsidRPr="008B41FD">
              <w:rPr>
                <w:rStyle w:val="default"/>
                <w:rFonts w:cs="David" w:hint="cs"/>
                <w:sz w:val="24"/>
                <w:szCs w:val="24"/>
                <w:rtl/>
              </w:rPr>
              <w:t>ות שבהן יכול לחשוב ולהבין את תוצא</w:t>
            </w:r>
            <w:r w:rsidRPr="008B41FD">
              <w:rPr>
                <w:rStyle w:val="default"/>
                <w:rFonts w:cs="David"/>
                <w:sz w:val="24"/>
                <w:szCs w:val="24"/>
                <w:rtl/>
              </w:rPr>
              <w:t>ות</w:t>
            </w:r>
            <w:r w:rsidRPr="008B41FD">
              <w:rPr>
                <w:rStyle w:val="default"/>
                <w:rFonts w:cs="David" w:hint="cs"/>
                <w:sz w:val="24"/>
                <w:szCs w:val="24"/>
                <w:rtl/>
              </w:rPr>
              <w:t xml:space="preserve"> מ</w:t>
            </w:r>
            <w:r w:rsidRPr="008B41FD">
              <w:rPr>
                <w:rStyle w:val="default"/>
                <w:rFonts w:cs="David"/>
                <w:sz w:val="24"/>
                <w:szCs w:val="24"/>
                <w:rtl/>
              </w:rPr>
              <w:t>עש</w:t>
            </w:r>
            <w:r w:rsidRPr="008B41FD">
              <w:rPr>
                <w:rStyle w:val="default"/>
                <w:rFonts w:cs="David" w:hint="cs"/>
                <w:sz w:val="24"/>
                <w:szCs w:val="24"/>
                <w:rtl/>
              </w:rPr>
              <w:t>יו, ולאחר שהכין עצמו להמית אותו או שהכין מכשיר שבו המית אותו.</w:t>
            </w:r>
          </w:p>
          <w:p w:rsidR="00664AD3" w:rsidRPr="008B41FD" w:rsidRDefault="00664AD3" w:rsidP="00A071D2">
            <w:pPr>
              <w:spacing w:before="120" w:line="360" w:lineRule="auto"/>
              <w:jc w:val="both"/>
              <w:rPr>
                <w:rFonts w:cs="David"/>
                <w:sz w:val="24"/>
                <w:szCs w:val="24"/>
                <w:rtl/>
              </w:rPr>
            </w:pPr>
            <w:r w:rsidRPr="008B41FD">
              <w:rPr>
                <w:rFonts w:cs="David" w:hint="cs"/>
                <w:sz w:val="24"/>
                <w:szCs w:val="24"/>
                <w:rtl/>
              </w:rPr>
              <w:t>(ב) לענ</w:t>
            </w:r>
            <w:r>
              <w:rPr>
                <w:rFonts w:cs="David" w:hint="cs"/>
                <w:sz w:val="24"/>
                <w:szCs w:val="24"/>
                <w:rtl/>
              </w:rPr>
              <w:t>י</w:t>
            </w:r>
            <w:r w:rsidRPr="008B41FD">
              <w:rPr>
                <w:rFonts w:cs="David" w:hint="cs"/>
                <w:sz w:val="24"/>
                <w:szCs w:val="24"/>
                <w:rtl/>
              </w:rPr>
              <w:t xml:space="preserve">ין </w:t>
            </w:r>
            <w:r w:rsidRPr="008B41FD">
              <w:rPr>
                <w:rStyle w:val="default"/>
                <w:rFonts w:cs="David" w:hint="cs"/>
                <w:sz w:val="24"/>
                <w:szCs w:val="24"/>
                <w:rtl/>
              </w:rPr>
              <w:t>ההח</w:t>
            </w:r>
            <w:r w:rsidRPr="008B41FD">
              <w:rPr>
                <w:rStyle w:val="default"/>
                <w:rFonts w:cs="David"/>
                <w:sz w:val="24"/>
                <w:szCs w:val="24"/>
                <w:rtl/>
              </w:rPr>
              <w:t>ל</w:t>
            </w:r>
            <w:r w:rsidRPr="008B41FD">
              <w:rPr>
                <w:rStyle w:val="default"/>
                <w:rFonts w:cs="David" w:hint="cs"/>
                <w:sz w:val="24"/>
                <w:szCs w:val="24"/>
                <w:rtl/>
              </w:rPr>
              <w:t xml:space="preserve">טה </w:t>
            </w:r>
            <w:r w:rsidRPr="008B41FD">
              <w:rPr>
                <w:rStyle w:val="default"/>
                <w:rFonts w:cs="David"/>
                <w:sz w:val="24"/>
                <w:szCs w:val="24"/>
                <w:rtl/>
              </w:rPr>
              <w:t>ו</w:t>
            </w:r>
            <w:r w:rsidRPr="008B41FD">
              <w:rPr>
                <w:rStyle w:val="default"/>
                <w:rFonts w:cs="David" w:hint="cs"/>
                <w:sz w:val="24"/>
                <w:szCs w:val="24"/>
                <w:rtl/>
              </w:rPr>
              <w:t>ההכנה להמית</w:t>
            </w:r>
            <w:r w:rsidRPr="008B41FD">
              <w:rPr>
                <w:rStyle w:val="default"/>
                <w:rFonts w:cs="David"/>
                <w:sz w:val="24"/>
                <w:szCs w:val="24"/>
                <w:rtl/>
              </w:rPr>
              <w:t>, א</w:t>
            </w:r>
            <w:r w:rsidRPr="008B41FD">
              <w:rPr>
                <w:rStyle w:val="default"/>
                <w:rFonts w:cs="David" w:hint="cs"/>
                <w:sz w:val="24"/>
                <w:szCs w:val="24"/>
                <w:rtl/>
              </w:rPr>
              <w:t>ין נפקא מינה אם החליט להמית את האדם או את מישהו, מסוים או בלתי מסוים, מבני משפחתו או מבני גזעו.</w:t>
            </w:r>
          </w:p>
          <w:p w:rsidR="00664AD3" w:rsidRPr="008B41FD" w:rsidRDefault="00664AD3" w:rsidP="00A071D2">
            <w:pPr>
              <w:spacing w:before="120" w:line="360" w:lineRule="auto"/>
              <w:jc w:val="both"/>
              <w:rPr>
                <w:rFonts w:cs="David"/>
                <w:sz w:val="24"/>
                <w:szCs w:val="24"/>
                <w:rtl/>
              </w:rPr>
            </w:pPr>
            <w:r w:rsidRPr="008B41FD">
              <w:rPr>
                <w:rFonts w:cs="David" w:hint="cs"/>
                <w:sz w:val="24"/>
                <w:szCs w:val="24"/>
                <w:rtl/>
              </w:rPr>
              <w:t xml:space="preserve">(ג) </w:t>
            </w:r>
            <w:r w:rsidRPr="008B41FD">
              <w:rPr>
                <w:rStyle w:val="default"/>
                <w:rFonts w:cs="David" w:hint="cs"/>
                <w:sz w:val="24"/>
                <w:szCs w:val="24"/>
                <w:rtl/>
              </w:rPr>
              <w:t xml:space="preserve">כדי </w:t>
            </w:r>
            <w:r w:rsidRPr="008B41FD">
              <w:rPr>
                <w:rStyle w:val="default"/>
                <w:rFonts w:cs="David"/>
                <w:sz w:val="24"/>
                <w:szCs w:val="24"/>
                <w:rtl/>
              </w:rPr>
              <w:t>ל</w:t>
            </w:r>
            <w:r w:rsidRPr="008B41FD">
              <w:rPr>
                <w:rStyle w:val="default"/>
                <w:rFonts w:cs="David" w:hint="cs"/>
                <w:sz w:val="24"/>
                <w:szCs w:val="24"/>
                <w:rtl/>
              </w:rPr>
              <w:t>הוכיח כוו</w:t>
            </w:r>
            <w:r w:rsidRPr="008B41FD">
              <w:rPr>
                <w:rStyle w:val="default"/>
                <w:rFonts w:cs="David"/>
                <w:sz w:val="24"/>
                <w:szCs w:val="24"/>
                <w:rtl/>
              </w:rPr>
              <w:t>נה ת</w:t>
            </w:r>
            <w:r w:rsidRPr="008B41FD">
              <w:rPr>
                <w:rStyle w:val="default"/>
                <w:rFonts w:cs="David" w:hint="cs"/>
                <w:sz w:val="24"/>
                <w:szCs w:val="24"/>
                <w:rtl/>
              </w:rPr>
              <w:t>חילה אין צורך להראות שהנאשם היה שר</w:t>
            </w:r>
            <w:r w:rsidRPr="008B41FD">
              <w:rPr>
                <w:rStyle w:val="default"/>
                <w:rFonts w:cs="David"/>
                <w:sz w:val="24"/>
                <w:szCs w:val="24"/>
                <w:rtl/>
              </w:rPr>
              <w:t>וי</w:t>
            </w:r>
            <w:r w:rsidRPr="008B41FD">
              <w:rPr>
                <w:rStyle w:val="default"/>
                <w:rFonts w:cs="David" w:hint="cs"/>
                <w:sz w:val="24"/>
                <w:szCs w:val="24"/>
                <w:rtl/>
              </w:rPr>
              <w:t xml:space="preserve"> ב</w:t>
            </w:r>
            <w:r w:rsidRPr="008B41FD">
              <w:rPr>
                <w:rStyle w:val="default"/>
                <w:rFonts w:cs="David"/>
                <w:sz w:val="24"/>
                <w:szCs w:val="24"/>
                <w:rtl/>
              </w:rPr>
              <w:t>הל</w:t>
            </w:r>
            <w:r w:rsidRPr="008B41FD">
              <w:rPr>
                <w:rStyle w:val="default"/>
                <w:rFonts w:cs="David" w:hint="cs"/>
                <w:sz w:val="24"/>
                <w:szCs w:val="24"/>
                <w:rtl/>
              </w:rPr>
              <w:t xml:space="preserve">ך נפש </w:t>
            </w:r>
            <w:proofErr w:type="spellStart"/>
            <w:r w:rsidRPr="008B41FD">
              <w:rPr>
                <w:rStyle w:val="default"/>
                <w:rFonts w:cs="David" w:hint="cs"/>
                <w:sz w:val="24"/>
                <w:szCs w:val="24"/>
                <w:rtl/>
              </w:rPr>
              <w:t>מסויים</w:t>
            </w:r>
            <w:proofErr w:type="spellEnd"/>
            <w:r w:rsidRPr="008B41FD">
              <w:rPr>
                <w:rStyle w:val="default"/>
                <w:rFonts w:cs="David" w:hint="cs"/>
                <w:sz w:val="24"/>
                <w:szCs w:val="24"/>
                <w:rtl/>
              </w:rPr>
              <w:t xml:space="preserve"> במשך זמן פלוני או תוך תקופה פלונית שלפני ביצוע העבירה או שהמכשי</w:t>
            </w:r>
            <w:r w:rsidRPr="008B41FD">
              <w:rPr>
                <w:rStyle w:val="default"/>
                <w:rFonts w:cs="David"/>
                <w:sz w:val="24"/>
                <w:szCs w:val="24"/>
                <w:rtl/>
              </w:rPr>
              <w:t>ר</w:t>
            </w:r>
            <w:r w:rsidRPr="008B41FD">
              <w:rPr>
                <w:rStyle w:val="default"/>
                <w:rFonts w:cs="David" w:hint="cs"/>
                <w:sz w:val="24"/>
                <w:szCs w:val="24"/>
                <w:rtl/>
              </w:rPr>
              <w:t xml:space="preserve"> שב</w:t>
            </w:r>
            <w:r w:rsidRPr="008B41FD">
              <w:rPr>
                <w:rStyle w:val="default"/>
                <w:rFonts w:cs="David"/>
                <w:sz w:val="24"/>
                <w:szCs w:val="24"/>
                <w:rtl/>
              </w:rPr>
              <w:t>ו</w:t>
            </w:r>
            <w:r w:rsidRPr="008B41FD">
              <w:rPr>
                <w:rStyle w:val="default"/>
                <w:rFonts w:cs="David" w:hint="cs"/>
                <w:sz w:val="24"/>
                <w:szCs w:val="24"/>
                <w:rtl/>
              </w:rPr>
              <w:t xml:space="preserve"> בוצעה הוכן</w:t>
            </w:r>
            <w:r w:rsidRPr="008B41FD">
              <w:rPr>
                <w:rStyle w:val="default"/>
                <w:rFonts w:cs="David"/>
                <w:sz w:val="24"/>
                <w:szCs w:val="24"/>
                <w:rtl/>
              </w:rPr>
              <w:t xml:space="preserve"> ב</w:t>
            </w:r>
            <w:r w:rsidRPr="008B41FD">
              <w:rPr>
                <w:rStyle w:val="default"/>
                <w:rFonts w:cs="David" w:hint="cs"/>
                <w:sz w:val="24"/>
                <w:szCs w:val="24"/>
                <w:rtl/>
              </w:rPr>
              <w:t>זמן פלוני שלפני המעשה.</w:t>
            </w:r>
          </w:p>
        </w:tc>
      </w:tr>
    </w:tbl>
    <w:p w:rsidR="00664AD3" w:rsidRPr="008B41FD" w:rsidRDefault="00664AD3" w:rsidP="00664AD3">
      <w:pPr>
        <w:spacing w:before="120" w:after="0" w:line="360" w:lineRule="auto"/>
        <w:jc w:val="both"/>
        <w:rPr>
          <w:rFonts w:ascii="David" w:hAnsi="David" w:cs="David"/>
          <w:sz w:val="24"/>
          <w:szCs w:val="24"/>
          <w:rtl/>
        </w:rPr>
      </w:pPr>
      <w:r w:rsidRPr="008B41FD">
        <w:rPr>
          <w:rFonts w:ascii="David" w:hAnsi="David" w:cs="David" w:hint="cs"/>
          <w:sz w:val="24"/>
          <w:szCs w:val="24"/>
          <w:rtl/>
        </w:rPr>
        <w:t>הפסיקה קבעה שרכיב ה"כוונה תחילה", לפי סעיף 301, דורש שלושה אלמנטים מצטברים:</w:t>
      </w:r>
    </w:p>
    <w:p w:rsidR="00664AD3" w:rsidRPr="008B41FD" w:rsidRDefault="00664AD3" w:rsidP="00664AD3">
      <w:pPr>
        <w:spacing w:before="120" w:after="0" w:line="360" w:lineRule="auto"/>
        <w:jc w:val="both"/>
        <w:rPr>
          <w:rFonts w:ascii="David" w:hAnsi="David" w:cs="David"/>
          <w:sz w:val="24"/>
          <w:szCs w:val="24"/>
        </w:rPr>
      </w:pPr>
      <w:r w:rsidRPr="00D51400">
        <w:rPr>
          <w:rFonts w:ascii="David" w:hAnsi="David" w:cs="David" w:hint="cs"/>
          <w:sz w:val="24"/>
          <w:szCs w:val="24"/>
          <w:rtl/>
        </w:rPr>
        <w:t>החלטה להמית</w:t>
      </w:r>
      <w:r>
        <w:rPr>
          <w:rFonts w:ascii="David" w:hAnsi="David" w:cs="David" w:hint="cs"/>
          <w:sz w:val="24"/>
          <w:szCs w:val="24"/>
          <w:rtl/>
        </w:rPr>
        <w:t xml:space="preserve">, </w:t>
      </w:r>
      <w:r w:rsidRPr="008B41FD">
        <w:rPr>
          <w:rFonts w:ascii="David" w:hAnsi="David" w:cs="David" w:hint="cs"/>
          <w:sz w:val="24"/>
          <w:szCs w:val="24"/>
          <w:rtl/>
        </w:rPr>
        <w:t>ביצוע מעשה הכנה</w:t>
      </w:r>
      <w:r>
        <w:rPr>
          <w:rFonts w:ascii="David" w:hAnsi="David" w:cs="David" w:hint="cs"/>
          <w:sz w:val="24"/>
          <w:szCs w:val="24"/>
          <w:rtl/>
        </w:rPr>
        <w:t xml:space="preserve"> ו</w:t>
      </w:r>
      <w:r w:rsidRPr="008B41FD">
        <w:rPr>
          <w:rFonts w:ascii="David" w:hAnsi="David" w:cs="David" w:hint="cs"/>
          <w:sz w:val="24"/>
          <w:szCs w:val="24"/>
          <w:rtl/>
        </w:rPr>
        <w:t>היעדר התגרות</w:t>
      </w:r>
      <w:r w:rsidRPr="008B41FD">
        <w:rPr>
          <w:rStyle w:val="a7"/>
          <w:rFonts w:cs="David"/>
          <w:sz w:val="24"/>
          <w:szCs w:val="24"/>
          <w:rtl/>
        </w:rPr>
        <w:footnoteReference w:id="3"/>
      </w:r>
      <w:r w:rsidRPr="008B41FD">
        <w:rPr>
          <w:rFonts w:ascii="David" w:hAnsi="David" w:cs="David" w:hint="cs"/>
          <w:sz w:val="24"/>
          <w:szCs w:val="24"/>
          <w:rtl/>
        </w:rPr>
        <w:t xml:space="preserve">. </w:t>
      </w:r>
    </w:p>
    <w:p w:rsidR="00664AD3" w:rsidRPr="00D51400" w:rsidRDefault="00664AD3" w:rsidP="00664AD3">
      <w:pPr>
        <w:spacing w:before="120" w:after="0" w:line="360" w:lineRule="auto"/>
        <w:jc w:val="both"/>
        <w:rPr>
          <w:rFonts w:cs="David"/>
          <w:sz w:val="24"/>
          <w:szCs w:val="24"/>
          <w:rtl/>
        </w:rPr>
      </w:pPr>
      <w:r w:rsidRPr="00017AB5">
        <w:rPr>
          <w:rFonts w:cs="David" w:hint="cs"/>
          <w:sz w:val="24"/>
          <w:szCs w:val="24"/>
          <w:rtl/>
        </w:rPr>
        <w:t>כפי שנראה להלן, הפסיקה בפרשנותה קירבה את יסודות "הכוונה תחילה" ליסוד הנפשי של כוונה, ויחד עם זאת עדיין קיים פער מסוים</w:t>
      </w:r>
      <w:r>
        <w:rPr>
          <w:rFonts w:cs="David" w:hint="cs"/>
          <w:sz w:val="24"/>
          <w:szCs w:val="24"/>
          <w:rtl/>
        </w:rPr>
        <w:t xml:space="preserve"> ביניהם</w:t>
      </w:r>
      <w:r w:rsidRPr="00017AB5">
        <w:rPr>
          <w:rFonts w:cs="David" w:hint="cs"/>
          <w:sz w:val="24"/>
          <w:szCs w:val="24"/>
          <w:rtl/>
        </w:rPr>
        <w:t>. נעמוד על כך בקצרה:</w:t>
      </w:r>
    </w:p>
    <w:p w:rsidR="00664AD3" w:rsidRPr="00D51400" w:rsidRDefault="00664AD3" w:rsidP="00664AD3">
      <w:pPr>
        <w:pStyle w:val="a3"/>
        <w:numPr>
          <w:ilvl w:val="0"/>
          <w:numId w:val="7"/>
        </w:numPr>
        <w:spacing w:before="120" w:after="0" w:line="360" w:lineRule="auto"/>
        <w:rPr>
          <w:rFonts w:cs="David"/>
          <w:b/>
          <w:bCs/>
          <w:sz w:val="24"/>
          <w:szCs w:val="24"/>
          <w:rtl/>
        </w:rPr>
      </w:pPr>
      <w:r w:rsidRPr="00D51400">
        <w:rPr>
          <w:rFonts w:cs="David" w:hint="cs"/>
          <w:b/>
          <w:bCs/>
          <w:sz w:val="24"/>
          <w:szCs w:val="24"/>
          <w:rtl/>
        </w:rPr>
        <w:t>החלטה להמית</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 xml:space="preserve">בפסיקה התעוררה השאלה מתי צריכה להתגבש ההחלטה, האם לפני המעשה או שזו יכולה להתגבש במהלכו. </w:t>
      </w:r>
      <w:r>
        <w:rPr>
          <w:rFonts w:cs="David" w:hint="cs"/>
          <w:sz w:val="24"/>
          <w:szCs w:val="24"/>
          <w:rtl/>
        </w:rPr>
        <w:t xml:space="preserve">השופט </w:t>
      </w:r>
      <w:r w:rsidRPr="008B41FD">
        <w:rPr>
          <w:rFonts w:cs="David" w:hint="cs"/>
          <w:sz w:val="24"/>
          <w:szCs w:val="24"/>
          <w:rtl/>
        </w:rPr>
        <w:t>אגרנט ב</w:t>
      </w:r>
      <w:r>
        <w:rPr>
          <w:rFonts w:cs="David" w:hint="cs"/>
          <w:sz w:val="24"/>
          <w:szCs w:val="24"/>
          <w:rtl/>
        </w:rPr>
        <w:t xml:space="preserve">עניין אברהם </w:t>
      </w:r>
      <w:r w:rsidRPr="008B41FD">
        <w:rPr>
          <w:rFonts w:cs="David" w:hint="cs"/>
          <w:sz w:val="24"/>
          <w:szCs w:val="24"/>
          <w:rtl/>
        </w:rPr>
        <w:t>בנו</w:t>
      </w:r>
      <w:r>
        <w:rPr>
          <w:rFonts w:cs="David" w:hint="cs"/>
          <w:sz w:val="24"/>
          <w:szCs w:val="24"/>
          <w:rtl/>
        </w:rPr>
        <w:t xml:space="preserve"> קבע שיסוד ההחלטה להמית</w:t>
      </w:r>
      <w:r>
        <w:rPr>
          <w:rStyle w:val="a7"/>
          <w:rFonts w:cs="David"/>
          <w:sz w:val="24"/>
          <w:szCs w:val="24"/>
          <w:rtl/>
        </w:rPr>
        <w:footnoteReference w:id="4"/>
      </w:r>
      <w:r w:rsidRPr="008B41FD">
        <w:rPr>
          <w:rFonts w:cs="David" w:hint="cs"/>
          <w:sz w:val="24"/>
          <w:szCs w:val="24"/>
          <w:rtl/>
        </w:rPr>
        <w:t>:</w:t>
      </w:r>
    </w:p>
    <w:p w:rsidR="00664AD3" w:rsidRPr="00D2345C" w:rsidRDefault="00664AD3" w:rsidP="00664AD3">
      <w:pPr>
        <w:pStyle w:val="ruller4"/>
        <w:spacing w:before="120"/>
        <w:ind w:left="851" w:right="851"/>
        <w:rPr>
          <w:rFonts w:cs="David"/>
          <w:b/>
          <w:bCs/>
          <w:sz w:val="24"/>
          <w:szCs w:val="24"/>
          <w:rtl/>
        </w:rPr>
      </w:pPr>
      <w:r w:rsidRPr="00D2345C">
        <w:rPr>
          <w:rFonts w:cs="David" w:hint="cs"/>
          <w:b/>
          <w:bCs/>
          <w:sz w:val="24"/>
          <w:szCs w:val="24"/>
          <w:rtl/>
        </w:rPr>
        <w:t>"</w:t>
      </w:r>
      <w:r>
        <w:rPr>
          <w:rFonts w:cs="David" w:hint="cs"/>
          <w:b/>
          <w:bCs/>
          <w:sz w:val="24"/>
          <w:szCs w:val="24"/>
          <w:rtl/>
        </w:rPr>
        <w:t xml:space="preserve">מצריך אך ורק </w:t>
      </w:r>
      <w:r w:rsidRPr="00D2345C">
        <w:rPr>
          <w:rFonts w:cs="David" w:hint="cs"/>
          <w:b/>
          <w:bCs/>
          <w:sz w:val="24"/>
          <w:szCs w:val="24"/>
          <w:rtl/>
        </w:rPr>
        <w:t>כי בשעה מעשה קיננה בלב העבריין כוונת קטילה ממשית</w:t>
      </w:r>
      <w:r>
        <w:rPr>
          <w:rFonts w:cs="David" w:hint="cs"/>
          <w:b/>
          <w:bCs/>
          <w:sz w:val="24"/>
          <w:szCs w:val="24"/>
          <w:rtl/>
        </w:rPr>
        <w:t>, זאת</w:t>
      </w:r>
      <w:r w:rsidRPr="00D2345C">
        <w:rPr>
          <w:rFonts w:cs="David" w:hint="cs"/>
          <w:b/>
          <w:bCs/>
          <w:sz w:val="24"/>
          <w:szCs w:val="24"/>
          <w:rtl/>
        </w:rPr>
        <w:t xml:space="preserve"> ותו לא."</w:t>
      </w:r>
    </w:p>
    <w:p w:rsidR="00664AD3" w:rsidRDefault="00664AD3" w:rsidP="00664AD3">
      <w:pPr>
        <w:spacing w:before="120" w:after="0" w:line="360" w:lineRule="auto"/>
        <w:jc w:val="both"/>
        <w:rPr>
          <w:rFonts w:cs="David"/>
          <w:sz w:val="24"/>
          <w:szCs w:val="24"/>
          <w:rtl/>
        </w:rPr>
      </w:pPr>
      <w:r>
        <w:rPr>
          <w:rFonts w:cs="David" w:hint="cs"/>
          <w:sz w:val="24"/>
          <w:szCs w:val="24"/>
          <w:rtl/>
        </w:rPr>
        <w:t xml:space="preserve">דהיינו, די בכוונת קטילה בשעת מעשה ולא נדרש להוכיח כוונה שהתגבשה מוקדם יותר. </w:t>
      </w:r>
    </w:p>
    <w:p w:rsidR="00664AD3" w:rsidRDefault="00664AD3" w:rsidP="00664AD3">
      <w:pPr>
        <w:spacing w:before="120" w:after="0" w:line="360" w:lineRule="auto"/>
        <w:jc w:val="both"/>
        <w:rPr>
          <w:rFonts w:cs="David"/>
          <w:sz w:val="24"/>
          <w:szCs w:val="24"/>
          <w:rtl/>
        </w:rPr>
      </w:pPr>
      <w:r w:rsidRPr="005849D0">
        <w:rPr>
          <w:rFonts w:cs="David" w:hint="cs"/>
          <w:sz w:val="24"/>
          <w:szCs w:val="24"/>
          <w:rtl/>
        </w:rPr>
        <w:t xml:space="preserve">פרופ' </w:t>
      </w:r>
      <w:proofErr w:type="spellStart"/>
      <w:r w:rsidRPr="005849D0">
        <w:rPr>
          <w:rFonts w:cs="David" w:hint="cs"/>
          <w:sz w:val="24"/>
          <w:szCs w:val="24"/>
          <w:rtl/>
        </w:rPr>
        <w:t>פלר</w:t>
      </w:r>
      <w:proofErr w:type="spellEnd"/>
      <w:r w:rsidRPr="005849D0">
        <w:rPr>
          <w:rFonts w:cs="David" w:hint="cs"/>
          <w:sz w:val="24"/>
          <w:szCs w:val="24"/>
          <w:rtl/>
        </w:rPr>
        <w:t xml:space="preserve"> מתח ביקורת על גישה זו, בסוברו כי ההחלטה להמית צריכה להעיד על כוונה מיוחדת שאינה כוונה ספונטאנית, אלא כוונה שנשקלה וגובשה לפני המעשה</w:t>
      </w:r>
      <w:r w:rsidRPr="005849D0">
        <w:rPr>
          <w:rStyle w:val="a7"/>
          <w:rFonts w:cs="David"/>
          <w:sz w:val="24"/>
          <w:szCs w:val="24"/>
          <w:rtl/>
        </w:rPr>
        <w:footnoteReference w:id="5"/>
      </w:r>
      <w:r w:rsidRPr="005849D0">
        <w:rPr>
          <w:rFonts w:cs="David" w:hint="cs"/>
          <w:sz w:val="24"/>
          <w:szCs w:val="24"/>
          <w:rtl/>
        </w:rPr>
        <w:t>.</w:t>
      </w:r>
      <w:r w:rsidRPr="00C16D0F">
        <w:rPr>
          <w:rFonts w:cs="David" w:hint="cs"/>
          <w:sz w:val="24"/>
          <w:szCs w:val="24"/>
          <w:rtl/>
        </w:rPr>
        <w:t xml:space="preserve"> </w:t>
      </w:r>
    </w:p>
    <w:p w:rsidR="00664AD3" w:rsidRDefault="00664AD3" w:rsidP="00664AD3">
      <w:pPr>
        <w:spacing w:before="120" w:after="0" w:line="360" w:lineRule="auto"/>
        <w:jc w:val="both"/>
        <w:rPr>
          <w:rFonts w:cs="David"/>
          <w:sz w:val="24"/>
          <w:szCs w:val="24"/>
          <w:rtl/>
        </w:rPr>
      </w:pPr>
      <w:r>
        <w:rPr>
          <w:rFonts w:cs="David" w:hint="cs"/>
          <w:sz w:val="24"/>
          <w:szCs w:val="24"/>
          <w:rtl/>
        </w:rPr>
        <w:t>יחד עם זאת, גם בפסיקה נקבע שאם לא הוכחה כוונת קטילה של ממש לא ניתן להסיק החלטה להמית ולא די לשם כך בהוכחת כוונה לפגוע בקורבן</w:t>
      </w:r>
      <w:r w:rsidRPr="00017AB5">
        <w:rPr>
          <w:rFonts w:cs="David" w:hint="cs"/>
          <w:sz w:val="24"/>
          <w:szCs w:val="24"/>
          <w:rtl/>
        </w:rPr>
        <w:t>. בשורה של פסקי דין קבעה הפסיקה שאף אם הייתה כוונה של ממש לפגוע בקורבן אך לא בהכרח להמיתו, לא ניתן להרשיע בעבירת הרצח.</w:t>
      </w:r>
      <w:r>
        <w:rPr>
          <w:rFonts w:cs="David" w:hint="cs"/>
          <w:sz w:val="24"/>
          <w:szCs w:val="24"/>
          <w:rtl/>
        </w:rPr>
        <w:t xml:space="preserve"> כך </w:t>
      </w:r>
      <w:r w:rsidRPr="008B41FD">
        <w:rPr>
          <w:rFonts w:cs="David" w:hint="cs"/>
          <w:sz w:val="24"/>
          <w:szCs w:val="24"/>
          <w:rtl/>
        </w:rPr>
        <w:t xml:space="preserve">למשל בפסה"ד בעניין </w:t>
      </w:r>
      <w:proofErr w:type="spellStart"/>
      <w:r w:rsidRPr="008B41FD">
        <w:rPr>
          <w:rFonts w:cs="David" w:hint="cs"/>
          <w:sz w:val="24"/>
          <w:szCs w:val="24"/>
          <w:rtl/>
        </w:rPr>
        <w:t>אנסטסיה</w:t>
      </w:r>
      <w:proofErr w:type="spellEnd"/>
      <w:r w:rsidRPr="008B41FD">
        <w:rPr>
          <w:rFonts w:cs="David" w:hint="cs"/>
          <w:sz w:val="24"/>
          <w:szCs w:val="24"/>
          <w:rtl/>
        </w:rPr>
        <w:t xml:space="preserve"> </w:t>
      </w:r>
      <w:proofErr w:type="spellStart"/>
      <w:r w:rsidRPr="008B41FD">
        <w:rPr>
          <w:rFonts w:cs="David" w:hint="cs"/>
          <w:sz w:val="24"/>
          <w:szCs w:val="24"/>
          <w:rtl/>
        </w:rPr>
        <w:t>מיקל</w:t>
      </w:r>
      <w:proofErr w:type="spellEnd"/>
      <w:r w:rsidRPr="008B41FD">
        <w:rPr>
          <w:rFonts w:cs="David" w:hint="cs"/>
          <w:sz w:val="24"/>
          <w:szCs w:val="24"/>
          <w:rtl/>
        </w:rPr>
        <w:t xml:space="preserve"> בו </w:t>
      </w:r>
      <w:r>
        <w:rPr>
          <w:rFonts w:cs="David" w:hint="cs"/>
          <w:sz w:val="24"/>
          <w:szCs w:val="24"/>
          <w:rtl/>
        </w:rPr>
        <w:t xml:space="preserve">הנאשמת </w:t>
      </w:r>
      <w:r w:rsidRPr="008B41FD">
        <w:rPr>
          <w:rFonts w:cs="David" w:hint="cs"/>
          <w:sz w:val="24"/>
          <w:szCs w:val="24"/>
          <w:rtl/>
        </w:rPr>
        <w:t>דקרה את הנאשם ליד ליבו</w:t>
      </w:r>
      <w:r>
        <w:rPr>
          <w:rFonts w:cs="David" w:hint="cs"/>
          <w:sz w:val="24"/>
          <w:szCs w:val="24"/>
          <w:rtl/>
        </w:rPr>
        <w:t>, בית המשפט הרשיעה בעבירת הריגה ולא ברצח משום ש</w:t>
      </w:r>
      <w:r w:rsidRPr="008B41FD">
        <w:rPr>
          <w:rFonts w:cs="David" w:hint="cs"/>
          <w:sz w:val="24"/>
          <w:szCs w:val="24"/>
          <w:rtl/>
        </w:rPr>
        <w:t>התעו</w:t>
      </w:r>
      <w:r>
        <w:rPr>
          <w:rFonts w:cs="David" w:hint="cs"/>
          <w:sz w:val="24"/>
          <w:szCs w:val="24"/>
          <w:rtl/>
        </w:rPr>
        <w:t>רר ספק אם אכן התכוונה להמיתו</w:t>
      </w:r>
      <w:r w:rsidRPr="008B41FD">
        <w:rPr>
          <w:rStyle w:val="a7"/>
          <w:rFonts w:cs="David"/>
          <w:sz w:val="24"/>
          <w:szCs w:val="24"/>
          <w:rtl/>
        </w:rPr>
        <w:footnoteReference w:id="6"/>
      </w:r>
      <w:r w:rsidRPr="008B41FD">
        <w:rPr>
          <w:rFonts w:cs="David" w:hint="cs"/>
          <w:sz w:val="24"/>
          <w:szCs w:val="24"/>
          <w:rtl/>
        </w:rPr>
        <w:t>.</w:t>
      </w:r>
      <w:r>
        <w:rPr>
          <w:rFonts w:cs="David" w:hint="cs"/>
          <w:sz w:val="24"/>
          <w:szCs w:val="24"/>
          <w:rtl/>
        </w:rPr>
        <w:t xml:space="preserve"> </w:t>
      </w:r>
    </w:p>
    <w:p w:rsidR="00664AD3" w:rsidRPr="00940593" w:rsidRDefault="00664AD3" w:rsidP="00664AD3">
      <w:pPr>
        <w:spacing w:before="120" w:after="0" w:line="360" w:lineRule="auto"/>
        <w:jc w:val="both"/>
        <w:rPr>
          <w:highlight w:val="yellow"/>
          <w:rtl/>
        </w:rPr>
      </w:pPr>
      <w:r>
        <w:rPr>
          <w:rFonts w:cs="David" w:hint="cs"/>
          <w:sz w:val="24"/>
          <w:szCs w:val="24"/>
          <w:rtl/>
        </w:rPr>
        <w:lastRenderedPageBreak/>
        <w:t>כך גם בעניין טורק, הורשע הממית בעבירת הריגה ולא ברצח למרות שירה במנוח מספר פעמים מטווח קרוב וזאת, בשל הספק שהתעורר שמא התכוון רק לפגוע בו ולא להמיתו</w:t>
      </w:r>
      <w:r>
        <w:rPr>
          <w:rStyle w:val="a7"/>
          <w:rFonts w:cs="David"/>
          <w:sz w:val="24"/>
          <w:szCs w:val="24"/>
          <w:rtl/>
        </w:rPr>
        <w:footnoteReference w:id="7"/>
      </w:r>
      <w:r>
        <w:rPr>
          <w:rFonts w:cs="David" w:hint="cs"/>
          <w:sz w:val="24"/>
          <w:szCs w:val="24"/>
          <w:rtl/>
        </w:rPr>
        <w:t xml:space="preserve">. </w:t>
      </w:r>
    </w:p>
    <w:p w:rsidR="00664AD3" w:rsidRPr="008B41FD" w:rsidRDefault="00664AD3" w:rsidP="00664AD3">
      <w:pPr>
        <w:spacing w:before="120" w:after="0" w:line="360" w:lineRule="auto"/>
        <w:rPr>
          <w:rFonts w:cs="David"/>
          <w:b/>
          <w:bCs/>
          <w:sz w:val="24"/>
          <w:szCs w:val="24"/>
          <w:rtl/>
        </w:rPr>
      </w:pPr>
      <w:r>
        <w:rPr>
          <w:rFonts w:cs="David" w:hint="cs"/>
          <w:b/>
          <w:bCs/>
          <w:sz w:val="24"/>
          <w:szCs w:val="24"/>
          <w:rtl/>
        </w:rPr>
        <w:t xml:space="preserve">2. </w:t>
      </w:r>
      <w:r w:rsidRPr="008B41FD">
        <w:rPr>
          <w:rFonts w:cs="David" w:hint="cs"/>
          <w:b/>
          <w:bCs/>
          <w:sz w:val="24"/>
          <w:szCs w:val="24"/>
          <w:rtl/>
        </w:rPr>
        <w:t>מעשה הכנה</w:t>
      </w:r>
    </w:p>
    <w:p w:rsidR="00664AD3" w:rsidRDefault="00664AD3" w:rsidP="00664AD3">
      <w:pPr>
        <w:spacing w:before="120" w:line="360" w:lineRule="auto"/>
        <w:jc w:val="both"/>
        <w:rPr>
          <w:rFonts w:cs="David"/>
          <w:sz w:val="24"/>
          <w:szCs w:val="24"/>
          <w:rtl/>
        </w:rPr>
      </w:pPr>
      <w:r>
        <w:rPr>
          <w:rStyle w:val="default"/>
          <w:rFonts w:cs="David" w:hint="cs"/>
          <w:sz w:val="24"/>
          <w:szCs w:val="24"/>
          <w:rtl/>
        </w:rPr>
        <w:t>הדרישה שהמעשה בוצע "</w:t>
      </w:r>
      <w:r w:rsidRPr="008B41FD">
        <w:rPr>
          <w:rStyle w:val="default"/>
          <w:rFonts w:cs="David" w:hint="cs"/>
          <w:sz w:val="24"/>
          <w:szCs w:val="24"/>
          <w:rtl/>
        </w:rPr>
        <w:t>לאחר שהכין עצמו להמית אותו או שהכין מכשיר שבו המית אותו</w:t>
      </w:r>
      <w:r>
        <w:rPr>
          <w:rStyle w:val="default"/>
          <w:rFonts w:cs="David" w:hint="cs"/>
          <w:sz w:val="24"/>
          <w:szCs w:val="24"/>
          <w:rtl/>
        </w:rPr>
        <w:t xml:space="preserve">" </w:t>
      </w:r>
      <w:r>
        <w:rPr>
          <w:rFonts w:cs="David" w:hint="cs"/>
          <w:sz w:val="24"/>
          <w:szCs w:val="24"/>
          <w:rtl/>
        </w:rPr>
        <w:t xml:space="preserve"> פורש </w:t>
      </w:r>
      <w:r w:rsidRPr="008B41FD">
        <w:rPr>
          <w:rFonts w:cs="David" w:hint="cs"/>
          <w:sz w:val="24"/>
          <w:szCs w:val="24"/>
          <w:rtl/>
        </w:rPr>
        <w:t xml:space="preserve">בפסיקה </w:t>
      </w:r>
      <w:r>
        <w:rPr>
          <w:rFonts w:cs="David" w:hint="cs"/>
          <w:sz w:val="24"/>
          <w:szCs w:val="24"/>
          <w:rtl/>
        </w:rPr>
        <w:t xml:space="preserve">כאלמנט </w:t>
      </w:r>
      <w:r w:rsidRPr="008B41FD">
        <w:rPr>
          <w:rFonts w:cs="David" w:hint="cs"/>
          <w:sz w:val="24"/>
          <w:szCs w:val="24"/>
          <w:rtl/>
        </w:rPr>
        <w:t>פי</w:t>
      </w:r>
      <w:r>
        <w:rPr>
          <w:rFonts w:cs="David" w:hint="cs"/>
          <w:sz w:val="24"/>
          <w:szCs w:val="24"/>
          <w:rtl/>
        </w:rPr>
        <w:t>זי, למרות שנועד לשמש לבחינת הלך המחשבה של המבצע</w:t>
      </w:r>
      <w:r w:rsidRPr="008B41FD">
        <w:rPr>
          <w:rFonts w:cs="David" w:hint="cs"/>
          <w:sz w:val="24"/>
          <w:szCs w:val="24"/>
          <w:rtl/>
        </w:rPr>
        <w:t xml:space="preserve">. </w:t>
      </w:r>
    </w:p>
    <w:p w:rsidR="00664AD3" w:rsidRPr="008B41FD" w:rsidRDefault="00664AD3" w:rsidP="00664AD3">
      <w:pPr>
        <w:spacing w:before="120" w:after="0" w:line="360" w:lineRule="auto"/>
        <w:jc w:val="both"/>
        <w:rPr>
          <w:rFonts w:cs="David"/>
          <w:sz w:val="24"/>
          <w:szCs w:val="24"/>
          <w:rtl/>
        </w:rPr>
      </w:pPr>
      <w:r>
        <w:rPr>
          <w:rFonts w:cs="David" w:hint="cs"/>
          <w:sz w:val="24"/>
          <w:szCs w:val="24"/>
          <w:rtl/>
        </w:rPr>
        <w:t xml:space="preserve">גם ליסוד זה ניתנה פרשנות מצמצת בפסיקה, כפי שקבע השופט </w:t>
      </w:r>
      <w:r w:rsidRPr="008B41FD">
        <w:rPr>
          <w:rFonts w:cs="David" w:hint="cs"/>
          <w:sz w:val="24"/>
          <w:szCs w:val="24"/>
          <w:rtl/>
        </w:rPr>
        <w:t>אגרנט בפס"ד בעניין נעים בנו</w:t>
      </w:r>
      <w:r w:rsidRPr="008B41FD">
        <w:rPr>
          <w:rStyle w:val="a7"/>
          <w:rFonts w:cs="David"/>
          <w:sz w:val="24"/>
          <w:szCs w:val="24"/>
          <w:rtl/>
        </w:rPr>
        <w:footnoteReference w:id="8"/>
      </w:r>
      <w:r w:rsidRPr="008B41FD">
        <w:rPr>
          <w:rFonts w:cs="David" w:hint="cs"/>
          <w:sz w:val="24"/>
          <w:szCs w:val="24"/>
          <w:rtl/>
        </w:rPr>
        <w:t>:</w:t>
      </w:r>
    </w:p>
    <w:p w:rsidR="00664AD3" w:rsidRPr="008B41FD" w:rsidRDefault="00664AD3" w:rsidP="00664AD3">
      <w:pPr>
        <w:spacing w:before="120" w:after="0" w:line="360" w:lineRule="auto"/>
        <w:ind w:left="680" w:right="680"/>
        <w:jc w:val="both"/>
        <w:rPr>
          <w:rFonts w:cs="David"/>
          <w:b/>
          <w:bCs/>
          <w:sz w:val="24"/>
          <w:szCs w:val="24"/>
          <w:rtl/>
        </w:rPr>
      </w:pPr>
      <w:r w:rsidRPr="008B41FD">
        <w:rPr>
          <w:rFonts w:cs="David" w:hint="cs"/>
          <w:b/>
          <w:bCs/>
          <w:sz w:val="24"/>
          <w:szCs w:val="24"/>
          <w:rtl/>
        </w:rPr>
        <w:t>"יכול שיסוד ההכנה יוכח על-ידי אותן הפעולות של הנאשם, המהוות חלק ממערכת פעולות הקטילה גופן".</w:t>
      </w:r>
    </w:p>
    <w:p w:rsidR="00664AD3" w:rsidRDefault="00664AD3" w:rsidP="00664AD3">
      <w:pPr>
        <w:spacing w:before="120" w:after="0" w:line="360" w:lineRule="auto"/>
        <w:jc w:val="both"/>
        <w:rPr>
          <w:rFonts w:cs="David"/>
          <w:sz w:val="24"/>
          <w:szCs w:val="24"/>
          <w:rtl/>
        </w:rPr>
      </w:pPr>
      <w:r>
        <w:rPr>
          <w:rFonts w:cs="David" w:hint="cs"/>
          <w:sz w:val="24"/>
          <w:szCs w:val="24"/>
          <w:rtl/>
        </w:rPr>
        <w:t>כלומר, הפסיקה הסתפקה בפעולות שהן חלק מביצוע המעשה כגון הנפת כלי הרצח וכדומה.</w:t>
      </w:r>
    </w:p>
    <w:p w:rsidR="00664AD3" w:rsidRPr="008B41FD" w:rsidRDefault="00664AD3" w:rsidP="00664AD3">
      <w:pPr>
        <w:spacing w:before="120" w:after="0" w:line="360" w:lineRule="auto"/>
        <w:jc w:val="both"/>
        <w:rPr>
          <w:rFonts w:cs="David"/>
          <w:sz w:val="24"/>
          <w:szCs w:val="24"/>
          <w:rtl/>
        </w:rPr>
      </w:pPr>
      <w:r>
        <w:rPr>
          <w:rFonts w:cs="David" w:hint="cs"/>
          <w:sz w:val="24"/>
          <w:szCs w:val="24"/>
          <w:rtl/>
        </w:rPr>
        <w:t>גם בעניין זה נמתחה ביקורת בספרות, ואולם הפרשנות המצמצמת השתרשה בפסיקת בתי המשפט. כפי ש</w:t>
      </w:r>
      <w:r w:rsidRPr="008B41FD">
        <w:rPr>
          <w:rFonts w:cs="David" w:hint="cs"/>
          <w:sz w:val="24"/>
          <w:szCs w:val="24"/>
          <w:rtl/>
        </w:rPr>
        <w:t>עמדה על כך השופטת בייניש בפסה"ד בעניין כלב</w:t>
      </w:r>
      <w:r w:rsidRPr="008B41FD">
        <w:rPr>
          <w:rStyle w:val="a7"/>
          <w:rFonts w:cs="David"/>
          <w:sz w:val="24"/>
          <w:szCs w:val="24"/>
          <w:rtl/>
        </w:rPr>
        <w:footnoteReference w:id="9"/>
      </w:r>
      <w:r w:rsidRPr="008B41FD">
        <w:rPr>
          <w:rFonts w:cs="David" w:hint="cs"/>
          <w:sz w:val="24"/>
          <w:szCs w:val="24"/>
          <w:rtl/>
        </w:rPr>
        <w:t>:</w:t>
      </w:r>
    </w:p>
    <w:p w:rsidR="00664AD3" w:rsidRPr="008B41FD" w:rsidRDefault="00664AD3" w:rsidP="00664AD3">
      <w:pPr>
        <w:spacing w:before="120" w:after="0" w:line="360" w:lineRule="auto"/>
        <w:ind w:left="680" w:right="680"/>
        <w:jc w:val="both"/>
        <w:rPr>
          <w:rFonts w:cs="David"/>
          <w:b/>
          <w:bCs/>
          <w:sz w:val="24"/>
          <w:szCs w:val="24"/>
          <w:rtl/>
        </w:rPr>
      </w:pPr>
      <w:r w:rsidRPr="006917D7">
        <w:rPr>
          <w:rFonts w:cs="David" w:hint="cs"/>
          <w:b/>
          <w:bCs/>
          <w:sz w:val="24"/>
          <w:szCs w:val="24"/>
          <w:rtl/>
        </w:rPr>
        <w:t xml:space="preserve">" יסוד ההכנה פורש בפסיקת בית-משפט זה כיסוד פיזי מובהק, שעניינו ההכנה למעשה ההמתה </w:t>
      </w:r>
      <w:r w:rsidRPr="008B41FD">
        <w:rPr>
          <w:rFonts w:cs="David" w:hint="cs"/>
          <w:b/>
          <w:bCs/>
          <w:sz w:val="24"/>
          <w:szCs w:val="24"/>
          <w:rtl/>
        </w:rPr>
        <w:t>או הכנת הכלי המשמש לביצוע הרצח. כפי שציין בית-משפט קמא,  יסוד ההכנה התקיים במקרה דנן בכך שהמערער נטל את האלה ממקומה במחסן והניפה באוויר....".</w:t>
      </w:r>
    </w:p>
    <w:p w:rsidR="00664AD3" w:rsidRPr="008B41FD" w:rsidRDefault="00664AD3" w:rsidP="00664AD3">
      <w:pPr>
        <w:spacing w:before="120" w:after="0" w:line="360" w:lineRule="auto"/>
        <w:rPr>
          <w:rFonts w:cs="David"/>
          <w:b/>
          <w:bCs/>
          <w:sz w:val="24"/>
          <w:szCs w:val="24"/>
          <w:rtl/>
        </w:rPr>
      </w:pPr>
    </w:p>
    <w:p w:rsidR="00664AD3" w:rsidRDefault="00664AD3" w:rsidP="00664AD3">
      <w:pPr>
        <w:spacing w:before="120" w:after="0" w:line="360" w:lineRule="auto"/>
        <w:rPr>
          <w:rFonts w:cs="David"/>
          <w:b/>
          <w:bCs/>
          <w:sz w:val="24"/>
          <w:szCs w:val="24"/>
          <w:rtl/>
        </w:rPr>
      </w:pPr>
      <w:r>
        <w:rPr>
          <w:rFonts w:cs="David" w:hint="cs"/>
          <w:b/>
          <w:bCs/>
          <w:sz w:val="24"/>
          <w:szCs w:val="24"/>
          <w:rtl/>
        </w:rPr>
        <w:t>3.</w:t>
      </w:r>
      <w:r w:rsidRPr="008B41FD">
        <w:rPr>
          <w:rFonts w:cs="David" w:hint="cs"/>
          <w:b/>
          <w:bCs/>
          <w:sz w:val="24"/>
          <w:szCs w:val="24"/>
          <w:rtl/>
        </w:rPr>
        <w:t>היעדר התגרות (היעדר קנטור)</w:t>
      </w:r>
    </w:p>
    <w:p w:rsidR="00664AD3" w:rsidRPr="008B41FD" w:rsidRDefault="00664AD3" w:rsidP="00664AD3">
      <w:pPr>
        <w:spacing w:before="120" w:line="360" w:lineRule="auto"/>
        <w:jc w:val="both"/>
        <w:rPr>
          <w:rStyle w:val="default"/>
          <w:rFonts w:cs="David"/>
          <w:sz w:val="24"/>
          <w:szCs w:val="24"/>
          <w:rtl/>
        </w:rPr>
      </w:pPr>
      <w:r w:rsidRPr="008B41FD">
        <w:rPr>
          <w:rFonts w:cs="David" w:hint="cs"/>
          <w:sz w:val="24"/>
          <w:szCs w:val="24"/>
          <w:rtl/>
        </w:rPr>
        <w:t>כאמור, היסוד השלישי הינו היעדר קנטור בטרם ביצוע מעשה ההמתה</w:t>
      </w:r>
      <w:r>
        <w:rPr>
          <w:rFonts w:cs="David" w:hint="cs"/>
          <w:sz w:val="24"/>
          <w:szCs w:val="24"/>
          <w:rtl/>
        </w:rPr>
        <w:t xml:space="preserve"> </w:t>
      </w:r>
      <w:r>
        <w:rPr>
          <w:rFonts w:cs="David" w:hint="eastAsia"/>
          <w:sz w:val="24"/>
          <w:szCs w:val="24"/>
          <w:rtl/>
        </w:rPr>
        <w:t>–</w:t>
      </w:r>
      <w:r w:rsidRPr="008B41FD">
        <w:rPr>
          <w:rFonts w:cs="David" w:hint="cs"/>
          <w:sz w:val="24"/>
          <w:szCs w:val="24"/>
          <w:rtl/>
        </w:rPr>
        <w:t xml:space="preserve"> </w:t>
      </w:r>
      <w:r>
        <w:rPr>
          <w:rStyle w:val="default"/>
          <w:rFonts w:cs="David" w:hint="cs"/>
          <w:sz w:val="24"/>
          <w:szCs w:val="24"/>
          <w:rtl/>
        </w:rPr>
        <w:t>"</w:t>
      </w:r>
      <w:r w:rsidRPr="008B41FD">
        <w:rPr>
          <w:rStyle w:val="default"/>
          <w:rFonts w:cs="David" w:hint="cs"/>
          <w:sz w:val="24"/>
          <w:szCs w:val="24"/>
          <w:rtl/>
        </w:rPr>
        <w:t>וה</w:t>
      </w:r>
      <w:r w:rsidRPr="008B41FD">
        <w:rPr>
          <w:rStyle w:val="default"/>
          <w:rFonts w:cs="David"/>
          <w:sz w:val="24"/>
          <w:szCs w:val="24"/>
          <w:rtl/>
        </w:rPr>
        <w:t>מ</w:t>
      </w:r>
      <w:r w:rsidRPr="008B41FD">
        <w:rPr>
          <w:rStyle w:val="default"/>
          <w:rFonts w:cs="David" w:hint="cs"/>
          <w:sz w:val="24"/>
          <w:szCs w:val="24"/>
          <w:rtl/>
        </w:rPr>
        <w:t>יתו בדם קר, בלי שקדמה התגרות בתכוף למעשה, בנ</w:t>
      </w:r>
      <w:r w:rsidRPr="008B41FD">
        <w:rPr>
          <w:rStyle w:val="default"/>
          <w:rFonts w:cs="David"/>
          <w:sz w:val="24"/>
          <w:szCs w:val="24"/>
          <w:rtl/>
        </w:rPr>
        <w:t>ס</w:t>
      </w:r>
      <w:r w:rsidRPr="008B41FD">
        <w:rPr>
          <w:rStyle w:val="default"/>
          <w:rFonts w:cs="David" w:hint="cs"/>
          <w:sz w:val="24"/>
          <w:szCs w:val="24"/>
          <w:rtl/>
        </w:rPr>
        <w:t>י</w:t>
      </w:r>
      <w:r w:rsidRPr="008B41FD">
        <w:rPr>
          <w:rStyle w:val="default"/>
          <w:rFonts w:cs="David"/>
          <w:sz w:val="24"/>
          <w:szCs w:val="24"/>
          <w:rtl/>
        </w:rPr>
        <w:t>ב</w:t>
      </w:r>
      <w:r w:rsidRPr="008B41FD">
        <w:rPr>
          <w:rStyle w:val="default"/>
          <w:rFonts w:cs="David" w:hint="cs"/>
          <w:sz w:val="24"/>
          <w:szCs w:val="24"/>
          <w:rtl/>
        </w:rPr>
        <w:t>ות שבהן יכול לחשוב ולהבין את תוצא</w:t>
      </w:r>
      <w:r w:rsidRPr="008B41FD">
        <w:rPr>
          <w:rStyle w:val="default"/>
          <w:rFonts w:cs="David"/>
          <w:sz w:val="24"/>
          <w:szCs w:val="24"/>
          <w:rtl/>
        </w:rPr>
        <w:t>ות</w:t>
      </w:r>
      <w:r w:rsidRPr="008B41FD">
        <w:rPr>
          <w:rStyle w:val="default"/>
          <w:rFonts w:cs="David" w:hint="cs"/>
          <w:sz w:val="24"/>
          <w:szCs w:val="24"/>
          <w:rtl/>
        </w:rPr>
        <w:t xml:space="preserve"> מ</w:t>
      </w:r>
      <w:r w:rsidRPr="008B41FD">
        <w:rPr>
          <w:rStyle w:val="default"/>
          <w:rFonts w:cs="David"/>
          <w:sz w:val="24"/>
          <w:szCs w:val="24"/>
          <w:rtl/>
        </w:rPr>
        <w:t>עש</w:t>
      </w:r>
      <w:r w:rsidRPr="008B41FD">
        <w:rPr>
          <w:rStyle w:val="default"/>
          <w:rFonts w:cs="David" w:hint="cs"/>
          <w:sz w:val="24"/>
          <w:szCs w:val="24"/>
          <w:rtl/>
        </w:rPr>
        <w:t>יו</w:t>
      </w:r>
      <w:r>
        <w:rPr>
          <w:rStyle w:val="default"/>
          <w:rFonts w:cs="David" w:hint="cs"/>
          <w:sz w:val="24"/>
          <w:szCs w:val="24"/>
          <w:rtl/>
        </w:rPr>
        <w:t>"</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שאלה זו הינה השאלה המרכזית במסגרת בחינת הכוונה תחילה, שכן, היא זו שיוצרת את ההבחנה העיקרית בין כוונה "רגילה" (אז לא ניתן להרשיע ברצח, אלא בהריגה בלבד) לבין "כוונה תחילה"</w:t>
      </w:r>
      <w:r w:rsidRPr="008B41FD">
        <w:rPr>
          <w:rStyle w:val="a7"/>
          <w:rFonts w:cs="David"/>
          <w:sz w:val="24"/>
          <w:szCs w:val="24"/>
          <w:rtl/>
        </w:rPr>
        <w:footnoteReference w:id="10"/>
      </w:r>
      <w:r w:rsidRPr="008B41FD">
        <w:rPr>
          <w:rFonts w:cs="David" w:hint="cs"/>
          <w:sz w:val="24"/>
          <w:szCs w:val="24"/>
          <w:rtl/>
        </w:rPr>
        <w:t>.</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יסוד זה התפרש בפסיקה כמחיל שני מבחנים, סובייקטיבי ואובייקטיבי, כמבחנים מצטברים</w:t>
      </w:r>
      <w:r w:rsidRPr="008B41FD">
        <w:rPr>
          <w:rStyle w:val="a7"/>
          <w:rFonts w:cs="David"/>
          <w:sz w:val="24"/>
          <w:szCs w:val="24"/>
          <w:rtl/>
        </w:rPr>
        <w:footnoteReference w:id="11"/>
      </w:r>
      <w:r w:rsidRPr="008B41FD">
        <w:rPr>
          <w:rFonts w:cs="David" w:hint="cs"/>
          <w:sz w:val="24"/>
          <w:szCs w:val="24"/>
          <w:rtl/>
        </w:rPr>
        <w:t xml:space="preserve">. </w:t>
      </w:r>
    </w:p>
    <w:p w:rsidR="00664AD3" w:rsidRPr="008B41FD" w:rsidRDefault="00664AD3" w:rsidP="00664AD3">
      <w:pPr>
        <w:spacing w:before="120" w:after="0" w:line="360" w:lineRule="auto"/>
        <w:rPr>
          <w:rFonts w:cs="David"/>
          <w:sz w:val="24"/>
          <w:szCs w:val="24"/>
          <w:rtl/>
        </w:rPr>
      </w:pPr>
      <w:r w:rsidRPr="008B41FD">
        <w:rPr>
          <w:rFonts w:cs="David" w:hint="cs"/>
          <w:sz w:val="24"/>
          <w:szCs w:val="24"/>
          <w:rtl/>
        </w:rPr>
        <w:t xml:space="preserve">המבחן הסובייקטיבי </w:t>
      </w:r>
      <w:r>
        <w:rPr>
          <w:rFonts w:cs="David" w:hint="cs"/>
          <w:sz w:val="24"/>
          <w:szCs w:val="24"/>
          <w:rtl/>
        </w:rPr>
        <w:t>מתאפיין ב</w:t>
      </w:r>
      <w:r w:rsidRPr="008B41FD">
        <w:rPr>
          <w:rFonts w:cs="David" w:hint="cs"/>
          <w:sz w:val="24"/>
          <w:szCs w:val="24"/>
          <w:rtl/>
        </w:rPr>
        <w:t>היעדר שליטה עצמית שנגרם על ידי ההתגרות</w:t>
      </w:r>
      <w:r>
        <w:rPr>
          <w:rFonts w:cs="David" w:hint="cs"/>
          <w:sz w:val="24"/>
          <w:szCs w:val="24"/>
          <w:rtl/>
        </w:rPr>
        <w:t>:</w:t>
      </w:r>
    </w:p>
    <w:p w:rsidR="00664AD3" w:rsidRPr="008B41FD" w:rsidRDefault="00664AD3" w:rsidP="00664AD3">
      <w:pPr>
        <w:spacing w:before="120" w:after="0" w:line="360" w:lineRule="auto"/>
        <w:ind w:left="680" w:right="680"/>
        <w:jc w:val="both"/>
        <w:rPr>
          <w:rFonts w:cs="David"/>
          <w:b/>
          <w:bCs/>
          <w:sz w:val="24"/>
          <w:szCs w:val="24"/>
          <w:rtl/>
        </w:rPr>
      </w:pPr>
      <w:r w:rsidRPr="008B41FD">
        <w:rPr>
          <w:rFonts w:cs="David" w:hint="cs"/>
          <w:b/>
          <w:bCs/>
          <w:sz w:val="24"/>
          <w:szCs w:val="24"/>
          <w:rtl/>
        </w:rPr>
        <w:t xml:space="preserve">"אם ההתנהגות </w:t>
      </w:r>
      <w:r>
        <w:rPr>
          <w:rFonts w:cs="David" w:hint="cs"/>
          <w:b/>
          <w:bCs/>
          <w:sz w:val="24"/>
          <w:szCs w:val="24"/>
          <w:rtl/>
        </w:rPr>
        <w:t xml:space="preserve">המקנטרת </w:t>
      </w:r>
      <w:r w:rsidRPr="008B41FD">
        <w:rPr>
          <w:rFonts w:cs="David" w:hint="cs"/>
          <w:b/>
          <w:bCs/>
          <w:sz w:val="24"/>
          <w:szCs w:val="24"/>
          <w:rtl/>
        </w:rPr>
        <w:t xml:space="preserve">השפיעה בפועל על הנאשם"... </w:t>
      </w:r>
      <w:r w:rsidRPr="005754C5">
        <w:rPr>
          <w:rFonts w:cs="David" w:hint="cs"/>
          <w:sz w:val="24"/>
          <w:szCs w:val="24"/>
          <w:rtl/>
        </w:rPr>
        <w:t>באופן שגרם לו</w:t>
      </w:r>
      <w:r w:rsidRPr="008B41FD">
        <w:rPr>
          <w:rFonts w:cs="David" w:hint="cs"/>
          <w:b/>
          <w:bCs/>
          <w:sz w:val="24"/>
          <w:szCs w:val="24"/>
          <w:rtl/>
        </w:rPr>
        <w:t xml:space="preserve"> "לאיבוד שליטתו העצמית, כך שביצע את המעשה הקטלני בלי לחשוב על תוצאות מעשהו</w:t>
      </w:r>
      <w:r>
        <w:rPr>
          <w:rStyle w:val="a7"/>
          <w:rFonts w:cs="David"/>
          <w:b/>
          <w:bCs/>
          <w:sz w:val="24"/>
          <w:szCs w:val="24"/>
          <w:rtl/>
        </w:rPr>
        <w:footnoteReference w:id="12"/>
      </w:r>
      <w:r w:rsidRPr="008B41FD">
        <w:rPr>
          <w:rFonts w:cs="David" w:hint="cs"/>
          <w:b/>
          <w:bCs/>
          <w:sz w:val="24"/>
          <w:szCs w:val="24"/>
          <w:rtl/>
        </w:rPr>
        <w:t>."</w:t>
      </w:r>
    </w:p>
    <w:p w:rsidR="00664AD3" w:rsidRPr="008B41FD" w:rsidRDefault="00664AD3" w:rsidP="00664AD3">
      <w:pPr>
        <w:spacing w:before="120" w:after="0" w:line="360" w:lineRule="auto"/>
        <w:jc w:val="both"/>
        <w:rPr>
          <w:rFonts w:cs="David"/>
          <w:sz w:val="24"/>
          <w:szCs w:val="24"/>
          <w:rtl/>
        </w:rPr>
      </w:pPr>
      <w:r>
        <w:rPr>
          <w:rFonts w:cs="David" w:hint="cs"/>
          <w:sz w:val="24"/>
          <w:szCs w:val="24"/>
          <w:rtl/>
        </w:rPr>
        <w:lastRenderedPageBreak/>
        <w:t>הכוונה ל</w:t>
      </w:r>
      <w:r w:rsidRPr="008B41FD">
        <w:rPr>
          <w:rFonts w:cs="David" w:hint="cs"/>
          <w:sz w:val="24"/>
          <w:szCs w:val="24"/>
          <w:rtl/>
        </w:rPr>
        <w:t xml:space="preserve">מצבים בהם </w:t>
      </w:r>
      <w:r>
        <w:rPr>
          <w:rFonts w:cs="David" w:hint="cs"/>
          <w:sz w:val="24"/>
          <w:szCs w:val="24"/>
          <w:rtl/>
        </w:rPr>
        <w:t xml:space="preserve">בשל </w:t>
      </w:r>
      <w:r w:rsidRPr="008B41FD">
        <w:rPr>
          <w:rFonts w:cs="David" w:hint="cs"/>
          <w:sz w:val="24"/>
          <w:szCs w:val="24"/>
          <w:rtl/>
        </w:rPr>
        <w:t xml:space="preserve">סערת רוחו נחלשו מעצוריו הנפשיים </w:t>
      </w:r>
      <w:r>
        <w:rPr>
          <w:rFonts w:cs="David" w:hint="cs"/>
          <w:sz w:val="24"/>
          <w:szCs w:val="24"/>
          <w:rtl/>
        </w:rPr>
        <w:t xml:space="preserve">של הנאשם </w:t>
      </w:r>
      <w:r w:rsidRPr="008B41FD">
        <w:rPr>
          <w:rFonts w:cs="David" w:hint="cs"/>
          <w:sz w:val="24"/>
          <w:szCs w:val="24"/>
          <w:rtl/>
        </w:rPr>
        <w:t>עד שלא שקל והעריך מוסרית את התוצאה הקטלנית, כלומר שהמצב הנפשי התגבש באופן ספונטני, ללא שיקול ויישוב דעת</w:t>
      </w:r>
      <w:r w:rsidRPr="008B41FD">
        <w:rPr>
          <w:rStyle w:val="a7"/>
          <w:rFonts w:cs="David"/>
          <w:sz w:val="24"/>
          <w:szCs w:val="24"/>
          <w:rtl/>
        </w:rPr>
        <w:footnoteReference w:id="13"/>
      </w:r>
      <w:r w:rsidRPr="008B41FD">
        <w:rPr>
          <w:rFonts w:cs="David" w:hint="cs"/>
          <w:sz w:val="24"/>
          <w:szCs w:val="24"/>
          <w:rtl/>
        </w:rPr>
        <w:t xml:space="preserve">. </w:t>
      </w:r>
    </w:p>
    <w:p w:rsidR="00664AD3" w:rsidRPr="00556793" w:rsidRDefault="00664AD3" w:rsidP="00664AD3">
      <w:pPr>
        <w:spacing w:before="120" w:after="0" w:line="360" w:lineRule="auto"/>
        <w:jc w:val="both"/>
        <w:rPr>
          <w:rFonts w:cs="David"/>
          <w:b/>
          <w:bCs/>
          <w:sz w:val="24"/>
          <w:szCs w:val="24"/>
          <w:rtl/>
        </w:rPr>
      </w:pPr>
      <w:r w:rsidRPr="008B41FD">
        <w:rPr>
          <w:rFonts w:cs="David" w:hint="cs"/>
          <w:sz w:val="24"/>
          <w:szCs w:val="24"/>
          <w:rtl/>
        </w:rPr>
        <w:t xml:space="preserve">המבחן האובייקטיבי </w:t>
      </w:r>
      <w:r>
        <w:rPr>
          <w:rFonts w:cs="David" w:hint="cs"/>
          <w:sz w:val="24"/>
          <w:szCs w:val="24"/>
          <w:rtl/>
        </w:rPr>
        <w:t xml:space="preserve">(נורמטיבי) בודק </w:t>
      </w:r>
      <w:r w:rsidRPr="008B41FD">
        <w:rPr>
          <w:rFonts w:cs="David" w:hint="cs"/>
          <w:b/>
          <w:bCs/>
          <w:sz w:val="24"/>
          <w:szCs w:val="24"/>
          <w:rtl/>
        </w:rPr>
        <w:t>"האם אדם מן היישוב היה עשוי, בהיותו נתון במצבו של הנאשם, לאבד את השליטה העצמית ולהגיב בדרך הקטלנית בה הגיב הנאשם</w:t>
      </w:r>
      <w:r>
        <w:rPr>
          <w:rFonts w:cs="David" w:hint="cs"/>
          <w:b/>
          <w:bCs/>
          <w:sz w:val="24"/>
          <w:szCs w:val="24"/>
          <w:rtl/>
        </w:rPr>
        <w:t xml:space="preserve">.... האם אפשר להסיק </w:t>
      </w:r>
      <w:r w:rsidRPr="008B41FD">
        <w:rPr>
          <w:rFonts w:cs="David" w:hint="cs"/>
          <w:b/>
          <w:bCs/>
          <w:sz w:val="24"/>
          <w:szCs w:val="24"/>
          <w:rtl/>
        </w:rPr>
        <w:t xml:space="preserve">שרוב האנשים היו </w:t>
      </w:r>
      <w:r w:rsidRPr="00C2416D">
        <w:rPr>
          <w:rFonts w:cs="David" w:hint="cs"/>
          <w:b/>
          <w:bCs/>
          <w:sz w:val="24"/>
          <w:szCs w:val="24"/>
          <w:rtl/>
        </w:rPr>
        <w:t>מתקשים מאד שלא להיכנע להשפעתו ולפיכך היו עלולים להגיב בצורה הקטלנית שבה הגיב הנאשם</w:t>
      </w:r>
      <w:r w:rsidRPr="00C2416D">
        <w:rPr>
          <w:rStyle w:val="a7"/>
          <w:rFonts w:cs="David"/>
          <w:sz w:val="24"/>
          <w:szCs w:val="24"/>
          <w:rtl/>
        </w:rPr>
        <w:footnoteReference w:id="14"/>
      </w:r>
      <w:r w:rsidRPr="00C2416D">
        <w:rPr>
          <w:rFonts w:cs="David" w:hint="cs"/>
          <w:b/>
          <w:bCs/>
          <w:sz w:val="24"/>
          <w:szCs w:val="24"/>
          <w:rtl/>
        </w:rPr>
        <w:t>".</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 xml:space="preserve">במבחן האובייקטיבי מעריך בית המשפט וקובע, לאחר בחינת שיקולי מדיניות חברתיים, הערכה נורמטיבית כיצד היה נוהג האדם מן היישוב. </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 xml:space="preserve">המבחן האובייקטיבי עורר ביקורת חריפה בספרות. </w:t>
      </w:r>
      <w:r>
        <w:rPr>
          <w:rFonts w:cs="David" w:hint="cs"/>
          <w:sz w:val="24"/>
          <w:szCs w:val="24"/>
          <w:rtl/>
        </w:rPr>
        <w:t xml:space="preserve">פרופ' </w:t>
      </w:r>
      <w:proofErr w:type="spellStart"/>
      <w:r w:rsidRPr="008B41FD">
        <w:rPr>
          <w:rFonts w:cs="David" w:hint="cs"/>
          <w:sz w:val="24"/>
          <w:szCs w:val="24"/>
          <w:rtl/>
        </w:rPr>
        <w:t>קרמניצר</w:t>
      </w:r>
      <w:proofErr w:type="spellEnd"/>
      <w:r w:rsidRPr="008B41FD">
        <w:rPr>
          <w:rFonts w:cs="David" w:hint="cs"/>
          <w:sz w:val="24"/>
          <w:szCs w:val="24"/>
          <w:rtl/>
        </w:rPr>
        <w:t xml:space="preserve"> </w:t>
      </w:r>
      <w:r>
        <w:rPr>
          <w:rFonts w:cs="David" w:hint="cs"/>
          <w:sz w:val="24"/>
          <w:szCs w:val="24"/>
          <w:rtl/>
        </w:rPr>
        <w:t xml:space="preserve">סבור </w:t>
      </w:r>
      <w:r w:rsidRPr="008B41FD">
        <w:rPr>
          <w:rFonts w:cs="David" w:hint="cs"/>
          <w:sz w:val="24"/>
          <w:szCs w:val="24"/>
          <w:rtl/>
        </w:rPr>
        <w:t>כי המבחן האובייקטי</w:t>
      </w:r>
      <w:r>
        <w:rPr>
          <w:rFonts w:cs="David" w:hint="cs"/>
          <w:sz w:val="24"/>
          <w:szCs w:val="24"/>
          <w:rtl/>
        </w:rPr>
        <w:t>ב</w:t>
      </w:r>
      <w:r w:rsidRPr="008B41FD">
        <w:rPr>
          <w:rFonts w:cs="David" w:hint="cs"/>
          <w:sz w:val="24"/>
          <w:szCs w:val="24"/>
          <w:rtl/>
        </w:rPr>
        <w:t>י אינו עולה בקנה אחד עם נוסח החוק, מטשטש בין כוונה תחילה לכוונה ספונטנית ופוגע בעקרון החוקיות</w:t>
      </w:r>
      <w:r>
        <w:rPr>
          <w:rStyle w:val="a7"/>
          <w:rFonts w:cs="David"/>
          <w:sz w:val="24"/>
          <w:szCs w:val="24"/>
          <w:rtl/>
        </w:rPr>
        <w:footnoteReference w:id="15"/>
      </w:r>
      <w:r w:rsidRPr="008B41FD">
        <w:rPr>
          <w:rFonts w:cs="David" w:hint="cs"/>
          <w:sz w:val="24"/>
          <w:szCs w:val="24"/>
          <w:rtl/>
        </w:rPr>
        <w:t>.</w:t>
      </w:r>
      <w:r>
        <w:rPr>
          <w:rFonts w:cs="David" w:hint="cs"/>
          <w:sz w:val="24"/>
          <w:szCs w:val="24"/>
          <w:rtl/>
        </w:rPr>
        <w:t xml:space="preserve"> </w:t>
      </w:r>
    </w:p>
    <w:p w:rsidR="00664AD3" w:rsidRPr="00672E1F" w:rsidRDefault="00664AD3" w:rsidP="00664AD3">
      <w:pPr>
        <w:spacing w:before="120" w:after="0" w:line="360" w:lineRule="auto"/>
        <w:jc w:val="both"/>
        <w:rPr>
          <w:sz w:val="20"/>
          <w:szCs w:val="20"/>
          <w:rtl/>
        </w:rPr>
      </w:pPr>
      <w:r>
        <w:rPr>
          <w:rFonts w:cs="David" w:hint="cs"/>
          <w:sz w:val="24"/>
          <w:szCs w:val="24"/>
          <w:rtl/>
        </w:rPr>
        <w:t xml:space="preserve">גם </w:t>
      </w:r>
      <w:r w:rsidRPr="008B41FD">
        <w:rPr>
          <w:rFonts w:cs="David" w:hint="cs"/>
          <w:sz w:val="24"/>
          <w:szCs w:val="24"/>
          <w:rtl/>
        </w:rPr>
        <w:t>הפסיקה התבלט</w:t>
      </w:r>
      <w:r>
        <w:rPr>
          <w:rFonts w:cs="David" w:hint="cs"/>
          <w:sz w:val="24"/>
          <w:szCs w:val="24"/>
          <w:rtl/>
        </w:rPr>
        <w:t>ה</w:t>
      </w:r>
      <w:r w:rsidRPr="008B41FD">
        <w:rPr>
          <w:rFonts w:cs="David" w:hint="cs"/>
          <w:sz w:val="24"/>
          <w:szCs w:val="24"/>
          <w:rtl/>
        </w:rPr>
        <w:t xml:space="preserve"> כיצד ראוי להשתמש ב</w:t>
      </w:r>
      <w:r>
        <w:rPr>
          <w:rFonts w:cs="David" w:hint="cs"/>
          <w:sz w:val="24"/>
          <w:szCs w:val="24"/>
          <w:rtl/>
        </w:rPr>
        <w:t>מבחן האובייקטיבי.</w:t>
      </w:r>
      <w:r w:rsidRPr="008B41FD">
        <w:rPr>
          <w:rFonts w:cs="David" w:hint="cs"/>
          <w:sz w:val="24"/>
          <w:szCs w:val="24"/>
          <w:rtl/>
        </w:rPr>
        <w:t xml:space="preserve"> </w:t>
      </w:r>
      <w:r>
        <w:rPr>
          <w:rFonts w:cs="David" w:hint="cs"/>
          <w:sz w:val="24"/>
          <w:szCs w:val="24"/>
          <w:rtl/>
        </w:rPr>
        <w:t>אמנם השתרשה ההלכה כי המבחן הסובייקטיבי והאובייקטיבי הם מבחנים מצטברים. אך שאלת היקפו ודרך השימוש במבחן זה שב ועלה בפסיקה</w:t>
      </w:r>
      <w:r w:rsidRPr="008B41FD">
        <w:rPr>
          <w:rStyle w:val="a7"/>
          <w:rFonts w:cs="David"/>
          <w:sz w:val="24"/>
          <w:szCs w:val="24"/>
          <w:rtl/>
        </w:rPr>
        <w:footnoteReference w:id="16"/>
      </w:r>
      <w:r>
        <w:rPr>
          <w:rFonts w:cs="David" w:hint="cs"/>
          <w:sz w:val="24"/>
          <w:szCs w:val="24"/>
          <w:rtl/>
        </w:rPr>
        <w:t xml:space="preserve">. </w:t>
      </w:r>
    </w:p>
    <w:p w:rsidR="00664AD3" w:rsidRPr="008B41FD" w:rsidRDefault="00664AD3" w:rsidP="00664AD3">
      <w:pPr>
        <w:spacing w:before="120" w:after="0" w:line="360" w:lineRule="auto"/>
        <w:rPr>
          <w:rFonts w:cs="David"/>
          <w:sz w:val="24"/>
          <w:szCs w:val="24"/>
          <w:rtl/>
        </w:rPr>
      </w:pPr>
      <w:r w:rsidRPr="008B41FD">
        <w:rPr>
          <w:rFonts w:cs="David" w:hint="cs"/>
          <w:sz w:val="24"/>
          <w:szCs w:val="24"/>
          <w:rtl/>
        </w:rPr>
        <w:t>הנטל להוכ</w:t>
      </w:r>
      <w:r>
        <w:rPr>
          <w:rFonts w:cs="David" w:hint="cs"/>
          <w:sz w:val="24"/>
          <w:szCs w:val="24"/>
          <w:rtl/>
        </w:rPr>
        <w:t xml:space="preserve">חת העדר </w:t>
      </w:r>
      <w:r w:rsidRPr="008B41FD">
        <w:rPr>
          <w:rFonts w:cs="David" w:hint="cs"/>
          <w:sz w:val="24"/>
          <w:szCs w:val="24"/>
          <w:rtl/>
        </w:rPr>
        <w:t>קנטור רובץ על התביעה אך במידה פחותה יותר</w:t>
      </w:r>
      <w:r>
        <w:rPr>
          <w:rFonts w:cs="David" w:hint="cs"/>
          <w:sz w:val="24"/>
          <w:szCs w:val="24"/>
          <w:rtl/>
        </w:rPr>
        <w:t xml:space="preserve"> לעומת יתר רכיבי העבירה</w:t>
      </w:r>
      <w:r w:rsidRPr="008B41FD">
        <w:rPr>
          <w:rStyle w:val="a7"/>
          <w:rFonts w:cs="David"/>
          <w:sz w:val="24"/>
          <w:szCs w:val="24"/>
          <w:rtl/>
        </w:rPr>
        <w:footnoteReference w:id="17"/>
      </w:r>
      <w:r>
        <w:rPr>
          <w:rFonts w:cs="David" w:hint="cs"/>
          <w:sz w:val="24"/>
          <w:szCs w:val="24"/>
          <w:rtl/>
        </w:rPr>
        <w:t>.</w:t>
      </w:r>
    </w:p>
    <w:p w:rsidR="00664AD3" w:rsidRPr="0096152B" w:rsidRDefault="00664AD3" w:rsidP="00664AD3">
      <w:pPr>
        <w:spacing w:before="120" w:after="0" w:line="360" w:lineRule="auto"/>
        <w:rPr>
          <w:rFonts w:cs="David"/>
          <w:sz w:val="24"/>
          <w:szCs w:val="24"/>
          <w:rtl/>
        </w:rPr>
      </w:pPr>
      <w:r w:rsidRPr="0096152B">
        <w:rPr>
          <w:rFonts w:cs="David" w:hint="cs"/>
          <w:sz w:val="24"/>
          <w:szCs w:val="24"/>
          <w:rtl/>
        </w:rPr>
        <w:t xml:space="preserve">יצוין כי לאחרונה, הכיר </w:t>
      </w:r>
      <w:r>
        <w:rPr>
          <w:rFonts w:cs="David" w:hint="cs"/>
          <w:sz w:val="24"/>
          <w:szCs w:val="24"/>
          <w:rtl/>
        </w:rPr>
        <w:t xml:space="preserve">בית המפשט </w:t>
      </w:r>
      <w:r w:rsidRPr="0096152B">
        <w:rPr>
          <w:rFonts w:cs="David" w:hint="cs"/>
          <w:sz w:val="24"/>
          <w:szCs w:val="24"/>
          <w:rtl/>
        </w:rPr>
        <w:t>באפשרות של קנטור מתמשך (בשל התעללות מינית של המנוח בממית) ובלבד שהיה טריגר כלשהו בתכוף לפני מעשה ההמתה</w:t>
      </w:r>
      <w:r w:rsidRPr="0096152B">
        <w:rPr>
          <w:rStyle w:val="a7"/>
          <w:rFonts w:cs="David"/>
          <w:sz w:val="24"/>
          <w:szCs w:val="24"/>
          <w:rtl/>
        </w:rPr>
        <w:footnoteReference w:id="18"/>
      </w:r>
      <w:r w:rsidRPr="0096152B">
        <w:rPr>
          <w:rFonts w:cs="David" w:hint="cs"/>
          <w:sz w:val="24"/>
          <w:szCs w:val="24"/>
          <w:rtl/>
        </w:rPr>
        <w:t>.</w:t>
      </w:r>
    </w:p>
    <w:p w:rsidR="00664AD3" w:rsidRPr="005D117A" w:rsidRDefault="00664AD3" w:rsidP="00664AD3">
      <w:pPr>
        <w:spacing w:before="120" w:after="0" w:line="360" w:lineRule="auto"/>
        <w:rPr>
          <w:rFonts w:cs="David"/>
          <w:b/>
          <w:bCs/>
          <w:sz w:val="24"/>
          <w:szCs w:val="24"/>
          <w:rtl/>
        </w:rPr>
      </w:pPr>
      <w:r w:rsidRPr="005D117A">
        <w:rPr>
          <w:rFonts w:cs="David" w:hint="cs"/>
          <w:b/>
          <w:bCs/>
          <w:sz w:val="24"/>
          <w:szCs w:val="24"/>
          <w:rtl/>
        </w:rPr>
        <w:t>הלכת הצפיות</w:t>
      </w:r>
    </w:p>
    <w:p w:rsidR="00664AD3" w:rsidRDefault="00664AD3" w:rsidP="00664AD3">
      <w:pPr>
        <w:spacing w:before="120" w:after="0" w:line="360" w:lineRule="auto"/>
        <w:rPr>
          <w:rFonts w:cs="David"/>
          <w:sz w:val="24"/>
          <w:szCs w:val="24"/>
          <w:rtl/>
        </w:rPr>
      </w:pPr>
      <w:r>
        <w:rPr>
          <w:rFonts w:cs="David" w:hint="cs"/>
          <w:sz w:val="24"/>
          <w:szCs w:val="24"/>
          <w:rtl/>
        </w:rPr>
        <w:t>סעיף 20(ב) לחוק העונשין קובע:</w:t>
      </w:r>
    </w:p>
    <w:p w:rsidR="00664AD3" w:rsidRDefault="00664AD3" w:rsidP="00664AD3">
      <w:pPr>
        <w:spacing w:before="120" w:after="0" w:line="360" w:lineRule="auto"/>
        <w:ind w:left="720"/>
        <w:rPr>
          <w:rFonts w:cs="David"/>
          <w:b/>
          <w:bCs/>
          <w:sz w:val="24"/>
          <w:szCs w:val="24"/>
          <w:rtl/>
        </w:rPr>
      </w:pPr>
      <w:r w:rsidRPr="00E76CB3">
        <w:rPr>
          <w:rFonts w:cs="David" w:hint="cs"/>
          <w:b/>
          <w:bCs/>
          <w:sz w:val="24"/>
          <w:szCs w:val="24"/>
          <w:rtl/>
        </w:rPr>
        <w:t>"לעניין כוונה, ראייה מראש את התרחשות התוצאות, כאפשרות קרובה לוודאי, כמוה כמטרה לגרמן".</w:t>
      </w:r>
    </w:p>
    <w:p w:rsidR="00664AD3" w:rsidRDefault="00664AD3" w:rsidP="00664AD3">
      <w:pPr>
        <w:spacing w:before="120" w:after="0" w:line="360" w:lineRule="auto"/>
        <w:jc w:val="both"/>
        <w:rPr>
          <w:rFonts w:cs="David"/>
          <w:sz w:val="24"/>
          <w:szCs w:val="24"/>
          <w:rtl/>
        </w:rPr>
      </w:pPr>
      <w:r w:rsidRPr="00322572">
        <w:rPr>
          <w:rFonts w:cs="David" w:hint="cs"/>
          <w:sz w:val="24"/>
          <w:szCs w:val="24"/>
          <w:rtl/>
        </w:rPr>
        <w:t xml:space="preserve">משמעותה של הוראה זו </w:t>
      </w:r>
      <w:r>
        <w:rPr>
          <w:rFonts w:cs="David" w:hint="cs"/>
          <w:sz w:val="24"/>
          <w:szCs w:val="24"/>
          <w:rtl/>
        </w:rPr>
        <w:t xml:space="preserve">המכונה "הלכת הצפיות" </w:t>
      </w:r>
      <w:r w:rsidRPr="00322572">
        <w:rPr>
          <w:rFonts w:cs="David" w:hint="cs"/>
          <w:sz w:val="24"/>
          <w:szCs w:val="24"/>
          <w:rtl/>
        </w:rPr>
        <w:t>(ש</w:t>
      </w:r>
      <w:r>
        <w:rPr>
          <w:rFonts w:cs="David" w:hint="cs"/>
          <w:sz w:val="24"/>
          <w:szCs w:val="24"/>
          <w:rtl/>
        </w:rPr>
        <w:t xml:space="preserve">גובשה לפני כן </w:t>
      </w:r>
      <w:r w:rsidRPr="00322572">
        <w:rPr>
          <w:rFonts w:cs="David" w:hint="cs"/>
          <w:sz w:val="24"/>
          <w:szCs w:val="24"/>
          <w:rtl/>
        </w:rPr>
        <w:t xml:space="preserve">בפסיקה) היא </w:t>
      </w:r>
      <w:r>
        <w:rPr>
          <w:rFonts w:cs="David" w:hint="cs"/>
          <w:sz w:val="24"/>
          <w:szCs w:val="24"/>
          <w:rtl/>
        </w:rPr>
        <w:t>ש</w:t>
      </w:r>
      <w:r w:rsidRPr="00322572">
        <w:rPr>
          <w:rFonts w:cs="David" w:hint="cs"/>
          <w:sz w:val="24"/>
          <w:szCs w:val="24"/>
          <w:rtl/>
        </w:rPr>
        <w:t>אם הייתה אפשרות קרובה לוודאי לגרימת התוצאה, אזי ניתן לייחס לעושה יסוד נפשי של כוונה.</w:t>
      </w:r>
      <w:r>
        <w:rPr>
          <w:rFonts w:cs="David" w:hint="cs"/>
          <w:sz w:val="24"/>
          <w:szCs w:val="24"/>
          <w:rtl/>
        </w:rPr>
        <w:t xml:space="preserve"> אולם, החלתה של הלכת הצפיות על יסוד ה"כוונה תחילה" עוררה שאלה בפסיקה. </w:t>
      </w:r>
    </w:p>
    <w:p w:rsidR="00664AD3" w:rsidRPr="00FB69B8" w:rsidRDefault="00664AD3" w:rsidP="00664AD3">
      <w:pPr>
        <w:spacing w:before="120" w:after="0" w:line="360" w:lineRule="auto"/>
        <w:jc w:val="both"/>
        <w:rPr>
          <w:rFonts w:cs="David"/>
          <w:sz w:val="24"/>
          <w:szCs w:val="24"/>
          <w:rtl/>
        </w:rPr>
      </w:pPr>
      <w:r>
        <w:rPr>
          <w:rFonts w:cs="David" w:hint="cs"/>
          <w:sz w:val="24"/>
          <w:szCs w:val="24"/>
          <w:rtl/>
        </w:rPr>
        <w:lastRenderedPageBreak/>
        <w:t xml:space="preserve">לפני תיקון 39, נקבע שלא ראוי להחיל את הלכת הצפיות הפסיקתית בעבירת הרצח. אולם, לאחר שעוגנה הלכת הצפיות בחוק שוב התעוררה השאלה. </w:t>
      </w:r>
      <w:r w:rsidRPr="00FB69B8">
        <w:rPr>
          <w:rFonts w:cs="David" w:hint="cs"/>
          <w:sz w:val="24"/>
          <w:szCs w:val="24"/>
          <w:rtl/>
        </w:rPr>
        <w:t>בפס"ד טורק קבע השופט לוי כי לא ניתן להחיל את הלכת הצפיות בעבירת הרצח שהרי אז לא ניתן להוכיח החלטה להמית</w:t>
      </w:r>
      <w:r w:rsidRPr="00FB69B8">
        <w:rPr>
          <w:rStyle w:val="a7"/>
          <w:rFonts w:cs="David"/>
          <w:sz w:val="24"/>
          <w:szCs w:val="24"/>
          <w:rtl/>
        </w:rPr>
        <w:footnoteReference w:id="19"/>
      </w:r>
      <w:r w:rsidRPr="00FB69B8">
        <w:rPr>
          <w:rFonts w:cs="David" w:hint="cs"/>
          <w:sz w:val="24"/>
          <w:szCs w:val="24"/>
          <w:rtl/>
        </w:rPr>
        <w:t>. בפסקי דין אחרים לא נקבע חד משמעית האם ניתן להחיל את הלכת הצפיות ובחלקם צוין כי יתכן שאפשר יהיה להחילה</w:t>
      </w:r>
      <w:r>
        <w:rPr>
          <w:rFonts w:cs="David" w:hint="cs"/>
          <w:sz w:val="24"/>
          <w:szCs w:val="24"/>
          <w:rtl/>
        </w:rPr>
        <w:t xml:space="preserve"> במצבים מסוימים</w:t>
      </w:r>
      <w:r w:rsidRPr="00FB69B8">
        <w:rPr>
          <w:rFonts w:cs="David" w:hint="cs"/>
          <w:sz w:val="24"/>
          <w:szCs w:val="24"/>
          <w:rtl/>
        </w:rPr>
        <w:t xml:space="preserve"> ואולם, בתי המשפט לא הרשיעו עד עתה בעבירת הרצח בהתבסס על הוראה זו</w:t>
      </w:r>
      <w:r w:rsidRPr="00FB69B8">
        <w:rPr>
          <w:rStyle w:val="a7"/>
          <w:rFonts w:cs="David"/>
          <w:sz w:val="24"/>
          <w:szCs w:val="24"/>
          <w:rtl/>
        </w:rPr>
        <w:footnoteReference w:id="20"/>
      </w:r>
      <w:r w:rsidRPr="00FB69B8">
        <w:rPr>
          <w:rFonts w:cs="David" w:hint="cs"/>
          <w:sz w:val="24"/>
          <w:szCs w:val="24"/>
          <w:rtl/>
        </w:rPr>
        <w:t xml:space="preserve">. </w:t>
      </w:r>
    </w:p>
    <w:p w:rsidR="00664AD3" w:rsidRDefault="00664AD3" w:rsidP="00664AD3">
      <w:pPr>
        <w:spacing w:before="120" w:after="0" w:line="360" w:lineRule="auto"/>
        <w:jc w:val="both"/>
        <w:rPr>
          <w:rFonts w:cs="David"/>
          <w:sz w:val="24"/>
          <w:szCs w:val="24"/>
          <w:rtl/>
        </w:rPr>
      </w:pPr>
    </w:p>
    <w:p w:rsidR="00664AD3" w:rsidRPr="00D15CDF" w:rsidRDefault="00664AD3" w:rsidP="00664AD3">
      <w:pPr>
        <w:spacing w:before="120" w:after="0" w:line="360" w:lineRule="auto"/>
        <w:rPr>
          <w:rFonts w:cs="David"/>
          <w:b/>
          <w:bCs/>
          <w:sz w:val="24"/>
          <w:szCs w:val="24"/>
          <w:rtl/>
        </w:rPr>
      </w:pPr>
      <w:r w:rsidRPr="00D15CDF">
        <w:rPr>
          <w:rFonts w:cs="David" w:hint="cs"/>
          <w:b/>
          <w:bCs/>
          <w:sz w:val="24"/>
          <w:szCs w:val="24"/>
          <w:rtl/>
        </w:rPr>
        <w:t xml:space="preserve">עונש מופחת </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סעיף 300 העוסק בעבירת הרצח קובע לצדה עונש של מאסר עולם חובה</w:t>
      </w:r>
      <w:r>
        <w:rPr>
          <w:rFonts w:cs="David" w:hint="cs"/>
          <w:sz w:val="24"/>
          <w:szCs w:val="24"/>
          <w:rtl/>
        </w:rPr>
        <w:t xml:space="preserve"> שבית המשפט לא יכול לסטות ממנו</w:t>
      </w:r>
      <w:r w:rsidRPr="008B41FD">
        <w:rPr>
          <w:rFonts w:cs="David" w:hint="cs"/>
          <w:sz w:val="24"/>
          <w:szCs w:val="24"/>
          <w:rtl/>
        </w:rPr>
        <w:t>.</w:t>
      </w:r>
      <w:r>
        <w:rPr>
          <w:rFonts w:cs="David" w:hint="cs"/>
          <w:sz w:val="24"/>
          <w:szCs w:val="24"/>
          <w:rtl/>
        </w:rPr>
        <w:t xml:space="preserve"> בעקבות ביקורת שנמתחה על כך בפסיקה ובספרות, ובעקבות מספר מקרים מיוחדים בהם מבחינה מוסרית נראה היה לא ראוי להטיל עונש מאסר עולם על הממית, התווסף בשנת 1995 </w:t>
      </w:r>
      <w:r w:rsidRPr="008B41FD">
        <w:rPr>
          <w:rFonts w:cs="David" w:hint="cs"/>
          <w:sz w:val="24"/>
          <w:szCs w:val="24"/>
          <w:rtl/>
        </w:rPr>
        <w:t>סעיף 300א</w:t>
      </w:r>
      <w:r>
        <w:rPr>
          <w:rFonts w:cs="David" w:hint="cs"/>
          <w:sz w:val="24"/>
          <w:szCs w:val="24"/>
          <w:rtl/>
        </w:rPr>
        <w:t xml:space="preserve">. סעיף זה </w:t>
      </w:r>
      <w:r w:rsidRPr="008B41FD">
        <w:rPr>
          <w:rFonts w:cs="David" w:hint="cs"/>
          <w:sz w:val="24"/>
          <w:szCs w:val="24"/>
          <w:rtl/>
        </w:rPr>
        <w:t xml:space="preserve">קובע את המצבים בהם ניתן לסטות </w:t>
      </w:r>
      <w:r>
        <w:rPr>
          <w:rFonts w:cs="David" w:hint="cs"/>
          <w:sz w:val="24"/>
          <w:szCs w:val="24"/>
          <w:rtl/>
        </w:rPr>
        <w:t xml:space="preserve">מעונש מאסר עולם חובה </w:t>
      </w:r>
      <w:r w:rsidRPr="008B41FD">
        <w:rPr>
          <w:rFonts w:cs="David" w:hint="cs"/>
          <w:sz w:val="24"/>
          <w:szCs w:val="24"/>
          <w:rtl/>
        </w:rPr>
        <w:t>ולקבוע עונש קל יותר, כדלקמן:</w:t>
      </w: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pStyle w:val="P11"/>
              <w:spacing w:before="72"/>
              <w:ind w:left="0" w:right="1134"/>
              <w:rPr>
                <w:rStyle w:val="default"/>
                <w:rFonts w:cs="David"/>
                <w:sz w:val="24"/>
                <w:szCs w:val="24"/>
                <w:rtl/>
              </w:rPr>
            </w:pPr>
            <w:r w:rsidRPr="008B41FD">
              <w:rPr>
                <w:rStyle w:val="default"/>
                <w:rFonts w:cs="David" w:hint="cs"/>
                <w:sz w:val="24"/>
                <w:szCs w:val="24"/>
                <w:rtl/>
              </w:rPr>
              <w:t xml:space="preserve">300א. </w:t>
            </w:r>
            <w:r w:rsidRPr="008B41FD">
              <w:rPr>
                <w:rStyle w:val="default"/>
                <w:rFonts w:cs="David" w:hint="cs"/>
                <w:b/>
                <w:bCs/>
                <w:sz w:val="24"/>
                <w:szCs w:val="24"/>
                <w:rtl/>
              </w:rPr>
              <w:t>עונש מופחת</w:t>
            </w:r>
          </w:p>
          <w:p w:rsidR="00664AD3" w:rsidRPr="008B41FD" w:rsidRDefault="00664AD3" w:rsidP="00A071D2">
            <w:pPr>
              <w:spacing w:before="120" w:line="360" w:lineRule="auto"/>
              <w:jc w:val="both"/>
              <w:rPr>
                <w:rStyle w:val="default"/>
                <w:rFonts w:cs="David"/>
                <w:sz w:val="24"/>
                <w:szCs w:val="24"/>
                <w:rtl/>
              </w:rPr>
            </w:pPr>
            <w:r w:rsidRPr="008B41FD">
              <w:rPr>
                <w:rStyle w:val="default"/>
                <w:rFonts w:cs="David" w:hint="cs"/>
                <w:sz w:val="24"/>
                <w:szCs w:val="24"/>
                <w:rtl/>
              </w:rPr>
              <w:t>על אף האמור בסעיף 300, ניתן להטיל עונש קל מהקובע בו, אם נעברה העבירה באחד מאלה:</w:t>
            </w:r>
          </w:p>
          <w:p w:rsidR="00664AD3" w:rsidRPr="008B41FD" w:rsidRDefault="00664AD3" w:rsidP="00A071D2">
            <w:pPr>
              <w:spacing w:before="120" w:line="360" w:lineRule="auto"/>
              <w:jc w:val="both"/>
              <w:rPr>
                <w:rStyle w:val="default"/>
                <w:rFonts w:cs="David"/>
                <w:sz w:val="24"/>
                <w:szCs w:val="24"/>
                <w:rtl/>
              </w:rPr>
            </w:pPr>
            <w:r w:rsidRPr="008B41FD">
              <w:rPr>
                <w:rStyle w:val="default"/>
                <w:rFonts w:cs="David" w:hint="cs"/>
                <w:sz w:val="24"/>
                <w:szCs w:val="24"/>
                <w:rtl/>
              </w:rPr>
              <w:t xml:space="preserve">(א) </w:t>
            </w:r>
            <w:r w:rsidRPr="008B41FD">
              <w:rPr>
                <w:rStyle w:val="default"/>
                <w:rFonts w:cs="David"/>
                <w:sz w:val="24"/>
                <w:szCs w:val="24"/>
                <w:rtl/>
              </w:rPr>
              <w:t>ב</w:t>
            </w:r>
            <w:r w:rsidRPr="008B41FD">
              <w:rPr>
                <w:rStyle w:val="default"/>
                <w:rFonts w:cs="David" w:hint="cs"/>
                <w:sz w:val="24"/>
                <w:szCs w:val="24"/>
                <w:rtl/>
              </w:rPr>
              <w:t>מצ</w:t>
            </w:r>
            <w:r w:rsidRPr="008B41FD">
              <w:rPr>
                <w:rStyle w:val="default"/>
                <w:rFonts w:cs="David"/>
                <w:sz w:val="24"/>
                <w:szCs w:val="24"/>
                <w:rtl/>
              </w:rPr>
              <w:t xml:space="preserve">ב </w:t>
            </w:r>
            <w:r w:rsidRPr="008B41FD">
              <w:rPr>
                <w:rStyle w:val="default"/>
                <w:rFonts w:cs="David" w:hint="cs"/>
                <w:sz w:val="24"/>
                <w:szCs w:val="24"/>
                <w:rtl/>
              </w:rPr>
              <w:t>שבו, בשל הפרעה נפשית חמ</w:t>
            </w:r>
            <w:r w:rsidRPr="008B41FD">
              <w:rPr>
                <w:rStyle w:val="default"/>
                <w:rFonts w:cs="David"/>
                <w:sz w:val="24"/>
                <w:szCs w:val="24"/>
                <w:rtl/>
              </w:rPr>
              <w:t>ו</w:t>
            </w:r>
            <w:r w:rsidRPr="008B41FD">
              <w:rPr>
                <w:rStyle w:val="default"/>
                <w:rFonts w:cs="David" w:hint="cs"/>
                <w:sz w:val="24"/>
                <w:szCs w:val="24"/>
                <w:rtl/>
              </w:rPr>
              <w:t xml:space="preserve">רה </w:t>
            </w:r>
            <w:r w:rsidRPr="008B41FD">
              <w:rPr>
                <w:rStyle w:val="default"/>
                <w:rFonts w:cs="David"/>
                <w:sz w:val="24"/>
                <w:szCs w:val="24"/>
                <w:rtl/>
              </w:rPr>
              <w:t>א</w:t>
            </w:r>
            <w:r w:rsidRPr="008B41FD">
              <w:rPr>
                <w:rStyle w:val="default"/>
                <w:rFonts w:cs="David" w:hint="cs"/>
                <w:sz w:val="24"/>
                <w:szCs w:val="24"/>
                <w:rtl/>
              </w:rPr>
              <w:t>ו בשל ליקוי</w:t>
            </w:r>
            <w:r w:rsidRPr="008B41FD">
              <w:rPr>
                <w:rStyle w:val="default"/>
                <w:rFonts w:cs="David"/>
                <w:sz w:val="24"/>
                <w:szCs w:val="24"/>
                <w:rtl/>
              </w:rPr>
              <w:t xml:space="preserve"> ב</w:t>
            </w:r>
            <w:r w:rsidRPr="008B41FD">
              <w:rPr>
                <w:rStyle w:val="default"/>
                <w:rFonts w:cs="David" w:hint="cs"/>
                <w:sz w:val="24"/>
                <w:szCs w:val="24"/>
                <w:rtl/>
              </w:rPr>
              <w:t>כושרו השכלי, הוגבלה יכולתו של הנאשם במידה ניכרת, אך לא עד כדי חוסר יכולת של</w:t>
            </w:r>
            <w:r w:rsidRPr="008B41FD">
              <w:rPr>
                <w:rStyle w:val="default"/>
                <w:rFonts w:cs="David"/>
                <w:sz w:val="24"/>
                <w:szCs w:val="24"/>
                <w:rtl/>
              </w:rPr>
              <w:t xml:space="preserve"> </w:t>
            </w:r>
            <w:r w:rsidRPr="008B41FD">
              <w:rPr>
                <w:rStyle w:val="default"/>
                <w:rFonts w:cs="David" w:hint="cs"/>
                <w:sz w:val="24"/>
                <w:szCs w:val="24"/>
                <w:rtl/>
              </w:rPr>
              <w:t xml:space="preserve">ממש כאמור בסעיף 34ח </w:t>
            </w:r>
            <w:r w:rsidRPr="008B41FD">
              <w:rPr>
                <w:rStyle w:val="default"/>
                <w:rFonts w:cs="David"/>
                <w:sz w:val="24"/>
                <w:szCs w:val="24"/>
                <w:rtl/>
              </w:rPr>
              <w:t>–</w:t>
            </w:r>
          </w:p>
          <w:p w:rsidR="00664AD3" w:rsidRPr="008B41FD" w:rsidRDefault="00664AD3" w:rsidP="00A071D2">
            <w:pPr>
              <w:spacing w:before="120" w:line="360" w:lineRule="auto"/>
              <w:ind w:left="720"/>
              <w:jc w:val="both"/>
              <w:rPr>
                <w:rStyle w:val="default"/>
                <w:rFonts w:cs="David"/>
                <w:sz w:val="24"/>
                <w:szCs w:val="24"/>
                <w:rtl/>
              </w:rPr>
            </w:pPr>
            <w:r w:rsidRPr="008B41FD">
              <w:rPr>
                <w:rStyle w:val="default"/>
                <w:rFonts w:cs="David"/>
                <w:sz w:val="24"/>
                <w:szCs w:val="24"/>
                <w:rtl/>
              </w:rPr>
              <w:t>(1)</w:t>
            </w:r>
            <w:r>
              <w:rPr>
                <w:rStyle w:val="default"/>
                <w:rFonts w:cs="David" w:hint="cs"/>
                <w:sz w:val="24"/>
                <w:szCs w:val="24"/>
                <w:rtl/>
              </w:rPr>
              <w:t xml:space="preserve"> </w:t>
            </w:r>
            <w:r w:rsidRPr="008B41FD">
              <w:rPr>
                <w:rStyle w:val="default"/>
                <w:rFonts w:cs="David"/>
                <w:sz w:val="24"/>
                <w:szCs w:val="24"/>
                <w:rtl/>
              </w:rPr>
              <w:t>ל</w:t>
            </w:r>
            <w:r w:rsidRPr="008B41FD">
              <w:rPr>
                <w:rStyle w:val="default"/>
                <w:rFonts w:cs="David" w:hint="cs"/>
                <w:sz w:val="24"/>
                <w:szCs w:val="24"/>
                <w:rtl/>
              </w:rPr>
              <w:t>הב</w:t>
            </w:r>
            <w:r w:rsidRPr="008B41FD">
              <w:rPr>
                <w:rStyle w:val="default"/>
                <w:rFonts w:cs="David"/>
                <w:sz w:val="24"/>
                <w:szCs w:val="24"/>
                <w:rtl/>
              </w:rPr>
              <w:t>ין</w:t>
            </w:r>
            <w:r w:rsidRPr="008B41FD">
              <w:rPr>
                <w:rStyle w:val="default"/>
                <w:rFonts w:cs="David" w:hint="cs"/>
                <w:sz w:val="24"/>
                <w:szCs w:val="24"/>
                <w:rtl/>
              </w:rPr>
              <w:t xml:space="preserve"> את אשר הוא</w:t>
            </w:r>
            <w:r w:rsidRPr="008B41FD">
              <w:rPr>
                <w:rStyle w:val="default"/>
                <w:rFonts w:cs="David"/>
                <w:sz w:val="24"/>
                <w:szCs w:val="24"/>
                <w:rtl/>
              </w:rPr>
              <w:t xml:space="preserve"> ע</w:t>
            </w:r>
            <w:r w:rsidRPr="008B41FD">
              <w:rPr>
                <w:rStyle w:val="default"/>
                <w:rFonts w:cs="David" w:hint="cs"/>
                <w:sz w:val="24"/>
                <w:szCs w:val="24"/>
                <w:rtl/>
              </w:rPr>
              <w:t>ו</w:t>
            </w:r>
            <w:r w:rsidRPr="008B41FD">
              <w:rPr>
                <w:rStyle w:val="default"/>
                <w:rFonts w:cs="David"/>
                <w:sz w:val="24"/>
                <w:szCs w:val="24"/>
                <w:rtl/>
              </w:rPr>
              <w:t>שה</w:t>
            </w:r>
            <w:r w:rsidRPr="008B41FD">
              <w:rPr>
                <w:rStyle w:val="default"/>
                <w:rFonts w:cs="David" w:hint="cs"/>
                <w:sz w:val="24"/>
                <w:szCs w:val="24"/>
                <w:rtl/>
              </w:rPr>
              <w:t xml:space="preserve"> או את הפסו</w:t>
            </w:r>
            <w:r w:rsidRPr="008B41FD">
              <w:rPr>
                <w:rStyle w:val="default"/>
                <w:rFonts w:cs="David"/>
                <w:sz w:val="24"/>
                <w:szCs w:val="24"/>
                <w:rtl/>
              </w:rPr>
              <w:t xml:space="preserve">ל </w:t>
            </w:r>
            <w:r w:rsidRPr="008B41FD">
              <w:rPr>
                <w:rStyle w:val="default"/>
                <w:rFonts w:cs="David" w:hint="cs"/>
                <w:sz w:val="24"/>
                <w:szCs w:val="24"/>
                <w:rtl/>
              </w:rPr>
              <w:t>שב</w:t>
            </w:r>
            <w:r w:rsidRPr="008B41FD">
              <w:rPr>
                <w:rStyle w:val="default"/>
                <w:rFonts w:cs="David"/>
                <w:sz w:val="24"/>
                <w:szCs w:val="24"/>
                <w:rtl/>
              </w:rPr>
              <w:t>מע</w:t>
            </w:r>
            <w:r w:rsidRPr="008B41FD">
              <w:rPr>
                <w:rStyle w:val="default"/>
                <w:rFonts w:cs="David" w:hint="cs"/>
                <w:sz w:val="24"/>
                <w:szCs w:val="24"/>
                <w:rtl/>
              </w:rPr>
              <w:t>שהו; או</w:t>
            </w:r>
          </w:p>
          <w:p w:rsidR="00664AD3" w:rsidRPr="008B41FD" w:rsidRDefault="00664AD3" w:rsidP="00A071D2">
            <w:pPr>
              <w:spacing w:before="120" w:line="360" w:lineRule="auto"/>
              <w:ind w:left="720"/>
              <w:jc w:val="both"/>
              <w:rPr>
                <w:rStyle w:val="default"/>
                <w:rFonts w:cs="David"/>
                <w:sz w:val="24"/>
                <w:szCs w:val="24"/>
                <w:rtl/>
              </w:rPr>
            </w:pPr>
            <w:r w:rsidRPr="008B41FD">
              <w:rPr>
                <w:rStyle w:val="default"/>
                <w:rFonts w:cs="David" w:hint="cs"/>
                <w:sz w:val="24"/>
                <w:szCs w:val="24"/>
                <w:rtl/>
              </w:rPr>
              <w:t>(2)</w:t>
            </w:r>
            <w:r>
              <w:rPr>
                <w:rStyle w:val="default"/>
                <w:rFonts w:cs="David" w:hint="cs"/>
                <w:sz w:val="24"/>
                <w:szCs w:val="24"/>
                <w:rtl/>
              </w:rPr>
              <w:t xml:space="preserve"> </w:t>
            </w:r>
            <w:r w:rsidRPr="008B41FD">
              <w:rPr>
                <w:rStyle w:val="default"/>
                <w:rFonts w:cs="David"/>
                <w:sz w:val="24"/>
                <w:szCs w:val="24"/>
                <w:rtl/>
              </w:rPr>
              <w:t>ל</w:t>
            </w:r>
            <w:r w:rsidRPr="008B41FD">
              <w:rPr>
                <w:rStyle w:val="default"/>
                <w:rFonts w:cs="David" w:hint="cs"/>
                <w:sz w:val="24"/>
                <w:szCs w:val="24"/>
                <w:rtl/>
              </w:rPr>
              <w:t>הי</w:t>
            </w:r>
            <w:r w:rsidRPr="008B41FD">
              <w:rPr>
                <w:rStyle w:val="default"/>
                <w:rFonts w:cs="David"/>
                <w:sz w:val="24"/>
                <w:szCs w:val="24"/>
                <w:rtl/>
              </w:rPr>
              <w:t>מנ</w:t>
            </w:r>
            <w:r w:rsidRPr="008B41FD">
              <w:rPr>
                <w:rStyle w:val="default"/>
                <w:rFonts w:cs="David" w:hint="cs"/>
                <w:sz w:val="24"/>
                <w:szCs w:val="24"/>
                <w:rtl/>
              </w:rPr>
              <w:t>ע מעשיית המעשה.</w:t>
            </w:r>
          </w:p>
          <w:p w:rsidR="00664AD3" w:rsidRPr="008B41FD" w:rsidRDefault="00664AD3" w:rsidP="00A071D2">
            <w:pPr>
              <w:spacing w:before="120" w:line="360" w:lineRule="auto"/>
              <w:jc w:val="both"/>
              <w:rPr>
                <w:rStyle w:val="default"/>
                <w:rFonts w:cs="David"/>
                <w:sz w:val="24"/>
                <w:szCs w:val="24"/>
                <w:rtl/>
              </w:rPr>
            </w:pPr>
            <w:r w:rsidRPr="008B41FD">
              <w:rPr>
                <w:rStyle w:val="default"/>
                <w:rFonts w:cs="David"/>
                <w:sz w:val="24"/>
                <w:szCs w:val="24"/>
                <w:rtl/>
              </w:rPr>
              <w:t>(ב</w:t>
            </w:r>
            <w:r w:rsidRPr="008B41FD">
              <w:rPr>
                <w:rStyle w:val="default"/>
                <w:rFonts w:cs="David" w:hint="cs"/>
                <w:sz w:val="24"/>
                <w:szCs w:val="24"/>
                <w:rtl/>
              </w:rPr>
              <w:t>)</w:t>
            </w:r>
            <w:r>
              <w:rPr>
                <w:rStyle w:val="default"/>
                <w:rFonts w:cs="David" w:hint="cs"/>
                <w:sz w:val="24"/>
                <w:szCs w:val="24"/>
                <w:rtl/>
              </w:rPr>
              <w:t xml:space="preserve"> </w:t>
            </w:r>
            <w:r w:rsidRPr="008B41FD">
              <w:rPr>
                <w:rStyle w:val="default"/>
                <w:rFonts w:cs="David"/>
                <w:sz w:val="24"/>
                <w:szCs w:val="24"/>
                <w:rtl/>
              </w:rPr>
              <w:t>ב</w:t>
            </w:r>
            <w:r w:rsidRPr="008B41FD">
              <w:rPr>
                <w:rStyle w:val="default"/>
                <w:rFonts w:cs="David" w:hint="cs"/>
                <w:sz w:val="24"/>
                <w:szCs w:val="24"/>
                <w:rtl/>
              </w:rPr>
              <w:t>מצ</w:t>
            </w:r>
            <w:r w:rsidRPr="008B41FD">
              <w:rPr>
                <w:rStyle w:val="default"/>
                <w:rFonts w:cs="David"/>
                <w:sz w:val="24"/>
                <w:szCs w:val="24"/>
                <w:rtl/>
              </w:rPr>
              <w:t xml:space="preserve">ב </w:t>
            </w:r>
            <w:r w:rsidRPr="008B41FD">
              <w:rPr>
                <w:rStyle w:val="default"/>
                <w:rFonts w:cs="David" w:hint="cs"/>
                <w:sz w:val="24"/>
                <w:szCs w:val="24"/>
                <w:rtl/>
              </w:rPr>
              <w:t xml:space="preserve">שבו מעשהו של הנאשם חרג במידה מועטה, בנסיבות </w:t>
            </w:r>
            <w:proofErr w:type="spellStart"/>
            <w:r w:rsidRPr="008B41FD">
              <w:rPr>
                <w:rStyle w:val="default"/>
                <w:rFonts w:cs="David" w:hint="cs"/>
                <w:sz w:val="24"/>
                <w:szCs w:val="24"/>
                <w:rtl/>
              </w:rPr>
              <w:t>הענין</w:t>
            </w:r>
            <w:proofErr w:type="spellEnd"/>
            <w:r w:rsidRPr="008B41FD">
              <w:rPr>
                <w:rStyle w:val="default"/>
                <w:rFonts w:cs="David" w:hint="cs"/>
                <w:sz w:val="24"/>
                <w:szCs w:val="24"/>
                <w:rtl/>
              </w:rPr>
              <w:t xml:space="preserve">, מתחום הסבירות הנדרשת </w:t>
            </w:r>
            <w:r w:rsidRPr="008B41FD">
              <w:rPr>
                <w:rStyle w:val="default"/>
                <w:rFonts w:cs="David"/>
                <w:sz w:val="24"/>
                <w:szCs w:val="24"/>
                <w:rtl/>
              </w:rPr>
              <w:t>לפ</w:t>
            </w:r>
            <w:r w:rsidRPr="008B41FD">
              <w:rPr>
                <w:rStyle w:val="default"/>
                <w:rFonts w:cs="David" w:hint="cs"/>
                <w:sz w:val="24"/>
                <w:szCs w:val="24"/>
                <w:rtl/>
              </w:rPr>
              <w:t>י סעיף 34טז לשם תחולת הסייג של הגנה עצמית, צורך או כורח, לפי סעיפים 34י, 34יא, 34יב.</w:t>
            </w:r>
          </w:p>
          <w:p w:rsidR="00664AD3" w:rsidRPr="008B41FD" w:rsidRDefault="00664AD3" w:rsidP="00A071D2">
            <w:pPr>
              <w:spacing w:before="120" w:line="360" w:lineRule="auto"/>
              <w:jc w:val="both"/>
              <w:rPr>
                <w:rFonts w:cs="David"/>
                <w:sz w:val="24"/>
                <w:szCs w:val="24"/>
                <w:rtl/>
              </w:rPr>
            </w:pPr>
            <w:r w:rsidRPr="008B41FD">
              <w:rPr>
                <w:rStyle w:val="default"/>
                <w:rFonts w:cs="David"/>
                <w:sz w:val="24"/>
                <w:szCs w:val="24"/>
                <w:rtl/>
              </w:rPr>
              <w:t>(ג</w:t>
            </w:r>
            <w:r w:rsidRPr="008B41FD">
              <w:rPr>
                <w:rStyle w:val="default"/>
                <w:rFonts w:cs="David" w:hint="cs"/>
                <w:sz w:val="24"/>
                <w:szCs w:val="24"/>
                <w:rtl/>
              </w:rPr>
              <w:t>)</w:t>
            </w:r>
            <w:r>
              <w:rPr>
                <w:rStyle w:val="default"/>
                <w:rFonts w:cs="David" w:hint="cs"/>
                <w:sz w:val="24"/>
                <w:szCs w:val="24"/>
                <w:rtl/>
              </w:rPr>
              <w:t xml:space="preserve"> </w:t>
            </w:r>
            <w:r w:rsidRPr="008B41FD">
              <w:rPr>
                <w:rStyle w:val="default"/>
                <w:rFonts w:cs="David"/>
                <w:sz w:val="24"/>
                <w:szCs w:val="24"/>
                <w:rtl/>
              </w:rPr>
              <w:t>כ</w:t>
            </w:r>
            <w:r w:rsidRPr="008B41FD">
              <w:rPr>
                <w:rStyle w:val="default"/>
                <w:rFonts w:cs="David" w:hint="cs"/>
                <w:sz w:val="24"/>
                <w:szCs w:val="24"/>
                <w:rtl/>
              </w:rPr>
              <w:t>שה</w:t>
            </w:r>
            <w:r w:rsidRPr="008B41FD">
              <w:rPr>
                <w:rStyle w:val="default"/>
                <w:rFonts w:cs="David"/>
                <w:sz w:val="24"/>
                <w:szCs w:val="24"/>
                <w:rtl/>
              </w:rPr>
              <w:t>נא</w:t>
            </w:r>
            <w:r w:rsidRPr="008B41FD">
              <w:rPr>
                <w:rStyle w:val="default"/>
                <w:rFonts w:cs="David" w:hint="cs"/>
                <w:sz w:val="24"/>
                <w:szCs w:val="24"/>
                <w:rtl/>
              </w:rPr>
              <w:t>שם היה נתון במ</w:t>
            </w:r>
            <w:r w:rsidRPr="008B41FD">
              <w:rPr>
                <w:rStyle w:val="default"/>
                <w:rFonts w:cs="David"/>
                <w:sz w:val="24"/>
                <w:szCs w:val="24"/>
                <w:rtl/>
              </w:rPr>
              <w:t>צב</w:t>
            </w:r>
            <w:r w:rsidRPr="008B41FD">
              <w:rPr>
                <w:rStyle w:val="default"/>
                <w:rFonts w:cs="David" w:hint="cs"/>
                <w:sz w:val="24"/>
                <w:szCs w:val="24"/>
                <w:rtl/>
              </w:rPr>
              <w:t xml:space="preserve"> ש</w:t>
            </w:r>
            <w:r w:rsidRPr="008B41FD">
              <w:rPr>
                <w:rStyle w:val="default"/>
                <w:rFonts w:cs="David"/>
                <w:sz w:val="24"/>
                <w:szCs w:val="24"/>
                <w:rtl/>
              </w:rPr>
              <w:t xml:space="preserve">ל </w:t>
            </w:r>
            <w:r w:rsidRPr="008B41FD">
              <w:rPr>
                <w:rStyle w:val="default"/>
                <w:rFonts w:cs="David" w:hint="cs"/>
                <w:sz w:val="24"/>
                <w:szCs w:val="24"/>
                <w:rtl/>
              </w:rPr>
              <w:t>מצוקה נפשית קשה, עקב התעללות חמורה ומתמשכת בו או בבן משפחתו, בידי מי שהנאשם גרם למותו.</w:t>
            </w:r>
          </w:p>
        </w:tc>
      </w:tr>
    </w:tbl>
    <w:p w:rsidR="00664AD3" w:rsidRDefault="00664AD3" w:rsidP="00664AD3">
      <w:pPr>
        <w:spacing w:before="120" w:after="0" w:line="360" w:lineRule="auto"/>
        <w:jc w:val="both"/>
        <w:rPr>
          <w:rFonts w:cs="David"/>
          <w:sz w:val="24"/>
          <w:szCs w:val="24"/>
          <w:rtl/>
        </w:rPr>
      </w:pPr>
    </w:p>
    <w:p w:rsidR="00664AD3" w:rsidRPr="008B41FD" w:rsidRDefault="00664AD3" w:rsidP="00664AD3">
      <w:pPr>
        <w:spacing w:before="120" w:after="0" w:line="360" w:lineRule="auto"/>
        <w:jc w:val="both"/>
        <w:rPr>
          <w:rFonts w:cs="David"/>
          <w:sz w:val="24"/>
          <w:szCs w:val="24"/>
          <w:rtl/>
        </w:rPr>
      </w:pPr>
      <w:r>
        <w:rPr>
          <w:rFonts w:cs="David" w:hint="cs"/>
          <w:sz w:val="24"/>
          <w:szCs w:val="24"/>
          <w:rtl/>
        </w:rPr>
        <w:t xml:space="preserve">יובהר כי </w:t>
      </w:r>
      <w:r w:rsidRPr="008B41FD">
        <w:rPr>
          <w:rFonts w:cs="David" w:hint="cs"/>
          <w:sz w:val="24"/>
          <w:szCs w:val="24"/>
          <w:rtl/>
        </w:rPr>
        <w:t>סעיף זה קובע מצבים בהם מורשע אדם בעבירת הרצח אך ניתן, כאמור, להקל בעונשו של הממית ולא להטיל עליו עונש מאסר עולם חובה.</w:t>
      </w:r>
      <w:r>
        <w:rPr>
          <w:rFonts w:cs="David" w:hint="cs"/>
          <w:sz w:val="24"/>
          <w:szCs w:val="24"/>
          <w:rtl/>
        </w:rPr>
        <w:t xml:space="preserve"> הצעת החוק הממשלתית שהובילה להוספת הסעיף ביקשה לקבוע כי ההרשעה באותם מצבים תהיה בעבירת הריגה לכל היותר, אך ההצעה התקבלה רק בהיבט ההקלה בעונש ולא בהפחתת אחריות הממית, כלומר, הממית עדיין מורשע בעבירת הרצח.</w:t>
      </w:r>
    </w:p>
    <w:p w:rsidR="00664AD3" w:rsidRPr="008B41FD" w:rsidRDefault="00664AD3" w:rsidP="00664AD3">
      <w:pPr>
        <w:spacing w:before="120" w:after="0" w:line="360" w:lineRule="auto"/>
        <w:jc w:val="both"/>
        <w:rPr>
          <w:rFonts w:cs="David"/>
          <w:sz w:val="24"/>
          <w:szCs w:val="24"/>
          <w:rtl/>
        </w:rPr>
      </w:pPr>
    </w:p>
    <w:p w:rsidR="00664AD3" w:rsidRPr="008B41FD" w:rsidRDefault="00664AD3" w:rsidP="00664AD3">
      <w:pPr>
        <w:spacing w:before="120" w:after="0" w:line="360" w:lineRule="auto"/>
        <w:jc w:val="both"/>
        <w:rPr>
          <w:rFonts w:ascii="Times New Roman" w:eastAsia="Times New Roman" w:hAnsi="Times New Roman" w:cs="David"/>
          <w:noProof/>
          <w:vanish/>
          <w:sz w:val="24"/>
          <w:szCs w:val="24"/>
          <w:shd w:val="clear" w:color="auto" w:fill="FFFF99"/>
          <w:rtl/>
          <w:lang w:eastAsia="he-IL"/>
        </w:rPr>
      </w:pPr>
      <w:r w:rsidRPr="008B41FD">
        <w:rPr>
          <w:rFonts w:cs="David" w:hint="cs"/>
          <w:sz w:val="24"/>
          <w:szCs w:val="24"/>
          <w:rtl/>
        </w:rPr>
        <w:t>בנוסף לסעיפים אלו, קיימים בפרק</w:t>
      </w:r>
      <w:r>
        <w:rPr>
          <w:rFonts w:cs="David" w:hint="cs"/>
          <w:sz w:val="24"/>
          <w:szCs w:val="24"/>
          <w:rtl/>
        </w:rPr>
        <w:t xml:space="preserve"> </w:t>
      </w:r>
      <w:r w:rsidRPr="008B41FD">
        <w:rPr>
          <w:rFonts w:cs="David" w:hint="cs"/>
          <w:sz w:val="24"/>
          <w:szCs w:val="24"/>
          <w:rtl/>
        </w:rPr>
        <w:t xml:space="preserve">י' סעיפים המתייחסים לניסיון לרצח, שידול או סיוע להתאבדות, עבירות הקשורות בהמתה של תינוק שטרם מלאו לו 12 חודשים על ידי אמו והעלמת </w:t>
      </w:r>
      <w:r w:rsidRPr="008B41FD">
        <w:rPr>
          <w:rFonts w:cs="David" w:hint="cs"/>
          <w:sz w:val="24"/>
          <w:szCs w:val="24"/>
          <w:rtl/>
        </w:rPr>
        <w:lastRenderedPageBreak/>
        <w:t>לידה, איום בכתב ברצח ומצבים בהם יראו אדם כאילו גרם למותו של אחר, אף אם המעשה או המחדל לא היו הגורם התכוף והיחיד למותו.</w:t>
      </w:r>
    </w:p>
    <w:p w:rsidR="00664AD3" w:rsidRPr="008B41FD" w:rsidRDefault="00664AD3" w:rsidP="00664AD3">
      <w:pPr>
        <w:spacing w:before="120" w:after="0" w:line="360" w:lineRule="auto"/>
        <w:jc w:val="both"/>
        <w:rPr>
          <w:rFonts w:cs="David"/>
          <w:sz w:val="24"/>
          <w:szCs w:val="24"/>
          <w:rtl/>
        </w:rPr>
      </w:pPr>
    </w:p>
    <w:p w:rsidR="00664AD3" w:rsidRDefault="00664AD3" w:rsidP="00664AD3">
      <w:pPr>
        <w:spacing w:before="120" w:after="0" w:line="360" w:lineRule="auto"/>
        <w:jc w:val="both"/>
        <w:rPr>
          <w:rFonts w:cs="David"/>
          <w:sz w:val="24"/>
          <w:szCs w:val="24"/>
          <w:rtl/>
        </w:rPr>
      </w:pPr>
      <w:r w:rsidRPr="008B41FD">
        <w:rPr>
          <w:rFonts w:cs="David" w:hint="cs"/>
          <w:sz w:val="24"/>
          <w:szCs w:val="24"/>
          <w:rtl/>
        </w:rPr>
        <w:t>נוסחן של העבירות מקורו בפקודת החוק הפלילי 1936 שאומץ  לתוך חוק העונשין בעת קבלתו בשנת 1977. בתי המשפט בי</w:t>
      </w:r>
      <w:r>
        <w:rPr>
          <w:rFonts w:cs="David" w:hint="cs"/>
          <w:sz w:val="24"/>
          <w:szCs w:val="24"/>
          <w:rtl/>
        </w:rPr>
        <w:t>קרו את נוסחן של עבירות ההמתה, את המדרג הקיים ביניהן, את היעדר ההלימה לעיתים בין האשם לעבירה שבה ניתן להרשיע.</w:t>
      </w:r>
      <w:r w:rsidRPr="008B41FD">
        <w:rPr>
          <w:rFonts w:cs="David" w:hint="cs"/>
          <w:sz w:val="24"/>
          <w:szCs w:val="24"/>
          <w:rtl/>
        </w:rPr>
        <w:t xml:space="preserve"> נוסחה של עבירת הרצח עוררה פעמים רבות קשיים בפסיקה באופן שלעיתים לא </w:t>
      </w:r>
      <w:proofErr w:type="spellStart"/>
      <w:r w:rsidRPr="008B41FD">
        <w:rPr>
          <w:rFonts w:cs="David" w:hint="cs"/>
          <w:sz w:val="24"/>
          <w:szCs w:val="24"/>
          <w:rtl/>
        </w:rPr>
        <w:t>איפשר</w:t>
      </w:r>
      <w:proofErr w:type="spellEnd"/>
      <w:r w:rsidRPr="008B41FD">
        <w:rPr>
          <w:rFonts w:cs="David" w:hint="cs"/>
          <w:sz w:val="24"/>
          <w:szCs w:val="24"/>
          <w:rtl/>
        </w:rPr>
        <w:t xml:space="preserve"> הרשעה ברצח למרות שראוי היה לתייג את מעשה ההמתה ככזה מאחר שלא ניתן היה להוכיח את יסוד הכוונה תחילה. הפסיקה צמצמה אמנם את פרשנותה של הכוונה תחילה אך נתק</w:t>
      </w:r>
      <w:r>
        <w:rPr>
          <w:rFonts w:cs="David" w:hint="cs"/>
          <w:sz w:val="24"/>
          <w:szCs w:val="24"/>
          <w:rtl/>
        </w:rPr>
        <w:t xml:space="preserve">לה בכל זאת בקשיים במקרים מסוימים. </w:t>
      </w:r>
    </w:p>
    <w:p w:rsidR="00664AD3" w:rsidRPr="008B41FD" w:rsidRDefault="00664AD3" w:rsidP="00664AD3">
      <w:pPr>
        <w:spacing w:before="120" w:after="0" w:line="360" w:lineRule="auto"/>
        <w:jc w:val="both"/>
        <w:rPr>
          <w:rFonts w:cs="David"/>
          <w:b/>
          <w:bCs/>
          <w:sz w:val="24"/>
          <w:szCs w:val="24"/>
          <w:rtl/>
        </w:rPr>
      </w:pPr>
      <w:r>
        <w:rPr>
          <w:rFonts w:cs="David" w:hint="cs"/>
          <w:sz w:val="24"/>
          <w:szCs w:val="24"/>
          <w:rtl/>
        </w:rPr>
        <w:t xml:space="preserve">כמו כן, </w:t>
      </w:r>
      <w:r w:rsidRPr="00DA2BC1">
        <w:rPr>
          <w:rFonts w:cs="David" w:hint="cs"/>
          <w:sz w:val="24"/>
          <w:szCs w:val="24"/>
          <w:rtl/>
        </w:rPr>
        <w:t>ההבחנה בין עבירת הרצח לעבירת ההריגה על בסיס יסוד ה"כוונה תחילה" עורר שאלה האם</w:t>
      </w:r>
      <w:r w:rsidRPr="008B41FD">
        <w:rPr>
          <w:rFonts w:cs="David" w:hint="cs"/>
          <w:sz w:val="24"/>
          <w:szCs w:val="24"/>
          <w:rtl/>
        </w:rPr>
        <w:t xml:space="preserve"> בהכרח בכל מקרה קטילת חיי אדם באופן ספונטני היא מוסרית יותר מאשר קטילת חיים לאחר שקילה והרהור.</w:t>
      </w:r>
      <w:r>
        <w:rPr>
          <w:rFonts w:cs="David" w:hint="cs"/>
          <w:sz w:val="24"/>
          <w:szCs w:val="24"/>
          <w:rtl/>
        </w:rPr>
        <w:t xml:space="preserve"> כך למשל ב</w:t>
      </w:r>
      <w:r w:rsidRPr="008B41FD">
        <w:rPr>
          <w:rFonts w:cs="David" w:hint="cs"/>
          <w:sz w:val="24"/>
          <w:szCs w:val="24"/>
          <w:rtl/>
        </w:rPr>
        <w:t xml:space="preserve">ע"פ 70/04 </w:t>
      </w:r>
      <w:r>
        <w:rPr>
          <w:rFonts w:cs="David" w:hint="cs"/>
          <w:sz w:val="24"/>
          <w:szCs w:val="24"/>
          <w:rtl/>
        </w:rPr>
        <w:t xml:space="preserve">בעניין </w:t>
      </w:r>
      <w:proofErr w:type="spellStart"/>
      <w:r w:rsidRPr="0043500C">
        <w:rPr>
          <w:rFonts w:cs="David" w:hint="cs"/>
          <w:b/>
          <w:bCs/>
          <w:sz w:val="24"/>
          <w:szCs w:val="24"/>
          <w:rtl/>
        </w:rPr>
        <w:t>פוריאדין</w:t>
      </w:r>
      <w:proofErr w:type="spellEnd"/>
      <w:r w:rsidRPr="0043500C">
        <w:rPr>
          <w:rFonts w:cs="David" w:hint="cs"/>
          <w:b/>
          <w:bCs/>
          <w:sz w:val="24"/>
          <w:szCs w:val="24"/>
          <w:rtl/>
        </w:rPr>
        <w:t xml:space="preserve"> </w:t>
      </w:r>
      <w:r>
        <w:rPr>
          <w:rFonts w:cs="David" w:hint="cs"/>
          <w:sz w:val="24"/>
          <w:szCs w:val="24"/>
          <w:rtl/>
        </w:rPr>
        <w:t>עמד השופט חשין על הקושי בהגדרה שלא מאפשרת להרשיע ברצח בשל כך שלא מתגבש יסוד הכוונה תחילה</w:t>
      </w:r>
      <w:r w:rsidRPr="008B41FD">
        <w:rPr>
          <w:rFonts w:cs="David" w:hint="cs"/>
          <w:sz w:val="24"/>
          <w:szCs w:val="24"/>
          <w:rtl/>
        </w:rPr>
        <w:t xml:space="preserve"> </w:t>
      </w:r>
      <w:r w:rsidRPr="008B41FD">
        <w:rPr>
          <w:rStyle w:val="a7"/>
          <w:rFonts w:cs="David"/>
          <w:sz w:val="24"/>
          <w:szCs w:val="24"/>
          <w:rtl/>
        </w:rPr>
        <w:footnoteReference w:id="21"/>
      </w:r>
      <w:r>
        <w:rPr>
          <w:rFonts w:cs="David" w:hint="cs"/>
          <w:sz w:val="24"/>
          <w:szCs w:val="24"/>
          <w:rtl/>
        </w:rPr>
        <w:t>:</w:t>
      </w:r>
      <w:r w:rsidRPr="008B41FD">
        <w:rPr>
          <w:rFonts w:cs="David" w:hint="cs"/>
          <w:b/>
          <w:bCs/>
          <w:sz w:val="24"/>
          <w:szCs w:val="24"/>
          <w:rtl/>
        </w:rPr>
        <w:t xml:space="preserve">  </w:t>
      </w:r>
    </w:p>
    <w:p w:rsidR="00664AD3" w:rsidRPr="008B41FD" w:rsidRDefault="00664AD3" w:rsidP="00664AD3">
      <w:pPr>
        <w:spacing w:before="120" w:after="0" w:line="360" w:lineRule="auto"/>
        <w:ind w:left="680" w:right="680"/>
        <w:jc w:val="both"/>
        <w:rPr>
          <w:rFonts w:cs="David"/>
          <w:b/>
          <w:bCs/>
          <w:sz w:val="24"/>
          <w:szCs w:val="24"/>
          <w:rtl/>
        </w:rPr>
      </w:pPr>
      <w:r w:rsidRPr="008B41FD">
        <w:rPr>
          <w:rFonts w:cs="David" w:hint="cs"/>
          <w:b/>
          <w:bCs/>
          <w:sz w:val="24"/>
          <w:szCs w:val="24"/>
          <w:rtl/>
        </w:rPr>
        <w:t xml:space="preserve">"המערער נהג להכות את </w:t>
      </w:r>
      <w:proofErr w:type="spellStart"/>
      <w:r w:rsidRPr="008B41FD">
        <w:rPr>
          <w:rFonts w:cs="David" w:hint="cs"/>
          <w:b/>
          <w:bCs/>
          <w:sz w:val="24"/>
          <w:szCs w:val="24"/>
          <w:rtl/>
        </w:rPr>
        <w:t>אישתו</w:t>
      </w:r>
      <w:proofErr w:type="spellEnd"/>
      <w:r w:rsidRPr="008B41FD">
        <w:rPr>
          <w:rFonts w:cs="David" w:hint="cs"/>
          <w:b/>
          <w:bCs/>
          <w:sz w:val="24"/>
          <w:szCs w:val="24"/>
          <w:rtl/>
        </w:rPr>
        <w:t xml:space="preserve"> המנוחה באכזריות שלא תתואר</w:t>
      </w:r>
      <w:r>
        <w:rPr>
          <w:rFonts w:cs="David" w:hint="cs"/>
          <w:b/>
          <w:bCs/>
          <w:sz w:val="24"/>
          <w:szCs w:val="24"/>
          <w:rtl/>
        </w:rPr>
        <w:t>.....</w:t>
      </w:r>
      <w:r w:rsidRPr="008B41FD">
        <w:rPr>
          <w:rFonts w:cs="David" w:hint="cs"/>
          <w:b/>
          <w:bCs/>
          <w:sz w:val="24"/>
          <w:szCs w:val="24"/>
          <w:rtl/>
        </w:rPr>
        <w:t xml:space="preserve">וגם לאחר שמסכנה זו שכבה בביתה מתפתלת </w:t>
      </w:r>
      <w:proofErr w:type="spellStart"/>
      <w:r w:rsidRPr="008B41FD">
        <w:rPr>
          <w:rFonts w:cs="David" w:hint="cs"/>
          <w:b/>
          <w:bCs/>
          <w:sz w:val="24"/>
          <w:szCs w:val="24"/>
          <w:rtl/>
        </w:rPr>
        <w:t>ביסוריה</w:t>
      </w:r>
      <w:proofErr w:type="spellEnd"/>
      <w:r w:rsidRPr="008B41FD">
        <w:rPr>
          <w:rFonts w:cs="David" w:hint="cs"/>
          <w:b/>
          <w:bCs/>
          <w:sz w:val="24"/>
          <w:szCs w:val="24"/>
          <w:rtl/>
        </w:rPr>
        <w:t xml:space="preserve">, לא הזעיק המערער עזרה לה. על מעשיו הקשים והרעים הורשע המערער בעבירת הריגה. </w:t>
      </w:r>
    </w:p>
    <w:p w:rsidR="00664AD3" w:rsidRPr="008B41FD" w:rsidRDefault="00664AD3" w:rsidP="00664AD3">
      <w:pPr>
        <w:spacing w:before="120" w:after="0" w:line="360" w:lineRule="auto"/>
        <w:ind w:left="680" w:right="680"/>
        <w:jc w:val="both"/>
        <w:rPr>
          <w:rFonts w:cs="David"/>
          <w:b/>
          <w:bCs/>
          <w:sz w:val="24"/>
          <w:szCs w:val="24"/>
          <w:rtl/>
        </w:rPr>
      </w:pPr>
      <w:r w:rsidRPr="008B41FD">
        <w:rPr>
          <w:rFonts w:cs="David" w:hint="cs"/>
          <w:b/>
          <w:bCs/>
          <w:sz w:val="24"/>
          <w:szCs w:val="24"/>
          <w:rtl/>
        </w:rPr>
        <w:t> ואני אין לי מנוח. מה טעם מורה אותנו החוק כי עבירה שעבר המערער עבירת הריגה היא ולא עבירת רצח? והרי בלשון בני אדם  נוכל בנקל לתאר את מעשהו של המערער כמעשה רצח. אכן, לא רצח מדרגה ראשונה - כמעשה רצח של שכיר לרצח - ואולם מה-טעם לא רצח מדרגה שניה...."</w:t>
      </w:r>
      <w:r>
        <w:rPr>
          <w:rFonts w:cs="David" w:hint="cs"/>
          <w:b/>
          <w:bCs/>
          <w:sz w:val="24"/>
          <w:szCs w:val="24"/>
          <w:rtl/>
        </w:rPr>
        <w:t>.</w:t>
      </w:r>
      <w:r w:rsidRPr="008B41FD">
        <w:rPr>
          <w:rFonts w:cs="David" w:hint="cs"/>
          <w:b/>
          <w:bCs/>
          <w:sz w:val="24"/>
          <w:szCs w:val="24"/>
          <w:rtl/>
        </w:rPr>
        <w:t xml:space="preserve"> </w:t>
      </w:r>
    </w:p>
    <w:p w:rsidR="00664AD3" w:rsidRDefault="00664AD3" w:rsidP="00664AD3">
      <w:pPr>
        <w:spacing w:before="120" w:after="0" w:line="360" w:lineRule="auto"/>
        <w:jc w:val="both"/>
        <w:rPr>
          <w:rFonts w:cs="David"/>
          <w:sz w:val="24"/>
          <w:szCs w:val="24"/>
          <w:rtl/>
        </w:rPr>
      </w:pP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 xml:space="preserve">קושי נוסף התעורר לעניין העונש הקבוע לצד עבירת הרצח- עונש מאסר עולם חובה שלא מאפשר לסטות ממנו אלא אם מדובר במצבים הנמנים בסעיף 300א. ואולם, גם במצבים המפורטים בסעיף, התיוג נותר כעבירת רצח, כאשר לעיתים לא ראוי לתייג את המעשה כמעשה של רצח. </w:t>
      </w:r>
    </w:p>
    <w:p w:rsidR="00664AD3" w:rsidRPr="00B2529B" w:rsidRDefault="00664AD3" w:rsidP="00664AD3">
      <w:pPr>
        <w:spacing w:before="120" w:after="0" w:line="360" w:lineRule="auto"/>
        <w:jc w:val="both"/>
        <w:rPr>
          <w:rFonts w:cs="David"/>
          <w:sz w:val="24"/>
          <w:szCs w:val="24"/>
          <w:rtl/>
        </w:rPr>
      </w:pPr>
      <w:r>
        <w:rPr>
          <w:rFonts w:cs="David" w:hint="cs"/>
          <w:sz w:val="24"/>
          <w:szCs w:val="24"/>
          <w:rtl/>
        </w:rPr>
        <w:t>כפי שהוזכר לעיל, בית המשפט העליון שב וקרא למחוקק לבחון את עבירות ההמתה</w:t>
      </w:r>
      <w:r>
        <w:rPr>
          <w:rStyle w:val="a7"/>
          <w:rFonts w:cs="David"/>
          <w:sz w:val="24"/>
          <w:szCs w:val="24"/>
          <w:rtl/>
        </w:rPr>
        <w:footnoteReference w:id="22"/>
      </w:r>
      <w:r w:rsidRPr="00B2529B">
        <w:rPr>
          <w:rFonts w:cs="David" w:hint="cs"/>
          <w:sz w:val="24"/>
          <w:szCs w:val="24"/>
          <w:rtl/>
        </w:rPr>
        <w:t>:</w:t>
      </w:r>
    </w:p>
    <w:p w:rsidR="00664AD3" w:rsidRPr="00B2529B" w:rsidRDefault="00664AD3" w:rsidP="00664AD3">
      <w:pPr>
        <w:spacing w:before="120" w:after="0" w:line="360" w:lineRule="auto"/>
        <w:ind w:left="680" w:right="680"/>
        <w:jc w:val="both"/>
        <w:rPr>
          <w:rFonts w:cs="David"/>
          <w:b/>
          <w:bCs/>
          <w:sz w:val="24"/>
          <w:szCs w:val="24"/>
          <w:rtl/>
        </w:rPr>
      </w:pPr>
      <w:r>
        <w:rPr>
          <w:rFonts w:cs="David" w:hint="cs"/>
          <w:b/>
          <w:bCs/>
          <w:sz w:val="24"/>
          <w:szCs w:val="24"/>
          <w:rtl/>
        </w:rPr>
        <w:t>"</w:t>
      </w:r>
      <w:r w:rsidRPr="00B2529B">
        <w:rPr>
          <w:rFonts w:cs="David" w:hint="cs"/>
          <w:b/>
          <w:bCs/>
          <w:sz w:val="24"/>
          <w:szCs w:val="24"/>
          <w:rtl/>
        </w:rPr>
        <w:t>מן הראוי הוא לבחון מחדש את דיני ההמתה בכלל ואת דיני הרצח בפרט</w:t>
      </w:r>
      <w:r>
        <w:rPr>
          <w:rFonts w:cs="David" w:hint="cs"/>
          <w:b/>
          <w:bCs/>
          <w:sz w:val="24"/>
          <w:szCs w:val="24"/>
          <w:rtl/>
        </w:rPr>
        <w:t>...</w:t>
      </w:r>
      <w:r w:rsidRPr="00B2529B">
        <w:rPr>
          <w:rFonts w:cs="David" w:hint="cs"/>
          <w:b/>
          <w:bCs/>
          <w:sz w:val="24"/>
          <w:szCs w:val="24"/>
          <w:rtl/>
        </w:rPr>
        <w:t xml:space="preserve">. יש לחדש את העבירות עצמן, ואת העונש </w:t>
      </w:r>
      <w:proofErr w:type="spellStart"/>
      <w:r w:rsidRPr="00B2529B">
        <w:rPr>
          <w:rFonts w:cs="David" w:hint="cs"/>
          <w:b/>
          <w:bCs/>
          <w:sz w:val="24"/>
          <w:szCs w:val="24"/>
          <w:rtl/>
        </w:rPr>
        <w:t>שבצידן</w:t>
      </w:r>
      <w:proofErr w:type="spellEnd"/>
      <w:r w:rsidRPr="00B2529B">
        <w:rPr>
          <w:rFonts w:cs="David" w:hint="cs"/>
          <w:b/>
          <w:bCs/>
          <w:sz w:val="24"/>
          <w:szCs w:val="24"/>
          <w:rtl/>
        </w:rPr>
        <w:t>. כך, למשל, האם מוצדק הוא שלא להבחין בין סוגים שונים של רצח? האין מקום להבחין, למשל, בין "רצח מדרגה ראשונה" לבין "רצח מדרגה שניה"? האם מוצדק הוא כי לכל מקרי הרצח עונש מאסר העולם הוא עונש חובה?</w:t>
      </w:r>
      <w:r>
        <w:rPr>
          <w:rFonts w:cs="David" w:hint="cs"/>
          <w:b/>
          <w:bCs/>
          <w:sz w:val="24"/>
          <w:szCs w:val="24"/>
          <w:rtl/>
        </w:rPr>
        <w:t>"</w:t>
      </w:r>
    </w:p>
    <w:p w:rsidR="00664AD3" w:rsidRPr="00B2529B" w:rsidRDefault="00664AD3" w:rsidP="00664AD3">
      <w:pPr>
        <w:pStyle w:val="ruller4"/>
        <w:spacing w:before="120"/>
        <w:rPr>
          <w:rFonts w:cs="David"/>
          <w:sz w:val="24"/>
          <w:szCs w:val="24"/>
          <w:rtl/>
        </w:rPr>
      </w:pPr>
    </w:p>
    <w:p w:rsidR="00664AD3" w:rsidRPr="008B41FD" w:rsidRDefault="00664AD3" w:rsidP="00664AD3">
      <w:pPr>
        <w:spacing w:before="120" w:after="0" w:line="360" w:lineRule="auto"/>
        <w:rPr>
          <w:rFonts w:cs="David"/>
          <w:b/>
          <w:bCs/>
          <w:sz w:val="24"/>
          <w:szCs w:val="24"/>
          <w:rtl/>
        </w:rPr>
      </w:pPr>
      <w:r w:rsidRPr="005C7B78">
        <w:rPr>
          <w:rFonts w:cs="David" w:hint="cs"/>
          <w:b/>
          <w:bCs/>
          <w:sz w:val="24"/>
          <w:szCs w:val="24"/>
          <w:rtl/>
        </w:rPr>
        <w:t>הצעת החוק הממשלתית</w:t>
      </w:r>
    </w:p>
    <w:p w:rsidR="00664AD3" w:rsidRDefault="00664AD3" w:rsidP="00664AD3">
      <w:pPr>
        <w:spacing w:before="120" w:after="0" w:line="360" w:lineRule="auto"/>
        <w:jc w:val="both"/>
        <w:rPr>
          <w:rFonts w:cs="David"/>
          <w:sz w:val="24"/>
          <w:szCs w:val="24"/>
          <w:rtl/>
        </w:rPr>
      </w:pPr>
      <w:r>
        <w:rPr>
          <w:rFonts w:cs="David" w:hint="cs"/>
          <w:sz w:val="24"/>
          <w:szCs w:val="24"/>
          <w:rtl/>
        </w:rPr>
        <w:t xml:space="preserve">ועדת </w:t>
      </w:r>
      <w:proofErr w:type="spellStart"/>
      <w:r>
        <w:rPr>
          <w:rFonts w:cs="David" w:hint="cs"/>
          <w:sz w:val="24"/>
          <w:szCs w:val="24"/>
          <w:rtl/>
        </w:rPr>
        <w:t>קרמינצר</w:t>
      </w:r>
      <w:proofErr w:type="spellEnd"/>
      <w:r>
        <w:rPr>
          <w:rFonts w:cs="David" w:hint="cs"/>
          <w:sz w:val="24"/>
          <w:szCs w:val="24"/>
          <w:rtl/>
        </w:rPr>
        <w:t xml:space="preserve"> לאחר עבודת מקצועית ומקיפה הציעה מתווה נורמטיבי חדש המבוסס על בחינת הספרות, הפסיקה, הניסיון מהשטח ומשפט משווה והיוותה כאמור את הבסיס להצעת החוק הממשלתית.</w:t>
      </w:r>
    </w:p>
    <w:p w:rsidR="00664AD3" w:rsidRPr="008B41FD"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 xml:space="preserve">מוצע לערוך שינוי יסודי ולקבוע מדרג חדש של עבירות ההמתה, הכולל נוסח חדש של העבירות עצמן ושל העונש שלצדן. </w:t>
      </w:r>
      <w:r w:rsidRPr="008B41FD">
        <w:rPr>
          <w:rFonts w:ascii="David" w:hAnsi="David" w:cs="David" w:hint="cs"/>
          <w:sz w:val="24"/>
          <w:szCs w:val="24"/>
          <w:rtl/>
        </w:rPr>
        <w:t>ההנחה העומדת בבסיס ההצעה היא שהמדרג הקיים בחוק העונשין אינו ראוי</w:t>
      </w:r>
      <w:r>
        <w:rPr>
          <w:rFonts w:ascii="David" w:hAnsi="David" w:cs="David" w:hint="cs"/>
          <w:sz w:val="24"/>
          <w:szCs w:val="24"/>
          <w:rtl/>
        </w:rPr>
        <w:t xml:space="preserve"> ויש </w:t>
      </w:r>
      <w:r w:rsidRPr="008B41FD">
        <w:rPr>
          <w:rFonts w:ascii="David" w:hAnsi="David" w:cs="David" w:hint="cs"/>
          <w:sz w:val="24"/>
          <w:szCs w:val="24"/>
          <w:rtl/>
        </w:rPr>
        <w:t>ל</w:t>
      </w:r>
      <w:r>
        <w:rPr>
          <w:rFonts w:ascii="David" w:hAnsi="David" w:cs="David" w:hint="cs"/>
          <w:sz w:val="24"/>
          <w:szCs w:val="24"/>
          <w:rtl/>
        </w:rPr>
        <w:t>שנותו</w:t>
      </w:r>
      <w:r w:rsidRPr="008B41FD">
        <w:rPr>
          <w:rFonts w:ascii="David" w:hAnsi="David" w:cs="David" w:hint="cs"/>
          <w:sz w:val="24"/>
          <w:szCs w:val="24"/>
          <w:rtl/>
        </w:rPr>
        <w:t>.</w:t>
      </w:r>
    </w:p>
    <w:p w:rsidR="00664AD3" w:rsidRPr="008B41FD" w:rsidRDefault="00664AD3" w:rsidP="00664AD3">
      <w:pPr>
        <w:spacing w:before="120" w:after="0" w:line="360" w:lineRule="auto"/>
        <w:jc w:val="both"/>
        <w:rPr>
          <w:rtl/>
          <w:lang w:eastAsia="he-IL"/>
        </w:rPr>
      </w:pPr>
      <w:r w:rsidRPr="008B41FD">
        <w:rPr>
          <w:rFonts w:ascii="David" w:hAnsi="David" w:cs="David" w:hint="cs"/>
          <w:sz w:val="24"/>
          <w:szCs w:val="24"/>
          <w:rtl/>
        </w:rPr>
        <w:t xml:space="preserve">בפתחו של </w:t>
      </w:r>
      <w:r w:rsidRPr="008B41FD">
        <w:rPr>
          <w:rFonts w:ascii="David" w:hAnsi="David" w:cs="David"/>
          <w:sz w:val="24"/>
          <w:szCs w:val="24"/>
          <w:rtl/>
        </w:rPr>
        <w:t>דו"ח הצוות לבחינת יסודות עבירות ההמתה</w:t>
      </w:r>
      <w:r w:rsidRPr="008B41FD">
        <w:rPr>
          <w:rFonts w:ascii="David" w:hAnsi="David" w:cs="David" w:hint="cs"/>
          <w:sz w:val="24"/>
          <w:szCs w:val="24"/>
          <w:rtl/>
        </w:rPr>
        <w:t xml:space="preserve"> הובהר, שמסקנות הדוח מבוססות על הרצון להעניק משקל הולם לשני עקרונות: עיקרון קדושת חיי האדם ו"</w:t>
      </w:r>
      <w:r w:rsidRPr="008B41FD">
        <w:rPr>
          <w:rFonts w:ascii="David" w:hAnsi="David" w:cs="David"/>
          <w:sz w:val="24"/>
          <w:szCs w:val="24"/>
          <w:rtl/>
        </w:rPr>
        <w:t>עקרון האשמה, הנגזר מערך כבוד האדם</w:t>
      </w:r>
      <w:r w:rsidRPr="008B41FD">
        <w:rPr>
          <w:rFonts w:ascii="David" w:hAnsi="David" w:cs="David" w:hint="cs"/>
          <w:sz w:val="24"/>
          <w:szCs w:val="24"/>
          <w:rtl/>
        </w:rPr>
        <w:t>" המחייב ש"</w:t>
      </w:r>
      <w:r w:rsidRPr="008B41FD">
        <w:rPr>
          <w:rFonts w:ascii="David" w:hAnsi="David" w:cs="David"/>
          <w:sz w:val="24"/>
          <w:szCs w:val="24"/>
          <w:rtl/>
        </w:rPr>
        <w:t>לא תוטל אחריות פלילית על אדם מעבר למידת אשמתו</w:t>
      </w:r>
      <w:r w:rsidRPr="008B41FD">
        <w:rPr>
          <w:rFonts w:hint="cs"/>
          <w:rtl/>
          <w:lang w:eastAsia="he-IL"/>
        </w:rPr>
        <w:t>"</w:t>
      </w:r>
      <w:r w:rsidRPr="008B41FD">
        <w:rPr>
          <w:rtl/>
          <w:lang w:eastAsia="he-IL"/>
        </w:rPr>
        <w:t>.</w:t>
      </w:r>
      <w:r w:rsidRPr="008B41FD">
        <w:rPr>
          <w:rStyle w:val="a7"/>
          <w:rtl/>
          <w:lang w:eastAsia="he-IL"/>
        </w:rPr>
        <w:footnoteReference w:id="23"/>
      </w:r>
    </w:p>
    <w:p w:rsidR="00664AD3" w:rsidRDefault="00664AD3" w:rsidP="00664AD3">
      <w:pPr>
        <w:spacing w:before="120" w:after="0" w:line="360" w:lineRule="auto"/>
        <w:rPr>
          <w:rFonts w:ascii="David" w:hAnsi="David" w:cs="David"/>
          <w:sz w:val="24"/>
          <w:szCs w:val="24"/>
          <w:rtl/>
        </w:rPr>
      </w:pPr>
      <w:r>
        <w:rPr>
          <w:rFonts w:ascii="David" w:hAnsi="David" w:cs="David" w:hint="cs"/>
          <w:sz w:val="24"/>
          <w:szCs w:val="24"/>
          <w:rtl/>
        </w:rPr>
        <w:t>המדרג החדש שמוצע שונה בנקודות רבות מהחוק הקיים, כפי שיוצג להלן:</w:t>
      </w:r>
    </w:p>
    <w:p w:rsidR="00664AD3" w:rsidRDefault="00664AD3" w:rsidP="00664AD3">
      <w:pPr>
        <w:spacing w:before="120" w:after="0" w:line="360" w:lineRule="auto"/>
        <w:rPr>
          <w:rFonts w:ascii="David" w:hAnsi="David" w:cs="David"/>
          <w:sz w:val="24"/>
          <w:szCs w:val="24"/>
          <w:rtl/>
        </w:rPr>
      </w:pPr>
    </w:p>
    <w:tbl>
      <w:tblPr>
        <w:tblStyle w:val="a4"/>
        <w:bidiVisual/>
        <w:tblW w:w="0" w:type="auto"/>
        <w:tblLook w:val="04A0" w:firstRow="1" w:lastRow="0" w:firstColumn="1" w:lastColumn="0" w:noHBand="0" w:noVBand="1"/>
      </w:tblPr>
      <w:tblGrid>
        <w:gridCol w:w="8296"/>
      </w:tblGrid>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t>רצח בנסיבות מחמירות</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בכוונה או באדישות למותו של אדם באחת מן הנסיבות המפורטות להלן </w:t>
            </w:r>
            <w:r w:rsidRPr="008B41FD">
              <w:rPr>
                <w:rFonts w:ascii="David" w:hAnsi="David" w:cs="David"/>
                <w:sz w:val="24"/>
                <w:szCs w:val="24"/>
                <w:rtl/>
              </w:rPr>
              <w:t>–</w:t>
            </w:r>
            <w:r w:rsidRPr="008B41FD">
              <w:rPr>
                <w:rFonts w:ascii="David" w:hAnsi="David" w:cs="David" w:hint="cs"/>
                <w:sz w:val="24"/>
                <w:szCs w:val="24"/>
                <w:rtl/>
              </w:rPr>
              <w:t xml:space="preserve"> דינו מאסר עולם חובה:</w:t>
            </w:r>
          </w:p>
          <w:p w:rsidR="00664AD3" w:rsidRPr="00BE213D" w:rsidRDefault="00664AD3" w:rsidP="00A071D2">
            <w:pPr>
              <w:spacing w:line="360" w:lineRule="auto"/>
              <w:rPr>
                <w:rFonts w:ascii="David" w:hAnsi="David" w:cs="David"/>
                <w:sz w:val="20"/>
                <w:szCs w:val="20"/>
                <w:rtl/>
              </w:rPr>
            </w:pPr>
            <w:r w:rsidRPr="00BE213D">
              <w:rPr>
                <w:rFonts w:ascii="David" w:hAnsi="David" w:cs="David" w:hint="cs"/>
                <w:sz w:val="20"/>
                <w:szCs w:val="20"/>
                <w:rtl/>
              </w:rPr>
              <w:t>תמצית הנסיבות המחמירות:</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מעשה לאחר תכנון או הליך ממשי של שקילה וגיבוש החלטה להמית.</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המעשה נעשה במטרה לאפשר ביצוע עבירה אחר או להקל על ביצועה, או במטרה להסתיר ביצועה או לאפשר הימלטות מהדין לאחר ביצוע עבירה אחרת.</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הקורבן היה עד במשפט פלילי או צפוי למסור עדות והמעשה נעשה במטרה למנוע או להכשיל את ההליך.</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המעשה נעשה במטרה לעורר פחד או בהלה בציבור או במטרה להניע ממשלה או רשות שלטונית לעשות מעשה.</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 xml:space="preserve">המעשה נעשה מתוך מניע של גזענות או עוינות כלפי ציבור. </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 xml:space="preserve"> המעשה נעשה כפעולה </w:t>
            </w:r>
            <w:proofErr w:type="spellStart"/>
            <w:r w:rsidRPr="00BE213D">
              <w:rPr>
                <w:rFonts w:ascii="David" w:hAnsi="David" w:cs="David" w:hint="cs"/>
                <w:sz w:val="20"/>
                <w:szCs w:val="20"/>
                <w:rtl/>
              </w:rPr>
              <w:t>עונשית</w:t>
            </w:r>
            <w:proofErr w:type="spellEnd"/>
            <w:r w:rsidRPr="00BE213D">
              <w:rPr>
                <w:rFonts w:ascii="David" w:hAnsi="David" w:cs="David" w:hint="cs"/>
                <w:sz w:val="20"/>
                <w:szCs w:val="20"/>
                <w:rtl/>
              </w:rPr>
              <w:t xml:space="preserve"> במטרה </w:t>
            </w:r>
            <w:proofErr w:type="spellStart"/>
            <w:r w:rsidRPr="00BE213D">
              <w:rPr>
                <w:rFonts w:ascii="David" w:hAnsi="David" w:cs="David" w:hint="cs"/>
                <w:sz w:val="20"/>
                <w:szCs w:val="20"/>
                <w:rtl/>
              </w:rPr>
              <w:t>להטל</w:t>
            </w:r>
            <w:proofErr w:type="spellEnd"/>
            <w:r w:rsidRPr="00BE213D">
              <w:rPr>
                <w:rFonts w:ascii="David" w:hAnsi="David" w:cs="David" w:hint="cs"/>
                <w:sz w:val="20"/>
                <w:szCs w:val="20"/>
                <w:rtl/>
              </w:rPr>
              <w:t xml:space="preserve"> מורה או מורא ולכפות אורחות התנהגות על הציבור (כדוגמת רצח על רקע "כבוד המשפחה").</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המעשה נעשה באכזריות מיוחדת או תוך התעללות בקורבן.</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הקורבן הוא קטין והממית היה אחראי עליו.</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הקורבן הוא חסר ישע.</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המעשה בוצע תוך יצירת סכנה ממשית לפגיעה חמורה בגופו של אדם אחר נוסף על הקורבן.</w:t>
            </w:r>
          </w:p>
          <w:p w:rsidR="00664AD3" w:rsidRPr="00BE213D" w:rsidRDefault="00664AD3" w:rsidP="00664AD3">
            <w:pPr>
              <w:pStyle w:val="a3"/>
              <w:numPr>
                <w:ilvl w:val="0"/>
                <w:numId w:val="5"/>
              </w:numPr>
              <w:spacing w:line="360" w:lineRule="auto"/>
              <w:rPr>
                <w:rFonts w:ascii="David" w:hAnsi="David" w:cs="David"/>
                <w:sz w:val="20"/>
                <w:szCs w:val="20"/>
              </w:rPr>
            </w:pPr>
            <w:r w:rsidRPr="00BE213D">
              <w:rPr>
                <w:rFonts w:ascii="David" w:hAnsi="David" w:cs="David" w:hint="cs"/>
                <w:sz w:val="20"/>
                <w:szCs w:val="20"/>
                <w:rtl/>
              </w:rPr>
              <w:t>המעשה בוצע במסגרת פעילות של ארגון פשיעה או טרור.</w:t>
            </w:r>
          </w:p>
          <w:p w:rsidR="00664AD3" w:rsidRPr="008B41FD" w:rsidRDefault="00664AD3" w:rsidP="00A071D2">
            <w:pPr>
              <w:spacing w:before="120" w:line="360" w:lineRule="auto"/>
              <w:ind w:left="360"/>
              <w:jc w:val="both"/>
              <w:rPr>
                <w:rFonts w:ascii="David" w:hAnsi="David" w:cs="David"/>
                <w:sz w:val="24"/>
                <w:szCs w:val="24"/>
                <w:rtl/>
              </w:rPr>
            </w:pPr>
            <w:r w:rsidRPr="008B41FD">
              <w:rPr>
                <w:rFonts w:ascii="David" w:hAnsi="David" w:cs="David" w:hint="cs"/>
                <w:sz w:val="24"/>
                <w:szCs w:val="24"/>
                <w:rtl/>
              </w:rPr>
              <w:t xml:space="preserve">ואולם, אם התקיימה נסיבה מחמירה אך ביהמ"ש מצא, מנימוקים מיוחדים שיירשמו, שהתקיימו נסיבות מיוחדת שבשלהן </w:t>
            </w:r>
            <w:r w:rsidRPr="00FA1F08">
              <w:rPr>
                <w:rFonts w:ascii="David" w:hAnsi="David" w:cs="David" w:hint="cs"/>
                <w:sz w:val="24"/>
                <w:szCs w:val="24"/>
                <w:u w:val="single"/>
                <w:rtl/>
              </w:rPr>
              <w:t>המעשה</w:t>
            </w:r>
            <w:r w:rsidRPr="008B41FD">
              <w:rPr>
                <w:rFonts w:ascii="David" w:hAnsi="David" w:cs="David" w:hint="cs"/>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(ההתייחסות היא למידת האשם במעשה ולא לנסיבותיו האישיות של הממית)</w:t>
            </w:r>
            <w:r w:rsidRPr="008B41FD">
              <w:rPr>
                <w:rFonts w:ascii="David" w:hAnsi="David" w:cs="David" w:hint="cs"/>
                <w:sz w:val="24"/>
                <w:szCs w:val="24"/>
                <w:rtl/>
              </w:rPr>
              <w:t>.</w:t>
            </w:r>
          </w:p>
        </w:tc>
      </w:tr>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lastRenderedPageBreak/>
              <w:t>רצח</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בכוונה או באדישות למותו של אדם, דינו </w:t>
            </w:r>
            <w:r w:rsidRPr="008B41FD">
              <w:rPr>
                <w:rFonts w:ascii="David" w:hAnsi="David" w:cs="David"/>
                <w:sz w:val="24"/>
                <w:szCs w:val="24"/>
                <w:rtl/>
              </w:rPr>
              <w:t>–</w:t>
            </w:r>
            <w:r w:rsidRPr="008B41FD">
              <w:rPr>
                <w:rFonts w:ascii="David" w:hAnsi="David" w:cs="David" w:hint="cs"/>
                <w:sz w:val="24"/>
                <w:szCs w:val="24"/>
                <w:rtl/>
              </w:rPr>
              <w:t xml:space="preserve">  מאסר עולם. </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מוצע לקבוע שבעבירה זו ביהמ"ש יהיה רשאי להטיל מאסר עולם לתקופה בלתי קצובה או מאסר עולם עד שלושים שנים.</w:t>
            </w:r>
          </w:p>
        </w:tc>
      </w:tr>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t>המתה בנסיבות של אחריות מופחתת</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בכוונה או באדישות למותו של אדם (בין אם לפי עבירת הרצח או הרצח בנסיבות מחמירות)  באחת הנסיבות המפורטות, דינו </w:t>
            </w:r>
            <w:r w:rsidRPr="008B41FD">
              <w:rPr>
                <w:rFonts w:ascii="David" w:hAnsi="David" w:cs="David"/>
                <w:sz w:val="24"/>
                <w:szCs w:val="24"/>
                <w:rtl/>
              </w:rPr>
              <w:t>–</w:t>
            </w:r>
            <w:r w:rsidRPr="008B41FD">
              <w:rPr>
                <w:rFonts w:ascii="David" w:hAnsi="David" w:cs="David" w:hint="cs"/>
                <w:sz w:val="24"/>
                <w:szCs w:val="24"/>
                <w:rtl/>
              </w:rPr>
              <w:t xml:space="preserve"> מאסר עשרים שנים:</w:t>
            </w:r>
          </w:p>
          <w:p w:rsidR="00664AD3" w:rsidRPr="00BE213D" w:rsidRDefault="00664AD3" w:rsidP="00664AD3">
            <w:pPr>
              <w:pStyle w:val="a3"/>
              <w:numPr>
                <w:ilvl w:val="0"/>
                <w:numId w:val="6"/>
              </w:numPr>
              <w:spacing w:before="120" w:line="360" w:lineRule="auto"/>
              <w:jc w:val="both"/>
              <w:rPr>
                <w:rFonts w:ascii="David" w:hAnsi="David" w:cs="David"/>
              </w:rPr>
            </w:pPr>
            <w:r w:rsidRPr="00BE213D">
              <w:rPr>
                <w:rFonts w:ascii="David" w:hAnsi="David" w:cs="David" w:hint="cs"/>
                <w:rtl/>
              </w:rPr>
              <w:t>קנטור- המעשה בוצע בתכוף לאחר התגרות כלפי הנאשם ובתגובה לאותה התגרות, ובלבד שבעקבות ההתגרות הנאשם התקשה במידה ניכרת לשלוט בעצמו (המבחן הסובייקטיבי) ויש בקושי האמור כדי למתן את אשמתו, בשים לב למכלול נסיבות העניין (מבחן אובייקטיבי).</w:t>
            </w:r>
          </w:p>
          <w:p w:rsidR="00664AD3" w:rsidRPr="00BE213D" w:rsidRDefault="00664AD3" w:rsidP="00664AD3">
            <w:pPr>
              <w:pStyle w:val="a3"/>
              <w:numPr>
                <w:ilvl w:val="0"/>
                <w:numId w:val="6"/>
              </w:numPr>
              <w:spacing w:before="120" w:line="360" w:lineRule="auto"/>
              <w:jc w:val="both"/>
              <w:rPr>
                <w:rFonts w:ascii="David" w:hAnsi="David" w:cs="David"/>
              </w:rPr>
            </w:pPr>
            <w:r w:rsidRPr="00BE213D">
              <w:rPr>
                <w:rFonts w:ascii="David" w:hAnsi="David" w:cs="David" w:hint="cs"/>
                <w:rtl/>
              </w:rPr>
              <w:t>המעשה נעשה כשהנאשם היה נתון במצב של מצוקה נפשית קשה, עקב התעללות חמורה ומתמשכת בו או בבן משפחתו על ידי מי שהנאשם גרם למותו (כפי שקבוע היום בסעיף 300א הקובע עונש מופחת).</w:t>
            </w:r>
          </w:p>
          <w:p w:rsidR="00664AD3" w:rsidRPr="00BE213D" w:rsidRDefault="00664AD3" w:rsidP="00664AD3">
            <w:pPr>
              <w:pStyle w:val="a3"/>
              <w:numPr>
                <w:ilvl w:val="0"/>
                <w:numId w:val="6"/>
              </w:numPr>
              <w:spacing w:before="120" w:line="360" w:lineRule="auto"/>
              <w:jc w:val="both"/>
              <w:rPr>
                <w:rFonts w:ascii="David" w:hAnsi="David" w:cs="David"/>
              </w:rPr>
            </w:pPr>
            <w:r w:rsidRPr="00BE213D">
              <w:rPr>
                <w:rFonts w:ascii="David" w:hAnsi="David" w:cs="David" w:hint="cs"/>
                <w:rtl/>
              </w:rPr>
              <w:t>המעשה נעשה במצב שבו בשל הפרעה נפשית חמורה או ליקוי בכושרו השכלי, הוגבלה יכולתו במידה ניכרת להבין את אשר הוא עושה או את הפסול במעשהו או להימנע מעשיית המעשה. (אך לא עד כדי חוסר יכולת של ממש- אז מתגבשת הגנה לפי החוק). גם נסיבה זו קיימת היום בסעיף 300א בדבר עונש מופחת.</w:t>
            </w:r>
          </w:p>
          <w:p w:rsidR="00664AD3" w:rsidRPr="008B41FD" w:rsidRDefault="00664AD3" w:rsidP="00664AD3">
            <w:pPr>
              <w:pStyle w:val="a3"/>
              <w:numPr>
                <w:ilvl w:val="0"/>
                <w:numId w:val="6"/>
              </w:numPr>
              <w:spacing w:before="120" w:line="360" w:lineRule="auto"/>
              <w:jc w:val="both"/>
              <w:rPr>
                <w:rFonts w:ascii="David" w:hAnsi="David" w:cs="David"/>
                <w:sz w:val="24"/>
                <w:szCs w:val="24"/>
              </w:rPr>
            </w:pPr>
            <w:r w:rsidRPr="00BE213D">
              <w:rPr>
                <w:rFonts w:ascii="David" w:hAnsi="David" w:cs="David" w:hint="cs"/>
                <w:rtl/>
              </w:rPr>
              <w:t>המעשה חרג במידה מועטה מתחולת סייג לאחריות פלילית (הגנה עצמית, צורך, כורח או צידוק) ויש בנסיבות העניין כדי למתן את אשמתו. נסיבה זו דומה לנסיבה הקיימת בסעיף 300א של עונש מופחת אך רחבה ממנה במקצת (לא נדרש שהחריגה תהיה רק בשל חריגה מתחום הסבירות ומאידך, נדרש שיהיה בכך כדי למתן את אשמת הנאשם).</w:t>
            </w:r>
            <w:r w:rsidRPr="008B41FD">
              <w:rPr>
                <w:rFonts w:ascii="David" w:hAnsi="David" w:cs="David" w:hint="cs"/>
                <w:sz w:val="24"/>
                <w:szCs w:val="24"/>
                <w:rtl/>
              </w:rPr>
              <w:t xml:space="preserve"> </w:t>
            </w:r>
          </w:p>
          <w:p w:rsidR="00664AD3" w:rsidRPr="008B41FD" w:rsidRDefault="00664AD3" w:rsidP="00A071D2">
            <w:pPr>
              <w:spacing w:before="120" w:line="360" w:lineRule="auto"/>
              <w:ind w:left="360"/>
              <w:rPr>
                <w:rFonts w:ascii="David" w:hAnsi="David" w:cs="David"/>
                <w:sz w:val="24"/>
                <w:szCs w:val="24"/>
                <w:rtl/>
              </w:rPr>
            </w:pPr>
            <w:r w:rsidRPr="008B41FD">
              <w:rPr>
                <w:rFonts w:ascii="David" w:hAnsi="David" w:cs="David" w:hint="cs"/>
                <w:sz w:val="24"/>
                <w:szCs w:val="24"/>
                <w:rtl/>
              </w:rPr>
              <w:t xml:space="preserve">מוצע לקבוע כי חזקות של אדישות לא יחולו לעניין סעיפים אלו ודינו יהיה עשרים שנים. </w:t>
            </w:r>
          </w:p>
        </w:tc>
      </w:tr>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t>המתה בקלות דעת</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למותו של אדם בקלות דעת, דינו </w:t>
            </w:r>
            <w:r w:rsidRPr="008B41FD">
              <w:rPr>
                <w:rFonts w:ascii="David" w:hAnsi="David" w:cs="David"/>
                <w:sz w:val="24"/>
                <w:szCs w:val="24"/>
                <w:rtl/>
              </w:rPr>
              <w:t>–</w:t>
            </w:r>
            <w:r w:rsidRPr="008B41FD">
              <w:rPr>
                <w:rFonts w:ascii="David" w:hAnsi="David" w:cs="David" w:hint="cs"/>
                <w:sz w:val="24"/>
                <w:szCs w:val="24"/>
                <w:rtl/>
              </w:rPr>
              <w:t xml:space="preserve"> מאסר 12 שנים.</w:t>
            </w:r>
          </w:p>
        </w:tc>
      </w:tr>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t>גרימת מוות ברשלנות בנסיבות מחמירות</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ברשלנות למותו של אדם ומתקיימים לגביו שניים אלה, דינו </w:t>
            </w:r>
            <w:r w:rsidRPr="008B41FD">
              <w:rPr>
                <w:rFonts w:ascii="David" w:hAnsi="David" w:cs="David"/>
                <w:sz w:val="24"/>
                <w:szCs w:val="24"/>
                <w:rtl/>
              </w:rPr>
              <w:t>–</w:t>
            </w:r>
            <w:r w:rsidRPr="008B41FD">
              <w:rPr>
                <w:rFonts w:ascii="David" w:hAnsi="David" w:cs="David" w:hint="cs"/>
                <w:sz w:val="24"/>
                <w:szCs w:val="24"/>
                <w:rtl/>
              </w:rPr>
              <w:t xml:space="preserve"> מאסר חמש שנים:</w:t>
            </w:r>
          </w:p>
          <w:p w:rsidR="00664AD3" w:rsidRPr="008B41FD" w:rsidRDefault="00664AD3" w:rsidP="00664AD3">
            <w:pPr>
              <w:pStyle w:val="a3"/>
              <w:numPr>
                <w:ilvl w:val="0"/>
                <w:numId w:val="4"/>
              </w:numPr>
              <w:spacing w:before="120" w:line="360" w:lineRule="auto"/>
              <w:rPr>
                <w:rFonts w:ascii="David" w:hAnsi="David" w:cs="David"/>
                <w:sz w:val="24"/>
                <w:szCs w:val="24"/>
              </w:rPr>
            </w:pPr>
            <w:r w:rsidRPr="008B41FD">
              <w:rPr>
                <w:rFonts w:ascii="David" w:hAnsi="David" w:cs="David" w:hint="cs"/>
                <w:sz w:val="24"/>
                <w:szCs w:val="24"/>
                <w:rtl/>
              </w:rPr>
              <w:t>המעשה סטה במידה ניכרת מהתנהגות סבירה בנסיבות העניין, והיה מודע לטיב המעשה.</w:t>
            </w:r>
          </w:p>
          <w:p w:rsidR="00664AD3" w:rsidRPr="008B41FD" w:rsidRDefault="00664AD3" w:rsidP="00664AD3">
            <w:pPr>
              <w:pStyle w:val="a3"/>
              <w:numPr>
                <w:ilvl w:val="0"/>
                <w:numId w:val="4"/>
              </w:numPr>
              <w:spacing w:before="120" w:line="360" w:lineRule="auto"/>
              <w:rPr>
                <w:rFonts w:ascii="David" w:hAnsi="David" w:cs="David"/>
                <w:sz w:val="24"/>
                <w:szCs w:val="24"/>
                <w:rtl/>
              </w:rPr>
            </w:pPr>
            <w:r w:rsidRPr="008B41FD">
              <w:rPr>
                <w:rFonts w:ascii="David" w:hAnsi="David" w:cs="David" w:hint="cs"/>
                <w:sz w:val="24"/>
                <w:szCs w:val="24"/>
                <w:rtl/>
              </w:rPr>
              <w:t>המעשה מהווה הפרה של דין.</w:t>
            </w:r>
          </w:p>
        </w:tc>
      </w:tr>
      <w:tr w:rsidR="00664AD3" w:rsidRPr="008B41FD" w:rsidTr="00A071D2">
        <w:tc>
          <w:tcPr>
            <w:tcW w:w="8296" w:type="dxa"/>
          </w:tcPr>
          <w:p w:rsidR="00664AD3" w:rsidRPr="008B41FD" w:rsidRDefault="00664AD3" w:rsidP="00A071D2">
            <w:pPr>
              <w:spacing w:before="120" w:line="360" w:lineRule="auto"/>
              <w:rPr>
                <w:rFonts w:ascii="David" w:hAnsi="David" w:cs="David"/>
                <w:b/>
                <w:bCs/>
                <w:sz w:val="24"/>
                <w:szCs w:val="24"/>
                <w:rtl/>
              </w:rPr>
            </w:pPr>
            <w:r w:rsidRPr="008B41FD">
              <w:rPr>
                <w:rFonts w:ascii="David" w:hAnsi="David" w:cs="David" w:hint="cs"/>
                <w:b/>
                <w:bCs/>
                <w:sz w:val="24"/>
                <w:szCs w:val="24"/>
                <w:rtl/>
              </w:rPr>
              <w:t>גרימת מוות ברשלנות</w:t>
            </w:r>
          </w:p>
          <w:p w:rsidR="00664AD3" w:rsidRPr="008B41FD" w:rsidRDefault="00664AD3" w:rsidP="00A071D2">
            <w:pPr>
              <w:spacing w:before="120" w:line="360" w:lineRule="auto"/>
              <w:rPr>
                <w:rFonts w:ascii="David" w:hAnsi="David" w:cs="David"/>
                <w:sz w:val="24"/>
                <w:szCs w:val="24"/>
                <w:rtl/>
              </w:rPr>
            </w:pPr>
            <w:r w:rsidRPr="008B41FD">
              <w:rPr>
                <w:rFonts w:ascii="David" w:hAnsi="David" w:cs="David" w:hint="cs"/>
                <w:sz w:val="24"/>
                <w:szCs w:val="24"/>
                <w:rtl/>
              </w:rPr>
              <w:t xml:space="preserve">הגורם ברשלנות למותו של אדם, דינו </w:t>
            </w:r>
            <w:r w:rsidRPr="008B41FD">
              <w:rPr>
                <w:rFonts w:ascii="David" w:hAnsi="David" w:cs="David"/>
                <w:sz w:val="24"/>
                <w:szCs w:val="24"/>
                <w:rtl/>
              </w:rPr>
              <w:t>–</w:t>
            </w:r>
            <w:r w:rsidRPr="008B41FD">
              <w:rPr>
                <w:rFonts w:ascii="David" w:hAnsi="David" w:cs="David" w:hint="cs"/>
                <w:sz w:val="24"/>
                <w:szCs w:val="24"/>
                <w:rtl/>
              </w:rPr>
              <w:t xml:space="preserve"> מאסר שלוש שנים.</w:t>
            </w:r>
          </w:p>
        </w:tc>
      </w:tr>
    </w:tbl>
    <w:p w:rsidR="00664AD3" w:rsidRDefault="00664AD3" w:rsidP="00664AD3">
      <w:pPr>
        <w:spacing w:before="120" w:after="0" w:line="360" w:lineRule="auto"/>
        <w:jc w:val="both"/>
        <w:rPr>
          <w:rFonts w:ascii="David" w:hAnsi="David" w:cs="David"/>
          <w:sz w:val="24"/>
          <w:szCs w:val="24"/>
          <w:rtl/>
        </w:rPr>
      </w:pPr>
      <w:r>
        <w:rPr>
          <w:rFonts w:ascii="David" w:hAnsi="David" w:cs="David" w:hint="cs"/>
          <w:sz w:val="24"/>
          <w:szCs w:val="24"/>
          <w:rtl/>
        </w:rPr>
        <w:t xml:space="preserve">השינויים המרכזיים המוצעים הם </w:t>
      </w:r>
      <w:r w:rsidRPr="008B41FD">
        <w:rPr>
          <w:rFonts w:ascii="David" w:hAnsi="David" w:cs="David" w:hint="cs"/>
          <w:sz w:val="24"/>
          <w:szCs w:val="24"/>
          <w:rtl/>
        </w:rPr>
        <w:t>יצירת מדרג של שתי עבירות רצח, עבירת רצח "רגילה" ועבירה של רצח בנסיבות</w:t>
      </w:r>
      <w:r>
        <w:rPr>
          <w:rFonts w:ascii="David" w:hAnsi="David" w:cs="David" w:hint="cs"/>
          <w:sz w:val="24"/>
          <w:szCs w:val="24"/>
          <w:rtl/>
        </w:rPr>
        <w:t xml:space="preserve"> </w:t>
      </w:r>
      <w:r w:rsidRPr="008B41FD">
        <w:rPr>
          <w:rFonts w:ascii="David" w:hAnsi="David" w:cs="David" w:hint="cs"/>
          <w:sz w:val="24"/>
          <w:szCs w:val="24"/>
          <w:rtl/>
        </w:rPr>
        <w:t>מחמירות</w:t>
      </w:r>
      <w:r>
        <w:rPr>
          <w:rFonts w:ascii="David" w:hAnsi="David" w:cs="David" w:hint="cs"/>
          <w:sz w:val="24"/>
          <w:szCs w:val="24"/>
          <w:rtl/>
        </w:rPr>
        <w:t xml:space="preserve">, המבטאת חומרה מוסרית מיוחדת. ביטול עבירת ההריגה, כך שחלק מהמקרים הנמנים בה היום יכללו בעבירת הרצח (המקרים בהם ניתן להוכיח כוונה או אדישות) ויצירת עבירה קלה יותר של המתה בקלות דעת. בנוסף, כאמור, מוצע לקבוע עבירה של המתה </w:t>
      </w:r>
      <w:r>
        <w:rPr>
          <w:rFonts w:ascii="David" w:hAnsi="David" w:cs="David" w:hint="cs"/>
          <w:sz w:val="24"/>
          <w:szCs w:val="24"/>
          <w:rtl/>
        </w:rPr>
        <w:lastRenderedPageBreak/>
        <w:t>בנסיבות של אחריות מופחתת, בה לא רק העונש יהיה קל יותר אלא גם מידת האשמה שתיוחס לנאשם.</w:t>
      </w:r>
    </w:p>
    <w:p w:rsidR="00664AD3" w:rsidRPr="0006425E" w:rsidRDefault="00664AD3" w:rsidP="00664AD3">
      <w:pPr>
        <w:spacing w:before="120" w:after="0" w:line="360" w:lineRule="auto"/>
        <w:jc w:val="both"/>
        <w:rPr>
          <w:rFonts w:ascii="David" w:hAnsi="David" w:cs="David"/>
          <w:sz w:val="24"/>
          <w:szCs w:val="24"/>
        </w:rPr>
      </w:pPr>
      <w:r w:rsidRPr="0006425E">
        <w:rPr>
          <w:rFonts w:ascii="David" w:hAnsi="David" w:cs="David" w:hint="cs"/>
          <w:sz w:val="24"/>
          <w:szCs w:val="24"/>
          <w:rtl/>
        </w:rPr>
        <w:t>יש בנוסח המוצע כדי להרחיב מחד את המקרים שיחשבו כרצח- מקרים ש</w:t>
      </w:r>
      <w:r>
        <w:rPr>
          <w:rFonts w:ascii="David" w:hAnsi="David" w:cs="David" w:hint="cs"/>
          <w:sz w:val="24"/>
          <w:szCs w:val="24"/>
          <w:rtl/>
        </w:rPr>
        <w:t>גם אם לא ניתן להוכיח בהם כוונה תחילה, ניתן להוכיח בהם כ</w:t>
      </w:r>
      <w:r w:rsidRPr="0006425E">
        <w:rPr>
          <w:rFonts w:ascii="David" w:hAnsi="David" w:cs="David" w:hint="cs"/>
          <w:sz w:val="24"/>
          <w:szCs w:val="24"/>
          <w:rtl/>
        </w:rPr>
        <w:t xml:space="preserve">וונה </w:t>
      </w:r>
      <w:r>
        <w:rPr>
          <w:rFonts w:ascii="David" w:hAnsi="David" w:cs="David" w:hint="cs"/>
          <w:sz w:val="24"/>
          <w:szCs w:val="24"/>
          <w:rtl/>
        </w:rPr>
        <w:t>או אדישות. ומאידך, יש מצבים שנחשבים היום כ</w:t>
      </w:r>
      <w:r w:rsidRPr="0006425E">
        <w:rPr>
          <w:rFonts w:ascii="David" w:hAnsi="David" w:cs="David" w:hint="cs"/>
          <w:sz w:val="24"/>
          <w:szCs w:val="24"/>
          <w:rtl/>
        </w:rPr>
        <w:t>עבירת הרצח שבצדה עונש מאסר עולם חובה</w:t>
      </w:r>
      <w:r>
        <w:rPr>
          <w:rFonts w:ascii="David" w:hAnsi="David" w:cs="David" w:hint="cs"/>
          <w:sz w:val="24"/>
          <w:szCs w:val="24"/>
          <w:rtl/>
        </w:rPr>
        <w:t>,</w:t>
      </w:r>
      <w:r w:rsidRPr="0006425E">
        <w:rPr>
          <w:rFonts w:ascii="David" w:hAnsi="David" w:cs="David" w:hint="cs"/>
          <w:sz w:val="24"/>
          <w:szCs w:val="24"/>
          <w:rtl/>
        </w:rPr>
        <w:t xml:space="preserve"> אך לא יכללו בעבירת הרצח בנסיבות מחמירות</w:t>
      </w:r>
      <w:r>
        <w:rPr>
          <w:rFonts w:ascii="David" w:hAnsi="David" w:cs="David" w:hint="cs"/>
          <w:sz w:val="24"/>
          <w:szCs w:val="24"/>
          <w:rtl/>
        </w:rPr>
        <w:t xml:space="preserve"> ולכן העונש בגינם לא יהיה מאסר עולם חובה כפי שהיה עד עתה</w:t>
      </w:r>
      <w:r w:rsidRPr="0006425E">
        <w:rPr>
          <w:rFonts w:ascii="David" w:hAnsi="David" w:cs="David" w:hint="cs"/>
          <w:sz w:val="24"/>
          <w:szCs w:val="24"/>
          <w:rtl/>
        </w:rPr>
        <w:t xml:space="preserve"> (למשל מקרים בהם הייתה החלטה להמית אך לא היה תכנון או הליך ממשי של שקילה, ה</w:t>
      </w:r>
      <w:r>
        <w:rPr>
          <w:rFonts w:ascii="David" w:hAnsi="David" w:cs="David" w:hint="cs"/>
          <w:sz w:val="24"/>
          <w:szCs w:val="24"/>
          <w:rtl/>
        </w:rPr>
        <w:t xml:space="preserve">מצבים הקיימים </w:t>
      </w:r>
      <w:r w:rsidRPr="0006425E">
        <w:rPr>
          <w:rFonts w:ascii="David" w:hAnsi="David" w:cs="David" w:hint="cs"/>
          <w:sz w:val="24"/>
          <w:szCs w:val="24"/>
          <w:rtl/>
        </w:rPr>
        <w:t>היום בעבירת הרצח של המתת הורה או סב).</w:t>
      </w:r>
    </w:p>
    <w:p w:rsidR="00664AD3" w:rsidRPr="004E3636" w:rsidRDefault="00664AD3" w:rsidP="00664AD3">
      <w:pPr>
        <w:spacing w:before="120" w:after="0" w:line="360" w:lineRule="auto"/>
        <w:jc w:val="both"/>
        <w:rPr>
          <w:rFonts w:ascii="David" w:hAnsi="David" w:cs="David"/>
          <w:sz w:val="24"/>
          <w:szCs w:val="24"/>
        </w:rPr>
      </w:pPr>
      <w:r w:rsidRPr="004E3636">
        <w:rPr>
          <w:rFonts w:ascii="David" w:hAnsi="David" w:cs="David" w:hint="cs"/>
          <w:sz w:val="24"/>
          <w:szCs w:val="24"/>
          <w:rtl/>
        </w:rPr>
        <w:t xml:space="preserve">לעניין היסוד הנפשי, מוצע, כאמור, לבטל את יסוד ה"כוונתה תחילה" בעבירת הרצח ובמקומה לקבוע יסוד נפשי של כוונה או אדישות. מוצע כי ניתן יהיה להחיל את </w:t>
      </w:r>
      <w:r w:rsidRPr="004E3636">
        <w:rPr>
          <w:rFonts w:cs="David" w:hint="cs"/>
          <w:sz w:val="24"/>
          <w:szCs w:val="24"/>
          <w:rtl/>
        </w:rPr>
        <w:t>הלכת הצפיות</w:t>
      </w:r>
      <w:r>
        <w:rPr>
          <w:rFonts w:cs="David" w:hint="cs"/>
          <w:sz w:val="24"/>
          <w:szCs w:val="24"/>
          <w:rtl/>
        </w:rPr>
        <w:t xml:space="preserve"> על יסוד זה</w:t>
      </w:r>
      <w:r w:rsidRPr="004E3636">
        <w:rPr>
          <w:rFonts w:cs="David" w:hint="cs"/>
          <w:sz w:val="24"/>
          <w:szCs w:val="24"/>
          <w:rtl/>
        </w:rPr>
        <w:t>.</w:t>
      </w:r>
      <w:r w:rsidRPr="004E3636">
        <w:rPr>
          <w:rFonts w:ascii="David" w:hAnsi="David" w:cs="David"/>
          <w:sz w:val="24"/>
          <w:szCs w:val="24"/>
        </w:rPr>
        <w:t xml:space="preserve"> </w:t>
      </w:r>
    </w:p>
    <w:p w:rsidR="00664AD3" w:rsidRPr="0006425E" w:rsidRDefault="00664AD3" w:rsidP="00664AD3">
      <w:pPr>
        <w:spacing w:before="120" w:after="0" w:line="360" w:lineRule="auto"/>
        <w:jc w:val="both"/>
        <w:rPr>
          <w:rFonts w:ascii="David" w:hAnsi="David" w:cs="David"/>
          <w:sz w:val="24"/>
          <w:szCs w:val="24"/>
        </w:rPr>
      </w:pPr>
      <w:r>
        <w:rPr>
          <w:rFonts w:ascii="David" w:hAnsi="David" w:cs="David" w:hint="cs"/>
          <w:sz w:val="24"/>
          <w:szCs w:val="24"/>
          <w:rtl/>
        </w:rPr>
        <w:t xml:space="preserve">לפי דברי ההסבר ודו"ח ועדת </w:t>
      </w:r>
      <w:proofErr w:type="spellStart"/>
      <w:r>
        <w:rPr>
          <w:rFonts w:ascii="David" w:hAnsi="David" w:cs="David" w:hint="cs"/>
          <w:sz w:val="24"/>
          <w:szCs w:val="24"/>
          <w:rtl/>
        </w:rPr>
        <w:t>קרמניצר</w:t>
      </w:r>
      <w:proofErr w:type="spellEnd"/>
      <w:r>
        <w:rPr>
          <w:rFonts w:ascii="David" w:hAnsi="David" w:cs="David" w:hint="cs"/>
          <w:sz w:val="24"/>
          <w:szCs w:val="24"/>
          <w:rtl/>
        </w:rPr>
        <w:t xml:space="preserve"> היסוד הנפשי של אדישות הולם את עבירת הרצח משום שהוא מגלם עמדה שלילית מובהקת כלפי הערך של חיי אדם. יסוד נפשי זה, נטען, מבטא זלזול מובהק התנכרות קשה ומורה לערך של חיי אדם ויש להבחין בין יסוד נפשי זה ליסוד הנפשי של קלות דעת שמבטא חומרת פחותה (במסגרת צוות ועדת </w:t>
      </w:r>
      <w:proofErr w:type="spellStart"/>
      <w:r>
        <w:rPr>
          <w:rFonts w:ascii="David" w:hAnsi="David" w:cs="David" w:hint="cs"/>
          <w:sz w:val="24"/>
          <w:szCs w:val="24"/>
          <w:rtl/>
        </w:rPr>
        <w:t>קרמניצר</w:t>
      </w:r>
      <w:proofErr w:type="spellEnd"/>
      <w:r>
        <w:rPr>
          <w:rFonts w:ascii="David" w:hAnsi="David" w:cs="David" w:hint="cs"/>
          <w:sz w:val="24"/>
          <w:szCs w:val="24"/>
          <w:rtl/>
        </w:rPr>
        <w:t xml:space="preserve"> היו שסברו שיש הבדל מוסרי משמעותי בין יסוד הכוונה ליסוד האדישות). </w:t>
      </w:r>
    </w:p>
    <w:p w:rsidR="00664AD3" w:rsidRPr="00C223BB" w:rsidRDefault="00664AD3" w:rsidP="00664AD3">
      <w:pPr>
        <w:spacing w:before="120" w:after="0" w:line="360" w:lineRule="auto"/>
        <w:jc w:val="both"/>
        <w:rPr>
          <w:rFonts w:ascii="David" w:hAnsi="David" w:cs="David"/>
          <w:sz w:val="24"/>
          <w:szCs w:val="24"/>
        </w:rPr>
      </w:pPr>
      <w:r>
        <w:rPr>
          <w:rFonts w:ascii="David" w:hAnsi="David" w:cs="David" w:hint="cs"/>
          <w:sz w:val="24"/>
          <w:szCs w:val="24"/>
          <w:rtl/>
        </w:rPr>
        <w:t>[לעניין עבירת ההמתה באחריות מופחתת, אחד המצבים המנויים בסעיף הוא מקרה של התגרות. יסוד זה לא יידרש עוד בעבירת הרצח מאחר שלא נדרש להוכיח כוונה תחילה. אולם, מוצע להשתמש ביסוד זה כ</w:t>
      </w:r>
      <w:r w:rsidRPr="00C223BB">
        <w:rPr>
          <w:rFonts w:ascii="David" w:hAnsi="David" w:cs="David" w:hint="cs"/>
          <w:sz w:val="24"/>
          <w:szCs w:val="24"/>
          <w:rtl/>
        </w:rPr>
        <w:t>נסיבה מקלה</w:t>
      </w:r>
      <w:r>
        <w:rPr>
          <w:rFonts w:ascii="David" w:hAnsi="David" w:cs="David" w:hint="cs"/>
          <w:sz w:val="24"/>
          <w:szCs w:val="24"/>
          <w:rtl/>
        </w:rPr>
        <w:t xml:space="preserve">. המבחן המוצע לקנטור קובע </w:t>
      </w:r>
      <w:r w:rsidRPr="00C223BB">
        <w:rPr>
          <w:rFonts w:ascii="David" w:hAnsi="David" w:cs="David" w:hint="cs"/>
          <w:sz w:val="24"/>
          <w:szCs w:val="24"/>
          <w:rtl/>
        </w:rPr>
        <w:t>מבחן סובייקטיבי ואובייקטיבי</w:t>
      </w:r>
      <w:r>
        <w:rPr>
          <w:rFonts w:ascii="David" w:hAnsi="David" w:cs="David" w:hint="cs"/>
          <w:sz w:val="24"/>
          <w:szCs w:val="24"/>
          <w:rtl/>
        </w:rPr>
        <w:t>- נורמטיבי אך זונח את מבחן האדם הסביר. לעניין המבחן הסובייקטיבי תידרש תגובה קשה להתגרות הפוגעת ביכולת השליטה עצמית של הנאשם, ולעניין המבחן הנורמטיבי ביהמ"ש יידרש להכריע אם יש ברגש שהתעורר אצל הנאשם נוכח ההתגרות כדי להפחית מאשמתו. מדברי ההסבר עולה כי הכוונה היא למבחן שהוא חיצוני לנאשם וייבחן על ידי בית המשפט מנקודת מבט מוסרית -חברתית. מוצע שבית המשפט יוכל לשקול לעניין זה הן את נסיבות במקרה והן נסיבות אישיות של הנאשם].</w:t>
      </w:r>
    </w:p>
    <w:p w:rsidR="00664AD3" w:rsidRPr="00731641" w:rsidRDefault="00664AD3" w:rsidP="00664AD3">
      <w:pPr>
        <w:spacing w:before="120" w:after="0" w:line="360" w:lineRule="auto"/>
        <w:jc w:val="both"/>
        <w:rPr>
          <w:rFonts w:ascii="David" w:hAnsi="David" w:cs="David"/>
          <w:sz w:val="24"/>
          <w:szCs w:val="24"/>
        </w:rPr>
      </w:pPr>
      <w:r>
        <w:rPr>
          <w:rFonts w:ascii="David" w:hAnsi="David" w:cs="David" w:hint="cs"/>
          <w:sz w:val="24"/>
          <w:szCs w:val="24"/>
          <w:rtl/>
        </w:rPr>
        <w:t xml:space="preserve">בנוסף, מוצע ליצור עבירה </w:t>
      </w:r>
      <w:r w:rsidRPr="00731641">
        <w:rPr>
          <w:rFonts w:ascii="David" w:hAnsi="David" w:cs="David" w:hint="cs"/>
          <w:sz w:val="24"/>
          <w:szCs w:val="24"/>
          <w:rtl/>
        </w:rPr>
        <w:t xml:space="preserve">חדשה של רשלנות בנסיבות מחמירות, בה היסוד העובדתי יהיה סטייה ניכרת מהתנהגות סבירה שהיא גם הפרה של דין- כלומר, המעשה הוא מעשה אסור על פי דין. </w:t>
      </w:r>
    </w:p>
    <w:p w:rsidR="00664AD3" w:rsidRPr="00A75DC3" w:rsidRDefault="00664AD3" w:rsidP="00664AD3">
      <w:pPr>
        <w:spacing w:before="120" w:after="0" w:line="360" w:lineRule="auto"/>
        <w:rPr>
          <w:rFonts w:cs="David"/>
          <w:sz w:val="24"/>
          <w:szCs w:val="24"/>
        </w:rPr>
      </w:pPr>
      <w:r>
        <w:rPr>
          <w:rFonts w:ascii="David" w:hAnsi="David" w:cs="David" w:hint="cs"/>
          <w:sz w:val="24"/>
          <w:szCs w:val="24"/>
          <w:rtl/>
        </w:rPr>
        <w:t xml:space="preserve">חידוש נוסף בהצעה הוא </w:t>
      </w:r>
      <w:r w:rsidRPr="00A75DC3">
        <w:rPr>
          <w:rFonts w:ascii="David" w:hAnsi="David" w:cs="David" w:hint="cs"/>
          <w:sz w:val="24"/>
          <w:szCs w:val="24"/>
          <w:rtl/>
        </w:rPr>
        <w:t xml:space="preserve">התמקדות </w:t>
      </w:r>
      <w:r>
        <w:rPr>
          <w:rFonts w:ascii="David" w:hAnsi="David" w:cs="David" w:hint="cs"/>
          <w:sz w:val="24"/>
          <w:szCs w:val="24"/>
          <w:rtl/>
        </w:rPr>
        <w:t>מפורשת במידת</w:t>
      </w:r>
      <w:r w:rsidRPr="00A75DC3">
        <w:rPr>
          <w:rFonts w:ascii="David" w:hAnsi="David" w:cs="David" w:hint="cs"/>
          <w:sz w:val="24"/>
          <w:szCs w:val="24"/>
          <w:rtl/>
        </w:rPr>
        <w:t xml:space="preserve"> האשם</w:t>
      </w:r>
      <w:r w:rsidRPr="00A75DC3">
        <w:rPr>
          <w:rFonts w:cs="David" w:hint="cs"/>
          <w:sz w:val="24"/>
          <w:szCs w:val="24"/>
          <w:rtl/>
        </w:rPr>
        <w:t>- אפשרות להחמיר או להקל לפי מידת האשמה</w:t>
      </w:r>
      <w:r>
        <w:rPr>
          <w:rFonts w:cs="David" w:hint="cs"/>
          <w:sz w:val="24"/>
          <w:szCs w:val="24"/>
          <w:rtl/>
        </w:rPr>
        <w:t xml:space="preserve"> שיש לייחס לנאשם</w:t>
      </w:r>
      <w:r w:rsidRPr="00A75DC3">
        <w:rPr>
          <w:rFonts w:cs="David" w:hint="cs"/>
          <w:sz w:val="24"/>
          <w:szCs w:val="24"/>
          <w:rtl/>
        </w:rPr>
        <w:t>.</w:t>
      </w:r>
    </w:p>
    <w:p w:rsidR="00664AD3" w:rsidRPr="008B41FD" w:rsidRDefault="00664AD3" w:rsidP="00664AD3">
      <w:pPr>
        <w:spacing w:before="120" w:after="0" w:line="360" w:lineRule="auto"/>
        <w:jc w:val="both"/>
        <w:rPr>
          <w:rFonts w:ascii="David" w:hAnsi="David" w:cs="David"/>
          <w:sz w:val="24"/>
          <w:szCs w:val="24"/>
          <w:rtl/>
        </w:rPr>
      </w:pPr>
      <w:r w:rsidRPr="008B41FD">
        <w:rPr>
          <w:rFonts w:ascii="David" w:hAnsi="David" w:cs="David" w:hint="cs"/>
          <w:sz w:val="24"/>
          <w:szCs w:val="24"/>
          <w:rtl/>
        </w:rPr>
        <w:t xml:space="preserve">בנוסף מוצע לקבוע עבירות של ניסיון לרצח או לרצח בנסיבות מחמירות (מוצע לקבוע עונש של 30 שנות מאסר), שידול לרצח בנסיבות מחמירות (מאסר עולם), סיוע לרצח (15 שנות מאסר), ניסיון לשידול לרצח (15 שנות מאסר), שידול להתאבדות (14 שנות מאסר), סיוע להתאבדות (7 שנות מאסר),  במסגרת ההצעה מוצע לבטל את העבירה של המתת תינוק (לפיה ניתן היה להרשיע בעבירה של חמורה פחות מרצח במקרה של אישה שהמיתה את תינוקה בטרם מלאה לו שנה כשהיא </w:t>
      </w:r>
      <w:proofErr w:type="spellStart"/>
      <w:r w:rsidRPr="008B41FD">
        <w:rPr>
          <w:rFonts w:ascii="David" w:hAnsi="David" w:cs="David" w:hint="cs"/>
          <w:sz w:val="24"/>
          <w:szCs w:val="24"/>
          <w:rtl/>
        </w:rPr>
        <w:t>היתה</w:t>
      </w:r>
      <w:proofErr w:type="spellEnd"/>
      <w:r w:rsidRPr="008B41FD">
        <w:rPr>
          <w:rFonts w:ascii="David" w:hAnsi="David" w:cs="David" w:hint="cs"/>
          <w:sz w:val="24"/>
          <w:szCs w:val="24"/>
          <w:rtl/>
        </w:rPr>
        <w:t xml:space="preserve"> במצב של ערעור שיקול הדעת) ועבירה של העלמת לידה. מוצע להותיר על כנה את הוראת סעיף 309 לעניין גרימת מוות </w:t>
      </w:r>
      <w:r w:rsidRPr="008B41FD">
        <w:rPr>
          <w:rFonts w:ascii="David" w:hAnsi="David" w:cs="David"/>
          <w:sz w:val="24"/>
          <w:szCs w:val="24"/>
          <w:rtl/>
        </w:rPr>
        <w:t>–</w:t>
      </w:r>
      <w:r w:rsidRPr="008B41FD">
        <w:rPr>
          <w:rFonts w:ascii="David" w:hAnsi="David" w:cs="David" w:hint="cs"/>
          <w:sz w:val="24"/>
          <w:szCs w:val="24"/>
          <w:rtl/>
        </w:rPr>
        <w:t xml:space="preserve"> מהי שצוינה לעיל.</w:t>
      </w:r>
    </w:p>
    <w:p w:rsidR="00664AD3" w:rsidRDefault="00664AD3" w:rsidP="00664AD3">
      <w:pPr>
        <w:spacing w:before="120" w:after="0" w:line="360" w:lineRule="auto"/>
        <w:jc w:val="both"/>
        <w:rPr>
          <w:rFonts w:ascii="David" w:hAnsi="David" w:cs="David"/>
          <w:sz w:val="24"/>
          <w:szCs w:val="24"/>
          <w:rtl/>
        </w:rPr>
      </w:pPr>
      <w:r w:rsidRPr="008B41FD">
        <w:rPr>
          <w:rFonts w:ascii="David" w:hAnsi="David" w:cs="David" w:hint="cs"/>
          <w:sz w:val="24"/>
          <w:szCs w:val="24"/>
          <w:rtl/>
        </w:rPr>
        <w:lastRenderedPageBreak/>
        <w:t xml:space="preserve">לעניין העבירות הנ"ל והעבירות שמוצע לבטלן, נרחיב לקראת הדיונים הבאים בנושא, כך גם לעניין כל </w:t>
      </w:r>
      <w:r>
        <w:rPr>
          <w:rFonts w:ascii="David" w:hAnsi="David" w:cs="David" w:hint="cs"/>
          <w:sz w:val="24"/>
          <w:szCs w:val="24"/>
          <w:rtl/>
        </w:rPr>
        <w:t>אחת מהנסיבות המנויות בעבירת הרצח בנסיבות מחמירות ובעבירת ההמתה באחריות מופחתת</w:t>
      </w:r>
      <w:r w:rsidRPr="008B41FD">
        <w:rPr>
          <w:rFonts w:ascii="David" w:hAnsi="David" w:cs="David" w:hint="cs"/>
          <w:sz w:val="24"/>
          <w:szCs w:val="24"/>
          <w:rtl/>
        </w:rPr>
        <w:t>.</w:t>
      </w:r>
    </w:p>
    <w:p w:rsidR="00664AD3" w:rsidRPr="008B41FD" w:rsidRDefault="00664AD3" w:rsidP="00664AD3">
      <w:pPr>
        <w:spacing w:before="120" w:after="0" w:line="360" w:lineRule="auto"/>
        <w:jc w:val="both"/>
        <w:rPr>
          <w:rFonts w:ascii="David" w:hAnsi="David" w:cs="David"/>
          <w:sz w:val="24"/>
          <w:szCs w:val="24"/>
          <w:rtl/>
        </w:rPr>
      </w:pPr>
    </w:p>
    <w:p w:rsidR="00664AD3" w:rsidRPr="008B41FD" w:rsidRDefault="00664AD3" w:rsidP="00664AD3">
      <w:pPr>
        <w:spacing w:before="120" w:after="0" w:line="360" w:lineRule="auto"/>
        <w:rPr>
          <w:rFonts w:cs="David"/>
          <w:b/>
          <w:bCs/>
          <w:sz w:val="24"/>
          <w:szCs w:val="24"/>
          <w:rtl/>
        </w:rPr>
      </w:pPr>
      <w:r w:rsidRPr="008B41FD">
        <w:rPr>
          <w:rFonts w:cs="David" w:hint="cs"/>
          <w:b/>
          <w:bCs/>
          <w:sz w:val="24"/>
          <w:szCs w:val="24"/>
          <w:rtl/>
        </w:rPr>
        <w:t xml:space="preserve">הצעת החוק </w:t>
      </w:r>
      <w:r w:rsidRPr="0066146E">
        <w:rPr>
          <w:rFonts w:cs="David" w:hint="cs"/>
          <w:b/>
          <w:bCs/>
          <w:sz w:val="24"/>
          <w:szCs w:val="24"/>
          <w:rtl/>
        </w:rPr>
        <w:t>הפרטית של יו"ר הוועדה חה"</w:t>
      </w:r>
      <w:r w:rsidRPr="008B41FD">
        <w:rPr>
          <w:rFonts w:cs="David" w:hint="cs"/>
          <w:b/>
          <w:bCs/>
          <w:sz w:val="24"/>
          <w:szCs w:val="24"/>
          <w:rtl/>
        </w:rPr>
        <w:t>כ סלומינסקי</w:t>
      </w:r>
    </w:p>
    <w:p w:rsidR="00664AD3" w:rsidRPr="000605EF" w:rsidRDefault="00664AD3" w:rsidP="00664AD3">
      <w:pPr>
        <w:spacing w:before="120" w:after="0" w:line="360" w:lineRule="auto"/>
        <w:jc w:val="both"/>
        <w:rPr>
          <w:rFonts w:ascii="David" w:hAnsi="David" w:cs="David"/>
          <w:sz w:val="24"/>
          <w:szCs w:val="24"/>
          <w:rtl/>
        </w:rPr>
      </w:pPr>
      <w:r w:rsidRPr="000605EF">
        <w:rPr>
          <w:rFonts w:ascii="David" w:hAnsi="David" w:cs="David" w:hint="cs"/>
          <w:sz w:val="24"/>
          <w:szCs w:val="24"/>
          <w:rtl/>
        </w:rPr>
        <w:t xml:space="preserve">הצעת החוק </w:t>
      </w:r>
      <w:r>
        <w:rPr>
          <w:rFonts w:ascii="David" w:hAnsi="David" w:cs="David" w:hint="cs"/>
          <w:sz w:val="24"/>
          <w:szCs w:val="24"/>
          <w:rtl/>
        </w:rPr>
        <w:t>הפרטית של חה"כ סלומינסקי מבקשת גם היא לקבוע מדרג שונה מהקיים ל</w:t>
      </w:r>
      <w:r w:rsidRPr="000605EF">
        <w:rPr>
          <w:rFonts w:ascii="David" w:hAnsi="David" w:cs="David" w:hint="cs"/>
          <w:sz w:val="24"/>
          <w:szCs w:val="24"/>
          <w:rtl/>
        </w:rPr>
        <w:t>עבירות ההמתה</w:t>
      </w:r>
      <w:r>
        <w:rPr>
          <w:rFonts w:ascii="David" w:hAnsi="David" w:cs="David" w:hint="cs"/>
          <w:sz w:val="24"/>
          <w:szCs w:val="24"/>
          <w:rtl/>
        </w:rPr>
        <w:t xml:space="preserve"> במסגרתו יקבע </w:t>
      </w:r>
      <w:r w:rsidRPr="000605EF">
        <w:rPr>
          <w:rFonts w:ascii="David" w:hAnsi="David" w:cs="David" w:hint="cs"/>
          <w:sz w:val="24"/>
          <w:szCs w:val="24"/>
          <w:rtl/>
        </w:rPr>
        <w:t xml:space="preserve">רצח מדרגה ראשונה </w:t>
      </w:r>
      <w:r>
        <w:rPr>
          <w:rFonts w:ascii="David" w:hAnsi="David" w:cs="David" w:hint="cs"/>
          <w:sz w:val="24"/>
          <w:szCs w:val="24"/>
          <w:rtl/>
        </w:rPr>
        <w:t>ורצח מדרגה שנייה, כמפורט להלן:</w:t>
      </w:r>
    </w:p>
    <w:tbl>
      <w:tblPr>
        <w:tblStyle w:val="a4"/>
        <w:bidiVisual/>
        <w:tblW w:w="0" w:type="auto"/>
        <w:tblLook w:val="04A0" w:firstRow="1" w:lastRow="0" w:firstColumn="1" w:lastColumn="0" w:noHBand="0" w:noVBand="1"/>
      </w:tblPr>
      <w:tblGrid>
        <w:gridCol w:w="8296"/>
      </w:tblGrid>
      <w:tr w:rsidR="00664AD3" w:rsidRPr="008B41FD" w:rsidTr="00A071D2">
        <w:tc>
          <w:tcPr>
            <w:tcW w:w="8522" w:type="dxa"/>
          </w:tcPr>
          <w:p w:rsidR="00664AD3" w:rsidRPr="008B41FD" w:rsidRDefault="00664AD3" w:rsidP="00A071D2">
            <w:pPr>
              <w:spacing w:before="120" w:line="360" w:lineRule="auto"/>
              <w:rPr>
                <w:rFonts w:cs="David"/>
                <w:b/>
                <w:bCs/>
                <w:sz w:val="24"/>
                <w:szCs w:val="24"/>
                <w:rtl/>
              </w:rPr>
            </w:pPr>
            <w:r w:rsidRPr="008B41FD">
              <w:rPr>
                <w:rFonts w:cs="David" w:hint="cs"/>
                <w:b/>
                <w:bCs/>
                <w:sz w:val="24"/>
                <w:szCs w:val="24"/>
                <w:rtl/>
              </w:rPr>
              <w:t>רצח מדרגה ראשונה</w:t>
            </w:r>
          </w:p>
          <w:p w:rsidR="00664AD3" w:rsidRPr="008B41FD" w:rsidRDefault="00664AD3" w:rsidP="00A071D2">
            <w:pPr>
              <w:spacing w:before="120" w:line="360" w:lineRule="auto"/>
              <w:rPr>
                <w:rFonts w:cs="David"/>
                <w:sz w:val="24"/>
                <w:szCs w:val="24"/>
                <w:rtl/>
              </w:rPr>
            </w:pPr>
            <w:r w:rsidRPr="008B41FD">
              <w:rPr>
                <w:rFonts w:cs="David" w:hint="cs"/>
                <w:sz w:val="24"/>
                <w:szCs w:val="24"/>
                <w:rtl/>
              </w:rPr>
              <w:t>הגורם בכוונה למותו של אדם- עונשו מאסר עולם ועונש זה בלבד.</w:t>
            </w:r>
          </w:p>
          <w:p w:rsidR="00664AD3" w:rsidRPr="008B41FD" w:rsidRDefault="00664AD3" w:rsidP="00A071D2">
            <w:pPr>
              <w:spacing w:before="120" w:line="360" w:lineRule="auto"/>
              <w:rPr>
                <w:rFonts w:cs="David"/>
                <w:sz w:val="24"/>
                <w:szCs w:val="24"/>
                <w:rtl/>
              </w:rPr>
            </w:pPr>
            <w:r>
              <w:rPr>
                <w:rFonts w:cs="David" w:hint="cs"/>
                <w:sz w:val="24"/>
                <w:szCs w:val="24"/>
                <w:rtl/>
              </w:rPr>
              <w:t>*</w:t>
            </w:r>
            <w:r w:rsidRPr="008B41FD">
              <w:rPr>
                <w:rFonts w:cs="David" w:hint="cs"/>
                <w:sz w:val="24"/>
                <w:szCs w:val="24"/>
                <w:rtl/>
              </w:rPr>
              <w:t xml:space="preserve"> </w:t>
            </w:r>
            <w:r w:rsidRPr="000605EF">
              <w:rPr>
                <w:rFonts w:cs="David" w:hint="cs"/>
                <w:rtl/>
              </w:rPr>
              <w:t>מוצע לקבוע כי הלכת הצפיות לא תחול על סעיף זה.</w:t>
            </w:r>
          </w:p>
        </w:tc>
      </w:tr>
      <w:tr w:rsidR="00664AD3" w:rsidRPr="008B41FD" w:rsidTr="00A071D2">
        <w:tc>
          <w:tcPr>
            <w:tcW w:w="8522" w:type="dxa"/>
          </w:tcPr>
          <w:p w:rsidR="00664AD3" w:rsidRPr="008B41FD" w:rsidRDefault="00664AD3" w:rsidP="00A071D2">
            <w:pPr>
              <w:spacing w:before="120" w:line="360" w:lineRule="auto"/>
              <w:rPr>
                <w:rFonts w:cs="David"/>
                <w:b/>
                <w:bCs/>
                <w:sz w:val="24"/>
                <w:szCs w:val="24"/>
                <w:rtl/>
              </w:rPr>
            </w:pPr>
            <w:r w:rsidRPr="008B41FD">
              <w:rPr>
                <w:rFonts w:cs="David" w:hint="cs"/>
                <w:b/>
                <w:bCs/>
                <w:sz w:val="24"/>
                <w:szCs w:val="24"/>
                <w:rtl/>
              </w:rPr>
              <w:t xml:space="preserve">רצח מדרגה שניה </w:t>
            </w:r>
          </w:p>
          <w:p w:rsidR="00664AD3" w:rsidRPr="008B41FD" w:rsidRDefault="00664AD3" w:rsidP="00A071D2">
            <w:pPr>
              <w:spacing w:before="120" w:line="360" w:lineRule="auto"/>
              <w:rPr>
                <w:rFonts w:cs="David"/>
                <w:sz w:val="24"/>
                <w:szCs w:val="24"/>
                <w:rtl/>
              </w:rPr>
            </w:pPr>
            <w:r w:rsidRPr="008B41FD">
              <w:rPr>
                <w:rFonts w:cs="David" w:hint="cs"/>
                <w:sz w:val="24"/>
                <w:szCs w:val="24"/>
                <w:rtl/>
              </w:rPr>
              <w:t>העושה אחת מאלה, דינו מאסר עולם:</w:t>
            </w:r>
          </w:p>
          <w:p w:rsidR="00664AD3" w:rsidRPr="008B41FD" w:rsidRDefault="00664AD3" w:rsidP="00664AD3">
            <w:pPr>
              <w:pStyle w:val="a3"/>
              <w:numPr>
                <w:ilvl w:val="0"/>
                <w:numId w:val="3"/>
              </w:numPr>
              <w:spacing w:before="120" w:line="360" w:lineRule="auto"/>
              <w:rPr>
                <w:rFonts w:cs="David"/>
                <w:sz w:val="24"/>
                <w:szCs w:val="24"/>
              </w:rPr>
            </w:pPr>
            <w:r w:rsidRPr="008B41FD">
              <w:rPr>
                <w:rFonts w:cs="David" w:hint="cs"/>
                <w:sz w:val="24"/>
                <w:szCs w:val="24"/>
                <w:rtl/>
              </w:rPr>
              <w:t>גורם למותו של אדם בכוונה לגרום לו חבלה חמורה או תוך שראה מראש את גרימת המוות כאפשרות קרובה לוודאי.</w:t>
            </w:r>
          </w:p>
          <w:p w:rsidR="00664AD3" w:rsidRPr="008B41FD" w:rsidRDefault="00664AD3" w:rsidP="00664AD3">
            <w:pPr>
              <w:pStyle w:val="a3"/>
              <w:numPr>
                <w:ilvl w:val="0"/>
                <w:numId w:val="3"/>
              </w:numPr>
              <w:spacing w:before="120" w:line="360" w:lineRule="auto"/>
              <w:rPr>
                <w:rFonts w:cs="David"/>
                <w:sz w:val="24"/>
                <w:szCs w:val="24"/>
              </w:rPr>
            </w:pPr>
            <w:r w:rsidRPr="008B41FD">
              <w:rPr>
                <w:rFonts w:cs="David" w:hint="cs"/>
                <w:sz w:val="24"/>
                <w:szCs w:val="24"/>
                <w:rtl/>
              </w:rPr>
              <w:t>גורם בכוונה למותו של אדם ומתקיים אחת הנסיבות המנויות בסעיף 300א של עונש מופחת (מצב קרוב להגנה, מצב של מוגבלות נפשית או שכלית הקרובה להגנה, מצוקה נפשית קשה של הממית בשל התעללות של הקורבן בממית או בבן משפחתו).</w:t>
            </w:r>
          </w:p>
          <w:p w:rsidR="00664AD3" w:rsidRPr="008B41FD" w:rsidRDefault="00664AD3" w:rsidP="00664AD3">
            <w:pPr>
              <w:pStyle w:val="a3"/>
              <w:numPr>
                <w:ilvl w:val="0"/>
                <w:numId w:val="3"/>
              </w:numPr>
              <w:spacing w:before="120" w:line="360" w:lineRule="auto"/>
              <w:rPr>
                <w:rFonts w:cs="David"/>
                <w:sz w:val="24"/>
                <w:szCs w:val="24"/>
              </w:rPr>
            </w:pPr>
            <w:r w:rsidRPr="008B41FD">
              <w:rPr>
                <w:rFonts w:cs="David" w:hint="cs"/>
                <w:sz w:val="24"/>
                <w:szCs w:val="24"/>
                <w:rtl/>
              </w:rPr>
              <w:t>גורם למותו של אדם תוך ביצוע עבירה או תוך הכנות לביצועה או כדי להקל על ביצועה.</w:t>
            </w:r>
          </w:p>
          <w:p w:rsidR="00664AD3" w:rsidRPr="008B41FD" w:rsidRDefault="00664AD3" w:rsidP="00664AD3">
            <w:pPr>
              <w:pStyle w:val="a3"/>
              <w:numPr>
                <w:ilvl w:val="0"/>
                <w:numId w:val="3"/>
              </w:numPr>
              <w:spacing w:before="120" w:line="360" w:lineRule="auto"/>
              <w:rPr>
                <w:rFonts w:cs="David"/>
                <w:sz w:val="24"/>
                <w:szCs w:val="24"/>
              </w:rPr>
            </w:pPr>
            <w:r w:rsidRPr="008B41FD">
              <w:rPr>
                <w:rFonts w:cs="David" w:hint="cs"/>
                <w:sz w:val="24"/>
                <w:szCs w:val="24"/>
                <w:rtl/>
              </w:rPr>
              <w:t xml:space="preserve">גורם למותו של אדם </w:t>
            </w:r>
            <w:proofErr w:type="spellStart"/>
            <w:r w:rsidRPr="008B41FD">
              <w:rPr>
                <w:rFonts w:cs="David" w:hint="cs"/>
                <w:sz w:val="24"/>
                <w:szCs w:val="24"/>
                <w:rtl/>
              </w:rPr>
              <w:t>כנשעברה</w:t>
            </w:r>
            <w:proofErr w:type="spellEnd"/>
            <w:r w:rsidRPr="008B41FD">
              <w:rPr>
                <w:rFonts w:cs="David" w:hint="cs"/>
                <w:sz w:val="24"/>
                <w:szCs w:val="24"/>
                <w:rtl/>
              </w:rPr>
              <w:t xml:space="preserve"> עבירה אחרת, כדי להבטיח לעצמו, או למי שהשתתף בביצוע אותה עבירה בריחה או הימלטות מעונש.</w:t>
            </w:r>
          </w:p>
          <w:p w:rsidR="00664AD3" w:rsidRPr="008B41FD" w:rsidRDefault="00664AD3" w:rsidP="00A071D2">
            <w:pPr>
              <w:spacing w:before="120" w:line="360" w:lineRule="auto"/>
              <w:ind w:left="360"/>
              <w:rPr>
                <w:rFonts w:cs="David"/>
                <w:sz w:val="24"/>
                <w:szCs w:val="24"/>
                <w:rtl/>
              </w:rPr>
            </w:pPr>
            <w:r w:rsidRPr="008B41FD">
              <w:rPr>
                <w:rFonts w:cs="David" w:hint="cs"/>
                <w:sz w:val="24"/>
                <w:szCs w:val="24"/>
                <w:rtl/>
              </w:rPr>
              <w:t>מוצע לקבוע כי</w:t>
            </w:r>
            <w:r w:rsidRPr="008B41FD">
              <w:rPr>
                <w:rFonts w:cs="David" w:hint="cs"/>
                <w:sz w:val="24"/>
                <w:szCs w:val="24"/>
                <w:u w:val="single"/>
                <w:rtl/>
              </w:rPr>
              <w:t xml:space="preserve"> לא</w:t>
            </w:r>
            <w:r w:rsidRPr="008B41FD">
              <w:rPr>
                <w:rFonts w:cs="David" w:hint="cs"/>
                <w:sz w:val="24"/>
                <w:szCs w:val="24"/>
                <w:rtl/>
              </w:rPr>
              <w:t xml:space="preserve"> יחול לעניין זה סעיף 41 לחוק הקובע שמאסר עולם שאינו חובה יהיה עד 20 שנות מאסר (ההצעה לא קובעת מהו מספר השנים המרבי ולפי דברי ההסבר, הכוונה </w:t>
            </w:r>
            <w:r>
              <w:rPr>
                <w:rFonts w:cs="David" w:hint="cs"/>
                <w:sz w:val="24"/>
                <w:szCs w:val="24"/>
                <w:rtl/>
              </w:rPr>
              <w:t xml:space="preserve">הייתה להשאיר שאלה זו לבחינה </w:t>
            </w:r>
            <w:r w:rsidRPr="008B41FD">
              <w:rPr>
                <w:rFonts w:cs="David" w:hint="cs"/>
                <w:sz w:val="24"/>
                <w:szCs w:val="24"/>
                <w:rtl/>
              </w:rPr>
              <w:t>במסגרת הליכי החקיקה בכנסת).</w:t>
            </w:r>
          </w:p>
        </w:tc>
      </w:tr>
      <w:tr w:rsidR="00664AD3" w:rsidRPr="008B41FD" w:rsidTr="00A071D2">
        <w:tc>
          <w:tcPr>
            <w:tcW w:w="8522" w:type="dxa"/>
          </w:tcPr>
          <w:p w:rsidR="00664AD3" w:rsidRPr="008B41FD" w:rsidRDefault="00664AD3" w:rsidP="00A071D2">
            <w:pPr>
              <w:spacing w:before="120" w:line="360" w:lineRule="auto"/>
              <w:rPr>
                <w:rFonts w:cs="David"/>
                <w:b/>
                <w:bCs/>
                <w:sz w:val="24"/>
                <w:szCs w:val="24"/>
                <w:rtl/>
              </w:rPr>
            </w:pPr>
            <w:r w:rsidRPr="008B41FD">
              <w:rPr>
                <w:rFonts w:cs="David" w:hint="cs"/>
                <w:b/>
                <w:bCs/>
                <w:sz w:val="24"/>
                <w:szCs w:val="24"/>
                <w:rtl/>
              </w:rPr>
              <w:t>הריגה</w:t>
            </w:r>
          </w:p>
          <w:p w:rsidR="00664AD3" w:rsidRPr="008B41FD" w:rsidRDefault="00664AD3" w:rsidP="00A071D2">
            <w:pPr>
              <w:spacing w:before="120" w:line="360" w:lineRule="auto"/>
              <w:rPr>
                <w:rFonts w:cs="David"/>
                <w:sz w:val="24"/>
                <w:szCs w:val="24"/>
                <w:rtl/>
              </w:rPr>
            </w:pPr>
            <w:r w:rsidRPr="008B41FD">
              <w:rPr>
                <w:rFonts w:cs="David" w:hint="cs"/>
                <w:sz w:val="24"/>
                <w:szCs w:val="24"/>
                <w:rtl/>
              </w:rPr>
              <w:t>הגורם למותו של אדם</w:t>
            </w:r>
            <w:r>
              <w:rPr>
                <w:rFonts w:cs="David" w:hint="cs"/>
                <w:sz w:val="24"/>
                <w:szCs w:val="24"/>
                <w:rtl/>
              </w:rPr>
              <w:t xml:space="preserve">, דינו </w:t>
            </w:r>
            <w:r>
              <w:rPr>
                <w:rFonts w:cs="David"/>
                <w:sz w:val="24"/>
                <w:szCs w:val="24"/>
                <w:rtl/>
              </w:rPr>
              <w:t>–</w:t>
            </w:r>
            <w:r>
              <w:rPr>
                <w:rFonts w:cs="David" w:hint="cs"/>
                <w:sz w:val="24"/>
                <w:szCs w:val="24"/>
                <w:rtl/>
              </w:rPr>
              <w:t xml:space="preserve"> </w:t>
            </w:r>
            <w:r w:rsidRPr="008B41FD">
              <w:rPr>
                <w:rFonts w:cs="David" w:hint="cs"/>
                <w:sz w:val="24"/>
                <w:szCs w:val="24"/>
                <w:rtl/>
              </w:rPr>
              <w:t xml:space="preserve"> 15 שנות מאסר.</w:t>
            </w:r>
          </w:p>
        </w:tc>
      </w:tr>
      <w:tr w:rsidR="00664AD3" w:rsidRPr="008B41FD" w:rsidTr="00A071D2">
        <w:tc>
          <w:tcPr>
            <w:tcW w:w="8522" w:type="dxa"/>
          </w:tcPr>
          <w:p w:rsidR="00664AD3" w:rsidRPr="008B41FD" w:rsidRDefault="00664AD3" w:rsidP="00A071D2">
            <w:pPr>
              <w:spacing w:before="120" w:line="360" w:lineRule="auto"/>
              <w:jc w:val="both"/>
              <w:rPr>
                <w:rFonts w:cs="David"/>
                <w:sz w:val="24"/>
                <w:szCs w:val="24"/>
                <w:rtl/>
              </w:rPr>
            </w:pPr>
            <w:r w:rsidRPr="008B41FD">
              <w:rPr>
                <w:rFonts w:cs="David" w:hint="cs"/>
                <w:sz w:val="24"/>
                <w:szCs w:val="24"/>
                <w:rtl/>
              </w:rPr>
              <w:t xml:space="preserve">לעניין </w:t>
            </w:r>
            <w:proofErr w:type="spellStart"/>
            <w:r w:rsidRPr="008B41FD">
              <w:rPr>
                <w:rFonts w:cs="David" w:hint="cs"/>
                <w:b/>
                <w:bCs/>
                <w:sz w:val="24"/>
                <w:szCs w:val="24"/>
                <w:rtl/>
              </w:rPr>
              <w:t>קינטור</w:t>
            </w:r>
            <w:proofErr w:type="spellEnd"/>
            <w:r w:rsidRPr="008B41FD">
              <w:rPr>
                <w:rFonts w:cs="David" w:hint="cs"/>
                <w:sz w:val="24"/>
                <w:szCs w:val="24"/>
                <w:rtl/>
              </w:rPr>
              <w:t>- מוצע לקבוע בעבירת הרצח מדרגה ראשונה הגנה אם המעשה נעשה בתגובה להתגרות חמורה בתכוף למעשה,  אם אדם מן היישוב, בגילו של הנאשם ובנסיבות</w:t>
            </w:r>
            <w:r>
              <w:rPr>
                <w:rFonts w:cs="David" w:hint="cs"/>
                <w:sz w:val="24"/>
                <w:szCs w:val="24"/>
                <w:rtl/>
              </w:rPr>
              <w:t xml:space="preserve"> העניין</w:t>
            </w:r>
            <w:r w:rsidRPr="008B41FD">
              <w:rPr>
                <w:rFonts w:cs="David" w:hint="cs"/>
                <w:sz w:val="24"/>
                <w:szCs w:val="24"/>
                <w:rtl/>
              </w:rPr>
              <w:t>, עלול היה להגיב באופן דומה. בבוא בית המשפט להחליט אם אדם סביר כאמור היה עלול להגיב כאמור, לא יביא ביתה משפט בחשבון מאפיינים של הנאשם הנוגים למידת שליטתו העצמית בלבד.</w:t>
            </w:r>
            <w:r>
              <w:rPr>
                <w:rFonts w:cs="David" w:hint="cs"/>
                <w:sz w:val="24"/>
                <w:szCs w:val="24"/>
                <w:rtl/>
              </w:rPr>
              <w:t xml:space="preserve"> </w:t>
            </w:r>
            <w:r w:rsidRPr="008B41FD">
              <w:rPr>
                <w:rFonts w:cs="David" w:hint="cs"/>
                <w:sz w:val="24"/>
                <w:szCs w:val="24"/>
                <w:rtl/>
              </w:rPr>
              <w:t xml:space="preserve">לפי דברי ההסבר, אם מתגבשת הגנת </w:t>
            </w:r>
            <w:proofErr w:type="spellStart"/>
            <w:r w:rsidRPr="008B41FD">
              <w:rPr>
                <w:rFonts w:cs="David" w:hint="cs"/>
                <w:sz w:val="24"/>
                <w:szCs w:val="24"/>
                <w:rtl/>
              </w:rPr>
              <w:t>הקינטור</w:t>
            </w:r>
            <w:proofErr w:type="spellEnd"/>
            <w:r w:rsidRPr="008B41FD">
              <w:rPr>
                <w:rFonts w:cs="David" w:hint="cs"/>
                <w:sz w:val="24"/>
                <w:szCs w:val="24"/>
                <w:rtl/>
              </w:rPr>
              <w:t>, הממית יורשע ברצח מדרגה שנייה.</w:t>
            </w:r>
          </w:p>
        </w:tc>
      </w:tr>
    </w:tbl>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 xml:space="preserve">את יתר סעיפי הפרק (רשלנות, ניסיון רצח וכו') מוצע להותיר על כנם. </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lastRenderedPageBreak/>
        <w:t>לפי דברי ההסבר, עבירת הרצח מדרגה ראשונה תכלול את כל המקרים בהם הייתה כוונה ולמעשה תשקף את המשמעות שניתנה לכוונה תחילה בפסיקה</w:t>
      </w:r>
      <w:r>
        <w:rPr>
          <w:rFonts w:cs="David" w:hint="cs"/>
          <w:sz w:val="24"/>
          <w:szCs w:val="24"/>
          <w:rtl/>
        </w:rPr>
        <w:t xml:space="preserve">, כך שעיקר הדרישה היא הוכחת </w:t>
      </w:r>
      <w:r w:rsidRPr="008B41FD">
        <w:rPr>
          <w:rFonts w:cs="David" w:hint="cs"/>
          <w:sz w:val="24"/>
          <w:szCs w:val="24"/>
          <w:rtl/>
        </w:rPr>
        <w:t>החלטה להמית.</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אם לא ניתן להוכיח כוונה אך התקיימה אחת הנסיבות המנויות לעיל- כוונה לגרום חבלה חמורה</w:t>
      </w:r>
      <w:r>
        <w:rPr>
          <w:rFonts w:cs="David" w:hint="cs"/>
          <w:sz w:val="24"/>
          <w:szCs w:val="24"/>
          <w:rtl/>
        </w:rPr>
        <w:t xml:space="preserve"> (כפי שקבוע במשפט האנגלי)</w:t>
      </w:r>
      <w:r w:rsidRPr="008B41FD">
        <w:rPr>
          <w:rFonts w:cs="David" w:hint="cs"/>
          <w:sz w:val="24"/>
          <w:szCs w:val="24"/>
          <w:rtl/>
        </w:rPr>
        <w:t xml:space="preserve">, </w:t>
      </w:r>
      <w:r>
        <w:rPr>
          <w:rFonts w:cs="David" w:hint="cs"/>
          <w:sz w:val="24"/>
          <w:szCs w:val="24"/>
          <w:rtl/>
        </w:rPr>
        <w:t>צפייה התוצאה כאפשרות קרובה לוודאי (</w:t>
      </w:r>
      <w:r w:rsidRPr="008B41FD">
        <w:rPr>
          <w:rFonts w:cs="David" w:hint="cs"/>
          <w:sz w:val="24"/>
          <w:szCs w:val="24"/>
          <w:rtl/>
        </w:rPr>
        <w:t>הלכת הצפיות</w:t>
      </w:r>
      <w:r>
        <w:rPr>
          <w:rFonts w:cs="David" w:hint="cs"/>
          <w:sz w:val="24"/>
          <w:szCs w:val="24"/>
          <w:rtl/>
        </w:rPr>
        <w:t>),</w:t>
      </w:r>
      <w:r w:rsidRPr="008B41FD">
        <w:rPr>
          <w:rFonts w:cs="David" w:hint="cs"/>
          <w:sz w:val="24"/>
          <w:szCs w:val="24"/>
          <w:rtl/>
        </w:rPr>
        <w:t xml:space="preserve"> תוך ביצוע עבירה או כדי להימלט מעונש </w:t>
      </w:r>
      <w:proofErr w:type="spellStart"/>
      <w:r w:rsidRPr="008B41FD">
        <w:rPr>
          <w:rFonts w:cs="David" w:hint="cs"/>
          <w:sz w:val="24"/>
          <w:szCs w:val="24"/>
          <w:rtl/>
        </w:rPr>
        <w:t>וכיוצ"ב</w:t>
      </w:r>
      <w:proofErr w:type="spellEnd"/>
      <w:r w:rsidRPr="008B41FD">
        <w:rPr>
          <w:rFonts w:cs="David" w:hint="cs"/>
          <w:sz w:val="24"/>
          <w:szCs w:val="24"/>
          <w:rtl/>
        </w:rPr>
        <w:t xml:space="preserve">- יהיה זה רצח מדרגה שנייה. </w:t>
      </w:r>
    </w:p>
    <w:p w:rsidR="00664AD3" w:rsidRPr="008B41FD" w:rsidRDefault="00664AD3" w:rsidP="00664AD3">
      <w:pPr>
        <w:spacing w:before="120" w:after="0" w:line="360" w:lineRule="auto"/>
        <w:jc w:val="both"/>
        <w:rPr>
          <w:rFonts w:cs="David"/>
          <w:sz w:val="24"/>
          <w:szCs w:val="24"/>
          <w:rtl/>
        </w:rPr>
      </w:pPr>
    </w:p>
    <w:p w:rsidR="00664AD3" w:rsidRPr="008B41FD" w:rsidRDefault="00664AD3" w:rsidP="00664AD3">
      <w:pPr>
        <w:spacing w:before="120" w:after="0" w:line="360" w:lineRule="auto"/>
        <w:jc w:val="both"/>
        <w:rPr>
          <w:rFonts w:cs="David"/>
          <w:sz w:val="24"/>
          <w:szCs w:val="24"/>
          <w:rtl/>
        </w:rPr>
      </w:pPr>
      <w:r w:rsidRPr="006805FC">
        <w:rPr>
          <w:rFonts w:cs="David" w:hint="cs"/>
          <w:sz w:val="24"/>
          <w:szCs w:val="24"/>
          <w:rtl/>
        </w:rPr>
        <w:t>לפי דברי ההסבר, לא ניתן להשוות את אשמתו של מי שהייתה לו כוונה להמית למי שלא הייתה לו כוונה קטלנית.  ולכן, כאמור, מוצע לקבוע כי גם אם הייתה אפשרות קרובה לוודאי אך לא כוונה</w:t>
      </w:r>
      <w:r w:rsidRPr="008B41FD">
        <w:rPr>
          <w:rFonts w:cs="David" w:hint="cs"/>
          <w:sz w:val="24"/>
          <w:szCs w:val="24"/>
          <w:rtl/>
        </w:rPr>
        <w:t xml:space="preserve"> של ממש, או  שהדבר היה תוך ביצוע עבירה או לשם ביצוע</w:t>
      </w:r>
      <w:r>
        <w:rPr>
          <w:rFonts w:cs="David" w:hint="cs"/>
          <w:sz w:val="24"/>
          <w:szCs w:val="24"/>
          <w:rtl/>
        </w:rPr>
        <w:t>ה</w:t>
      </w:r>
      <w:r w:rsidRPr="008B41FD">
        <w:rPr>
          <w:rFonts w:cs="David" w:hint="cs"/>
          <w:sz w:val="24"/>
          <w:szCs w:val="24"/>
          <w:rtl/>
        </w:rPr>
        <w:t xml:space="preserve"> (</w:t>
      </w:r>
      <w:r>
        <w:rPr>
          <w:rFonts w:cs="David" w:hint="cs"/>
          <w:sz w:val="24"/>
          <w:szCs w:val="24"/>
          <w:rtl/>
        </w:rPr>
        <w:t xml:space="preserve">נסיבה </w:t>
      </w:r>
      <w:r w:rsidRPr="008B41FD">
        <w:rPr>
          <w:rFonts w:cs="David" w:hint="cs"/>
          <w:sz w:val="24"/>
          <w:szCs w:val="24"/>
          <w:rtl/>
        </w:rPr>
        <w:t xml:space="preserve">שכיום </w:t>
      </w:r>
      <w:r>
        <w:rPr>
          <w:rFonts w:cs="David" w:hint="cs"/>
          <w:sz w:val="24"/>
          <w:szCs w:val="24"/>
          <w:rtl/>
        </w:rPr>
        <w:t>מביאה לגיבוש עבירת הרצח גם אם אין כוונה</w:t>
      </w:r>
      <w:r w:rsidRPr="008B41FD">
        <w:rPr>
          <w:rFonts w:cs="David" w:hint="cs"/>
          <w:sz w:val="24"/>
          <w:szCs w:val="24"/>
          <w:rtl/>
        </w:rPr>
        <w:t>)</w:t>
      </w:r>
      <w:r>
        <w:rPr>
          <w:rFonts w:cs="David" w:hint="cs"/>
          <w:sz w:val="24"/>
          <w:szCs w:val="24"/>
          <w:rtl/>
        </w:rPr>
        <w:t>,</w:t>
      </w:r>
      <w:r w:rsidRPr="008B41FD">
        <w:rPr>
          <w:rFonts w:cs="David" w:hint="cs"/>
          <w:sz w:val="24"/>
          <w:szCs w:val="24"/>
          <w:rtl/>
        </w:rPr>
        <w:t xml:space="preserve"> אך לא הייתה כוונה להמית- ניתן יהיה להרשיע ברצח אך לא בעבירה החמורה ביותר</w:t>
      </w:r>
      <w:r>
        <w:rPr>
          <w:rFonts w:cs="David" w:hint="cs"/>
          <w:sz w:val="24"/>
          <w:szCs w:val="24"/>
          <w:rtl/>
        </w:rPr>
        <w:t xml:space="preserve"> של רצח מדרגה ראשונה</w:t>
      </w:r>
      <w:r w:rsidRPr="008B41FD">
        <w:rPr>
          <w:rFonts w:cs="David" w:hint="cs"/>
          <w:sz w:val="24"/>
          <w:szCs w:val="24"/>
          <w:rtl/>
        </w:rPr>
        <w:t>.</w:t>
      </w:r>
    </w:p>
    <w:p w:rsidR="00664AD3" w:rsidRPr="008B41FD" w:rsidRDefault="00664AD3" w:rsidP="00664AD3">
      <w:pPr>
        <w:spacing w:before="120" w:after="0" w:line="360" w:lineRule="auto"/>
        <w:jc w:val="both"/>
        <w:rPr>
          <w:rFonts w:cs="David"/>
          <w:sz w:val="24"/>
          <w:szCs w:val="24"/>
          <w:rtl/>
        </w:rPr>
      </w:pPr>
      <w:r w:rsidRPr="008B41FD">
        <w:rPr>
          <w:rFonts w:cs="David" w:hint="cs"/>
          <w:sz w:val="24"/>
          <w:szCs w:val="24"/>
          <w:rtl/>
        </w:rPr>
        <w:t>לעניין עבירת ההריגה, נאמר בדברי ההסבר, כי מאחר ש</w:t>
      </w:r>
      <w:r>
        <w:rPr>
          <w:rFonts w:cs="David" w:hint="cs"/>
          <w:sz w:val="24"/>
          <w:szCs w:val="24"/>
          <w:rtl/>
        </w:rPr>
        <w:t>בהתאם ל</w:t>
      </w:r>
      <w:r w:rsidRPr="008B41FD">
        <w:rPr>
          <w:rFonts w:cs="David" w:hint="cs"/>
          <w:sz w:val="24"/>
          <w:szCs w:val="24"/>
          <w:rtl/>
        </w:rPr>
        <w:t>הצעה לא יכללו בעבירה זו המקרים הקשים יותר של פגיעה מכוונת בחיי אדם, שנכללו בה היום, מוצע להפחית את העונש בגינה מ 20 שנות מאסר ל -15 שנות מאסר.</w:t>
      </w:r>
    </w:p>
    <w:p w:rsidR="00664AD3" w:rsidRPr="008B41FD" w:rsidRDefault="00664AD3" w:rsidP="00664AD3">
      <w:pPr>
        <w:spacing w:before="120" w:after="0" w:line="360" w:lineRule="auto"/>
        <w:jc w:val="both"/>
        <w:rPr>
          <w:rFonts w:cs="David"/>
          <w:sz w:val="24"/>
          <w:szCs w:val="24"/>
          <w:rtl/>
        </w:rPr>
      </w:pPr>
    </w:p>
    <w:p w:rsidR="00664AD3" w:rsidRPr="008B41FD" w:rsidRDefault="00664AD3" w:rsidP="00664AD3">
      <w:pPr>
        <w:spacing w:before="120" w:after="0" w:line="360" w:lineRule="auto"/>
        <w:rPr>
          <w:rFonts w:cs="David"/>
          <w:b/>
          <w:bCs/>
          <w:sz w:val="24"/>
          <w:szCs w:val="24"/>
          <w:rtl/>
        </w:rPr>
      </w:pPr>
      <w:r w:rsidRPr="008B41FD">
        <w:rPr>
          <w:rFonts w:cs="David" w:hint="cs"/>
          <w:b/>
          <w:bCs/>
          <w:sz w:val="24"/>
          <w:szCs w:val="24"/>
          <w:rtl/>
        </w:rPr>
        <w:t>הצעת החוק של חה"כ מיקי רוזנטל</w:t>
      </w:r>
    </w:p>
    <w:p w:rsidR="00664AD3" w:rsidRPr="008B41FD" w:rsidRDefault="00664AD3" w:rsidP="00664AD3">
      <w:pPr>
        <w:spacing w:before="120" w:after="0" w:line="360" w:lineRule="auto"/>
        <w:rPr>
          <w:rFonts w:cs="David"/>
          <w:sz w:val="24"/>
          <w:szCs w:val="24"/>
          <w:rtl/>
        </w:rPr>
      </w:pPr>
      <w:r w:rsidRPr="008B41FD">
        <w:rPr>
          <w:rFonts w:cs="David" w:hint="cs"/>
          <w:sz w:val="24"/>
          <w:szCs w:val="24"/>
          <w:rtl/>
        </w:rPr>
        <w:t xml:space="preserve">הצעת החוק זהה להצעת החוק הממשלתית.  </w:t>
      </w:r>
    </w:p>
    <w:p w:rsidR="00664AD3" w:rsidRPr="008B41FD" w:rsidRDefault="00664AD3" w:rsidP="00664AD3">
      <w:pPr>
        <w:spacing w:before="120" w:after="0" w:line="360" w:lineRule="auto"/>
        <w:rPr>
          <w:rFonts w:cs="David"/>
          <w:sz w:val="24"/>
          <w:szCs w:val="24"/>
          <w:rtl/>
        </w:rPr>
      </w:pPr>
    </w:p>
    <w:p w:rsidR="00664AD3" w:rsidRDefault="00664AD3" w:rsidP="00664AD3">
      <w:pPr>
        <w:spacing w:before="120" w:after="0" w:line="360" w:lineRule="auto"/>
        <w:rPr>
          <w:rFonts w:cs="David"/>
          <w:b/>
          <w:bCs/>
          <w:sz w:val="24"/>
          <w:szCs w:val="24"/>
          <w:rtl/>
        </w:rPr>
      </w:pPr>
      <w:r>
        <w:rPr>
          <w:rFonts w:cs="David" w:hint="cs"/>
          <w:b/>
          <w:bCs/>
          <w:sz w:val="24"/>
          <w:szCs w:val="24"/>
          <w:rtl/>
        </w:rPr>
        <w:t>סיכום ו</w:t>
      </w:r>
      <w:r w:rsidRPr="0004158F">
        <w:rPr>
          <w:rFonts w:cs="David" w:hint="cs"/>
          <w:b/>
          <w:bCs/>
          <w:sz w:val="24"/>
          <w:szCs w:val="24"/>
          <w:rtl/>
        </w:rPr>
        <w:t>סוגיות מרכזיות לדיון:</w:t>
      </w:r>
    </w:p>
    <w:p w:rsidR="00664AD3" w:rsidRPr="00AB13CD" w:rsidRDefault="00664AD3" w:rsidP="00664AD3">
      <w:pPr>
        <w:spacing w:before="120" w:after="0" w:line="360" w:lineRule="auto"/>
        <w:jc w:val="both"/>
        <w:rPr>
          <w:rFonts w:cs="David"/>
          <w:sz w:val="24"/>
          <w:szCs w:val="24"/>
          <w:rtl/>
        </w:rPr>
      </w:pPr>
      <w:r>
        <w:rPr>
          <w:rFonts w:cs="David" w:hint="cs"/>
          <w:sz w:val="24"/>
          <w:szCs w:val="24"/>
          <w:rtl/>
        </w:rPr>
        <w:t xml:space="preserve">כפי שעולה מהספרות והפסיקה, ראוי ליצור מדרג חדש של עבירות ההמתה. במסגרת הצעת החוק הממשלתית התקבלו הכרעות ערכיות שיש לדון בהן במסגרת דיוני הוועדה. להלן מספר סוגיות מרכזיות שמוצע לדון בהן (לקראת כל ישיבה נחדד את הסוגיות הספציפיות שיעלו לדיון):  </w:t>
      </w:r>
    </w:p>
    <w:p w:rsidR="00664AD3" w:rsidRDefault="00664AD3" w:rsidP="00664AD3">
      <w:pPr>
        <w:pStyle w:val="a3"/>
        <w:numPr>
          <w:ilvl w:val="0"/>
          <w:numId w:val="1"/>
        </w:numPr>
        <w:spacing w:before="120" w:after="0" w:line="360" w:lineRule="auto"/>
        <w:jc w:val="both"/>
        <w:rPr>
          <w:rFonts w:cs="David"/>
          <w:sz w:val="24"/>
          <w:szCs w:val="24"/>
        </w:rPr>
      </w:pPr>
      <w:r w:rsidRPr="00B70A09">
        <w:rPr>
          <w:rFonts w:cs="David" w:hint="cs"/>
          <w:b/>
          <w:bCs/>
          <w:sz w:val="24"/>
          <w:szCs w:val="24"/>
          <w:rtl/>
        </w:rPr>
        <w:t xml:space="preserve">היסוד הנפשי </w:t>
      </w:r>
      <w:r>
        <w:rPr>
          <w:rFonts w:cs="David" w:hint="cs"/>
          <w:b/>
          <w:bCs/>
          <w:sz w:val="24"/>
          <w:szCs w:val="24"/>
          <w:rtl/>
        </w:rPr>
        <w:t>ב</w:t>
      </w:r>
      <w:r w:rsidRPr="00B70A09">
        <w:rPr>
          <w:rFonts w:cs="David" w:hint="cs"/>
          <w:b/>
          <w:bCs/>
          <w:sz w:val="24"/>
          <w:szCs w:val="24"/>
          <w:rtl/>
        </w:rPr>
        <w:t>עבירת הרצח ו</w:t>
      </w:r>
      <w:r>
        <w:rPr>
          <w:rFonts w:cs="David" w:hint="cs"/>
          <w:b/>
          <w:bCs/>
          <w:sz w:val="24"/>
          <w:szCs w:val="24"/>
          <w:rtl/>
        </w:rPr>
        <w:t xml:space="preserve">בעבירת </w:t>
      </w:r>
      <w:r w:rsidRPr="00B70A09">
        <w:rPr>
          <w:rFonts w:cs="David" w:hint="cs"/>
          <w:b/>
          <w:bCs/>
          <w:sz w:val="24"/>
          <w:szCs w:val="24"/>
          <w:rtl/>
        </w:rPr>
        <w:t>הרצח בנסיבות מחמירות</w:t>
      </w:r>
      <w:r>
        <w:rPr>
          <w:rFonts w:cs="David" w:hint="cs"/>
          <w:sz w:val="24"/>
          <w:szCs w:val="24"/>
          <w:rtl/>
        </w:rPr>
        <w:t xml:space="preserve"> </w:t>
      </w:r>
      <w:r>
        <w:rPr>
          <w:rFonts w:cs="David"/>
          <w:sz w:val="24"/>
          <w:szCs w:val="24"/>
          <w:rtl/>
        </w:rPr>
        <w:t>–</w:t>
      </w:r>
      <w:r>
        <w:rPr>
          <w:rFonts w:cs="David" w:hint="cs"/>
          <w:sz w:val="24"/>
          <w:szCs w:val="24"/>
          <w:rtl/>
        </w:rPr>
        <w:t xml:space="preserve"> הצעת החוק הממשלתית מבקשת לקבוע יסוד נפשי של כוונה או </w:t>
      </w:r>
      <w:r w:rsidRPr="004E3636">
        <w:rPr>
          <w:rFonts w:cs="David" w:hint="cs"/>
          <w:sz w:val="24"/>
          <w:szCs w:val="24"/>
          <w:rtl/>
        </w:rPr>
        <w:t>אדישות</w:t>
      </w:r>
      <w:r>
        <w:rPr>
          <w:rFonts w:cs="David" w:hint="cs"/>
          <w:sz w:val="24"/>
          <w:szCs w:val="24"/>
          <w:rtl/>
        </w:rPr>
        <w:t xml:space="preserve"> בשתי העבירות</w:t>
      </w:r>
      <w:r w:rsidRPr="004E3636">
        <w:rPr>
          <w:rFonts w:cs="David" w:hint="cs"/>
          <w:sz w:val="24"/>
          <w:szCs w:val="24"/>
          <w:rtl/>
        </w:rPr>
        <w:t>.</w:t>
      </w:r>
      <w:r>
        <w:rPr>
          <w:rFonts w:cs="David" w:hint="cs"/>
          <w:sz w:val="24"/>
          <w:szCs w:val="24"/>
          <w:rtl/>
        </w:rPr>
        <w:t xml:space="preserve"> בהצעת החוק של חה"כ סלומינסקי מוצע לקבוע עבירה של רצח מדרגה ראשונה ובה יסוד נפשי של כוונה, ועבירת רצח מדרגה שנייה הכוללת כוונה לחבלה חמורה או צפיית התוצאה כאפשרות קרובה לוודאי או תוך ביצוע עבירה </w:t>
      </w:r>
      <w:proofErr w:type="spellStart"/>
      <w:r>
        <w:rPr>
          <w:rFonts w:cs="David" w:hint="cs"/>
          <w:sz w:val="24"/>
          <w:szCs w:val="24"/>
          <w:rtl/>
        </w:rPr>
        <w:t>וכיוצ"ב</w:t>
      </w:r>
      <w:proofErr w:type="spellEnd"/>
      <w:r>
        <w:rPr>
          <w:rFonts w:cs="David" w:hint="cs"/>
          <w:sz w:val="24"/>
          <w:szCs w:val="24"/>
          <w:rtl/>
        </w:rPr>
        <w:t xml:space="preserve">. </w:t>
      </w:r>
    </w:p>
    <w:p w:rsidR="00664AD3" w:rsidRDefault="00664AD3" w:rsidP="00664AD3">
      <w:pPr>
        <w:pStyle w:val="a3"/>
        <w:numPr>
          <w:ilvl w:val="1"/>
          <w:numId w:val="1"/>
        </w:numPr>
        <w:spacing w:before="120" w:after="0" w:line="360" w:lineRule="auto"/>
        <w:jc w:val="both"/>
        <w:rPr>
          <w:rFonts w:cs="David"/>
          <w:sz w:val="24"/>
          <w:szCs w:val="24"/>
        </w:rPr>
      </w:pPr>
      <w:r w:rsidRPr="00C63C58">
        <w:rPr>
          <w:rFonts w:cs="David" w:hint="cs"/>
          <w:sz w:val="24"/>
          <w:szCs w:val="24"/>
          <w:rtl/>
        </w:rPr>
        <w:t>מוצע לדון במידת האשם שיש לייחס ליסוד נפשי של כוונה לעומת אדישות</w:t>
      </w:r>
      <w:r>
        <w:rPr>
          <w:rFonts w:cs="David" w:hint="cs"/>
          <w:sz w:val="24"/>
          <w:szCs w:val="24"/>
          <w:rtl/>
        </w:rPr>
        <w:t>,</w:t>
      </w:r>
      <w:r w:rsidRPr="00C63C58">
        <w:rPr>
          <w:rFonts w:cs="David" w:hint="cs"/>
          <w:sz w:val="24"/>
          <w:szCs w:val="24"/>
          <w:rtl/>
        </w:rPr>
        <w:t xml:space="preserve"> ולעומת קלות דעת</w:t>
      </w:r>
      <w:r>
        <w:rPr>
          <w:rFonts w:cs="David" w:hint="cs"/>
          <w:sz w:val="24"/>
          <w:szCs w:val="24"/>
          <w:rtl/>
        </w:rPr>
        <w:t>,</w:t>
      </w:r>
      <w:r w:rsidRPr="00C63C58">
        <w:rPr>
          <w:rFonts w:cs="David" w:hint="cs"/>
          <w:sz w:val="24"/>
          <w:szCs w:val="24"/>
          <w:rtl/>
        </w:rPr>
        <w:t xml:space="preserve"> האם יש הצדקה להבחין בין אדישות לקלות דעת</w:t>
      </w:r>
      <w:r>
        <w:rPr>
          <w:rFonts w:cs="David" w:hint="cs"/>
          <w:sz w:val="24"/>
          <w:szCs w:val="24"/>
          <w:rtl/>
        </w:rPr>
        <w:t xml:space="preserve"> בעבירת המתה.</w:t>
      </w:r>
      <w:r w:rsidRPr="00C63C58">
        <w:rPr>
          <w:rFonts w:cs="David" w:hint="cs"/>
          <w:sz w:val="24"/>
          <w:szCs w:val="24"/>
          <w:rtl/>
        </w:rPr>
        <w:t xml:space="preserve"> </w:t>
      </w:r>
    </w:p>
    <w:p w:rsidR="00664AD3" w:rsidRDefault="00664AD3" w:rsidP="00664AD3">
      <w:pPr>
        <w:pStyle w:val="a3"/>
        <w:numPr>
          <w:ilvl w:val="1"/>
          <w:numId w:val="1"/>
        </w:numPr>
        <w:spacing w:before="120" w:after="0" w:line="360" w:lineRule="auto"/>
        <w:jc w:val="both"/>
        <w:rPr>
          <w:rFonts w:cs="David"/>
          <w:sz w:val="24"/>
          <w:szCs w:val="24"/>
        </w:rPr>
      </w:pPr>
      <w:r>
        <w:rPr>
          <w:rFonts w:cs="David" w:hint="cs"/>
          <w:sz w:val="24"/>
          <w:szCs w:val="24"/>
          <w:rtl/>
        </w:rPr>
        <w:t>מוצע לבחון האם ניתן להוביל ליצירת מדרג נורמטיבי דומה למדרג המוצע בהצעה הממשלתית באמצעות החלת הלכת הצפיות, מבלי ליצור הבחנה בתוך היסוד הנפשי של פזיזות.</w:t>
      </w:r>
      <w:r w:rsidRPr="00C63C58">
        <w:rPr>
          <w:rFonts w:cs="David" w:hint="cs"/>
          <w:sz w:val="24"/>
          <w:szCs w:val="24"/>
          <w:rtl/>
        </w:rPr>
        <w:t xml:space="preserve"> </w:t>
      </w:r>
    </w:p>
    <w:p w:rsidR="00664AD3" w:rsidRDefault="00664AD3" w:rsidP="00664AD3">
      <w:pPr>
        <w:pStyle w:val="a3"/>
        <w:numPr>
          <w:ilvl w:val="1"/>
          <w:numId w:val="1"/>
        </w:numPr>
        <w:spacing w:before="120" w:after="0" w:line="360" w:lineRule="auto"/>
        <w:jc w:val="both"/>
        <w:rPr>
          <w:rFonts w:cs="David"/>
          <w:sz w:val="24"/>
          <w:szCs w:val="24"/>
        </w:rPr>
      </w:pPr>
      <w:r w:rsidRPr="00C63C58">
        <w:rPr>
          <w:rFonts w:cs="David" w:hint="cs"/>
          <w:sz w:val="24"/>
          <w:szCs w:val="24"/>
          <w:rtl/>
        </w:rPr>
        <w:lastRenderedPageBreak/>
        <w:t>הבחנה בין אדישות לקלות דעת קיימת בחלק הכללי של חוק העונשין בלבד</w:t>
      </w:r>
      <w:r>
        <w:rPr>
          <w:rFonts w:cs="David" w:hint="cs"/>
          <w:sz w:val="24"/>
          <w:szCs w:val="24"/>
          <w:rtl/>
        </w:rPr>
        <w:t>,</w:t>
      </w:r>
      <w:r w:rsidRPr="00C63C58">
        <w:rPr>
          <w:rFonts w:cs="David" w:hint="cs"/>
          <w:sz w:val="24"/>
          <w:szCs w:val="24"/>
          <w:rtl/>
        </w:rPr>
        <w:t xml:space="preserve"> ו</w:t>
      </w:r>
      <w:r>
        <w:rPr>
          <w:rFonts w:cs="David" w:hint="cs"/>
          <w:sz w:val="24"/>
          <w:szCs w:val="24"/>
          <w:rtl/>
        </w:rPr>
        <w:t xml:space="preserve">אין הבחנה </w:t>
      </w:r>
      <w:r w:rsidRPr="00C63C58">
        <w:rPr>
          <w:rFonts w:cs="David" w:hint="cs"/>
          <w:sz w:val="24"/>
          <w:szCs w:val="24"/>
          <w:rtl/>
        </w:rPr>
        <w:t xml:space="preserve">כאמור בעבירות </w:t>
      </w:r>
      <w:r>
        <w:rPr>
          <w:rFonts w:cs="David" w:hint="cs"/>
          <w:sz w:val="24"/>
          <w:szCs w:val="24"/>
          <w:rtl/>
        </w:rPr>
        <w:t xml:space="preserve">הספציפיות </w:t>
      </w:r>
      <w:r w:rsidRPr="00C63C58">
        <w:rPr>
          <w:rFonts w:cs="David" w:hint="cs"/>
          <w:sz w:val="24"/>
          <w:szCs w:val="24"/>
          <w:rtl/>
        </w:rPr>
        <w:t xml:space="preserve">בחוק העונשין. מוצע לדון בהשלכות הרוחב שעלולות להיות ליצירת </w:t>
      </w:r>
      <w:r>
        <w:rPr>
          <w:rFonts w:cs="David" w:hint="cs"/>
          <w:sz w:val="24"/>
          <w:szCs w:val="24"/>
          <w:rtl/>
        </w:rPr>
        <w:t>ה</w:t>
      </w:r>
      <w:r w:rsidRPr="00C63C58">
        <w:rPr>
          <w:rFonts w:cs="David" w:hint="cs"/>
          <w:sz w:val="24"/>
          <w:szCs w:val="24"/>
          <w:rtl/>
        </w:rPr>
        <w:t>הבחנה</w:t>
      </w:r>
      <w:r>
        <w:rPr>
          <w:rFonts w:cs="David" w:hint="cs"/>
          <w:sz w:val="24"/>
          <w:szCs w:val="24"/>
          <w:rtl/>
        </w:rPr>
        <w:t>.</w:t>
      </w:r>
    </w:p>
    <w:p w:rsidR="00664AD3" w:rsidRPr="00C63C58" w:rsidRDefault="00664AD3" w:rsidP="00664AD3">
      <w:pPr>
        <w:pStyle w:val="a3"/>
        <w:numPr>
          <w:ilvl w:val="1"/>
          <w:numId w:val="1"/>
        </w:numPr>
        <w:spacing w:before="120" w:after="0" w:line="360" w:lineRule="auto"/>
        <w:jc w:val="both"/>
        <w:rPr>
          <w:rFonts w:cs="David"/>
          <w:sz w:val="24"/>
          <w:szCs w:val="24"/>
        </w:rPr>
      </w:pPr>
      <w:r>
        <w:rPr>
          <w:rFonts w:cs="David" w:hint="cs"/>
          <w:sz w:val="24"/>
          <w:szCs w:val="24"/>
          <w:rtl/>
        </w:rPr>
        <w:t xml:space="preserve">מבחינה מעשית, מוצע לבחון </w:t>
      </w:r>
      <w:r w:rsidRPr="00C63C58">
        <w:rPr>
          <w:rFonts w:cs="David" w:hint="cs"/>
          <w:sz w:val="24"/>
          <w:szCs w:val="24"/>
          <w:rtl/>
        </w:rPr>
        <w:t>כיצד בית המשפט יבחין בי</w:t>
      </w:r>
      <w:r>
        <w:rPr>
          <w:rFonts w:cs="David" w:hint="cs"/>
          <w:sz w:val="24"/>
          <w:szCs w:val="24"/>
          <w:rtl/>
        </w:rPr>
        <w:t>ן היסוד הנפשי של אדישות לקלות הדעת.</w:t>
      </w:r>
      <w:r w:rsidRPr="00C63C58">
        <w:rPr>
          <w:rFonts w:cs="David" w:hint="cs"/>
          <w:sz w:val="24"/>
          <w:szCs w:val="24"/>
          <w:rtl/>
        </w:rPr>
        <w:t xml:space="preserve"> </w:t>
      </w:r>
    </w:p>
    <w:p w:rsidR="00664AD3" w:rsidRDefault="00664AD3" w:rsidP="00664AD3">
      <w:pPr>
        <w:pStyle w:val="a3"/>
        <w:spacing w:before="120" w:after="0" w:line="360" w:lineRule="auto"/>
        <w:ind w:left="1440"/>
        <w:jc w:val="both"/>
        <w:rPr>
          <w:rFonts w:cs="David"/>
          <w:sz w:val="24"/>
          <w:szCs w:val="24"/>
        </w:rPr>
      </w:pPr>
    </w:p>
    <w:p w:rsidR="00664AD3" w:rsidRPr="004C0F70" w:rsidRDefault="00664AD3" w:rsidP="00664AD3">
      <w:pPr>
        <w:pStyle w:val="a3"/>
        <w:numPr>
          <w:ilvl w:val="0"/>
          <w:numId w:val="1"/>
        </w:numPr>
        <w:spacing w:before="120" w:after="0" w:line="360" w:lineRule="auto"/>
        <w:jc w:val="both"/>
        <w:rPr>
          <w:rFonts w:cs="David"/>
          <w:sz w:val="24"/>
          <w:szCs w:val="24"/>
          <w:rtl/>
        </w:rPr>
      </w:pPr>
      <w:r w:rsidRPr="008E273A">
        <w:rPr>
          <w:rFonts w:cs="David" w:hint="cs"/>
          <w:b/>
          <w:bCs/>
          <w:sz w:val="24"/>
          <w:szCs w:val="24"/>
          <w:rtl/>
        </w:rPr>
        <w:t xml:space="preserve">העונש הקבוע לצד עבירת הרצח </w:t>
      </w:r>
      <w:r w:rsidRPr="008E273A">
        <w:rPr>
          <w:rFonts w:cs="David" w:hint="cs"/>
          <w:sz w:val="24"/>
          <w:szCs w:val="24"/>
          <w:rtl/>
        </w:rPr>
        <w:t xml:space="preserve"> </w:t>
      </w:r>
      <w:r w:rsidRPr="008E273A">
        <w:rPr>
          <w:rFonts w:cs="David"/>
          <w:sz w:val="24"/>
          <w:szCs w:val="24"/>
          <w:rtl/>
        </w:rPr>
        <w:t>–</w:t>
      </w:r>
      <w:r w:rsidRPr="008E273A">
        <w:rPr>
          <w:rFonts w:cs="David" w:hint="cs"/>
          <w:sz w:val="24"/>
          <w:szCs w:val="24"/>
          <w:rtl/>
        </w:rPr>
        <w:t xml:space="preserve"> מוצע בהצעה הממשלתית לקבוע </w:t>
      </w:r>
      <w:r>
        <w:rPr>
          <w:rFonts w:cs="David" w:hint="cs"/>
          <w:sz w:val="24"/>
          <w:szCs w:val="24"/>
          <w:rtl/>
        </w:rPr>
        <w:t xml:space="preserve">לצד עבירת הרצח </w:t>
      </w:r>
      <w:r w:rsidRPr="008E273A">
        <w:rPr>
          <w:rFonts w:cs="David" w:hint="cs"/>
          <w:sz w:val="24"/>
          <w:szCs w:val="24"/>
          <w:rtl/>
        </w:rPr>
        <w:t xml:space="preserve">עונש מאסר עולם שאינו עונש חובה. </w:t>
      </w:r>
      <w:r>
        <w:rPr>
          <w:rFonts w:cs="David" w:hint="cs"/>
          <w:sz w:val="24"/>
          <w:szCs w:val="24"/>
          <w:rtl/>
        </w:rPr>
        <w:t xml:space="preserve">המשמעות שמוצע לתת לעונש זה היא הסמכת בית המשפט </w:t>
      </w:r>
      <w:r w:rsidRPr="008E273A">
        <w:rPr>
          <w:rFonts w:cs="David" w:hint="cs"/>
          <w:sz w:val="24"/>
          <w:szCs w:val="24"/>
          <w:rtl/>
        </w:rPr>
        <w:t xml:space="preserve">לקבוע אם </w:t>
      </w:r>
      <w:r>
        <w:rPr>
          <w:rFonts w:cs="David" w:hint="cs"/>
          <w:sz w:val="24"/>
          <w:szCs w:val="24"/>
          <w:rtl/>
        </w:rPr>
        <w:t xml:space="preserve">לגזור </w:t>
      </w:r>
      <w:r w:rsidRPr="008E273A">
        <w:rPr>
          <w:rFonts w:cs="David" w:hint="cs"/>
          <w:sz w:val="24"/>
          <w:szCs w:val="24"/>
          <w:rtl/>
        </w:rPr>
        <w:t xml:space="preserve">על הנאשם עונש מאסר עולם לתקופה בלתי קצובה או מאסר לתקופה קצובה שאינה עולה על 30 שנות מאסר. עונש כאמור לא קיים בחוק העונשין, שכן כיום עונש מאסר עולם שאינו חובה משמעותו עונש של עד עשרים שנות מאסר. </w:t>
      </w:r>
      <w:r>
        <w:rPr>
          <w:rFonts w:cs="David" w:hint="cs"/>
          <w:sz w:val="24"/>
          <w:szCs w:val="24"/>
          <w:rtl/>
        </w:rPr>
        <w:t>מוצע לבחון את משמעות העונש המוצע. כמו כן</w:t>
      </w:r>
      <w:r w:rsidRPr="004C0F70">
        <w:rPr>
          <w:rFonts w:cs="David" w:hint="cs"/>
          <w:sz w:val="24"/>
          <w:szCs w:val="24"/>
          <w:rtl/>
        </w:rPr>
        <w:t xml:space="preserve">, מוצע לדון בהקלה שיש </w:t>
      </w:r>
      <w:r>
        <w:rPr>
          <w:rFonts w:cs="David" w:hint="cs"/>
          <w:sz w:val="24"/>
          <w:szCs w:val="24"/>
          <w:rtl/>
        </w:rPr>
        <w:t>לעניין ה</w:t>
      </w:r>
      <w:r w:rsidRPr="004C0F70">
        <w:rPr>
          <w:rFonts w:cs="David" w:hint="cs"/>
          <w:sz w:val="24"/>
          <w:szCs w:val="24"/>
          <w:rtl/>
        </w:rPr>
        <w:t xml:space="preserve">עונש לגבי עבירות רצח מסוימות שכיום מסווגות </w:t>
      </w:r>
      <w:r>
        <w:rPr>
          <w:rFonts w:cs="David" w:hint="cs"/>
          <w:sz w:val="24"/>
          <w:szCs w:val="24"/>
          <w:rtl/>
        </w:rPr>
        <w:t>כ</w:t>
      </w:r>
      <w:r w:rsidRPr="004C0F70">
        <w:rPr>
          <w:rFonts w:cs="David" w:hint="cs"/>
          <w:sz w:val="24"/>
          <w:szCs w:val="24"/>
          <w:rtl/>
        </w:rPr>
        <w:t>רצח</w:t>
      </w:r>
      <w:r>
        <w:rPr>
          <w:rFonts w:cs="David" w:hint="cs"/>
          <w:sz w:val="24"/>
          <w:szCs w:val="24"/>
          <w:rtl/>
        </w:rPr>
        <w:t>,</w:t>
      </w:r>
      <w:r w:rsidRPr="004C0F70">
        <w:rPr>
          <w:rFonts w:cs="David" w:hint="cs"/>
          <w:sz w:val="24"/>
          <w:szCs w:val="24"/>
          <w:rtl/>
        </w:rPr>
        <w:t xml:space="preserve"> ו</w:t>
      </w:r>
      <w:r>
        <w:rPr>
          <w:rFonts w:cs="David" w:hint="cs"/>
          <w:sz w:val="24"/>
          <w:szCs w:val="24"/>
          <w:rtl/>
        </w:rPr>
        <w:t xml:space="preserve">אולם </w:t>
      </w:r>
      <w:r w:rsidRPr="004C0F70">
        <w:rPr>
          <w:rFonts w:cs="David" w:hint="cs"/>
          <w:sz w:val="24"/>
          <w:szCs w:val="24"/>
          <w:rtl/>
        </w:rPr>
        <w:t xml:space="preserve">לא יסווגו </w:t>
      </w:r>
      <w:r>
        <w:rPr>
          <w:rFonts w:cs="David" w:hint="cs"/>
          <w:sz w:val="24"/>
          <w:szCs w:val="24"/>
          <w:rtl/>
        </w:rPr>
        <w:t xml:space="preserve">כרצח </w:t>
      </w:r>
      <w:r w:rsidRPr="004C0F70">
        <w:rPr>
          <w:rFonts w:cs="David" w:hint="cs"/>
          <w:sz w:val="24"/>
          <w:szCs w:val="24"/>
          <w:rtl/>
        </w:rPr>
        <w:t>בנסיבות מחמירות</w:t>
      </w:r>
      <w:r>
        <w:rPr>
          <w:rFonts w:cs="David" w:hint="cs"/>
          <w:sz w:val="24"/>
          <w:szCs w:val="24"/>
          <w:rtl/>
        </w:rPr>
        <w:t>, ולפיכך</w:t>
      </w:r>
      <w:r w:rsidRPr="004C0F70">
        <w:rPr>
          <w:rFonts w:cs="David" w:hint="cs"/>
          <w:sz w:val="24"/>
          <w:szCs w:val="24"/>
          <w:rtl/>
        </w:rPr>
        <w:t xml:space="preserve"> העונש לצדן </w:t>
      </w:r>
      <w:r>
        <w:rPr>
          <w:rFonts w:cs="David" w:hint="cs"/>
          <w:sz w:val="24"/>
          <w:szCs w:val="24"/>
          <w:rtl/>
        </w:rPr>
        <w:t>יופחת ממאסר עולם חובה למאסר עולם "רשות" כאמור</w:t>
      </w:r>
      <w:r w:rsidRPr="004C0F70">
        <w:rPr>
          <w:rFonts w:cs="David" w:hint="cs"/>
          <w:sz w:val="24"/>
          <w:szCs w:val="24"/>
          <w:rtl/>
        </w:rPr>
        <w:t>.</w:t>
      </w:r>
    </w:p>
    <w:p w:rsidR="00664AD3" w:rsidRPr="00C80104" w:rsidRDefault="00664AD3" w:rsidP="00202494">
      <w:pPr>
        <w:pStyle w:val="a3"/>
        <w:numPr>
          <w:ilvl w:val="0"/>
          <w:numId w:val="1"/>
        </w:numPr>
        <w:spacing w:before="120" w:after="0" w:line="360" w:lineRule="auto"/>
        <w:jc w:val="both"/>
        <w:rPr>
          <w:rFonts w:cs="David"/>
          <w:sz w:val="24"/>
          <w:szCs w:val="24"/>
        </w:rPr>
      </w:pPr>
      <w:r w:rsidRPr="00C80104">
        <w:rPr>
          <w:rFonts w:cs="David" w:hint="cs"/>
          <w:b/>
          <w:bCs/>
          <w:sz w:val="24"/>
          <w:szCs w:val="24"/>
          <w:rtl/>
        </w:rPr>
        <w:t>עבירת ההמתה בקלות דעת</w:t>
      </w:r>
      <w:r>
        <w:rPr>
          <w:rFonts w:cs="David" w:hint="cs"/>
          <w:sz w:val="24"/>
          <w:szCs w:val="24"/>
          <w:rtl/>
        </w:rPr>
        <w:t xml:space="preserve">- </w:t>
      </w:r>
      <w:r w:rsidRPr="00C80104">
        <w:rPr>
          <w:rFonts w:cs="David" w:hint="cs"/>
          <w:sz w:val="24"/>
          <w:szCs w:val="24"/>
          <w:rtl/>
        </w:rPr>
        <w:t xml:space="preserve"> שאלה זו קשורה כמובן להבחנה בין אדישות לקלות דעת.  </w:t>
      </w:r>
      <w:r>
        <w:rPr>
          <w:rFonts w:cs="David" w:hint="cs"/>
          <w:sz w:val="24"/>
          <w:szCs w:val="24"/>
          <w:rtl/>
        </w:rPr>
        <w:t xml:space="preserve">הצעת החוק הממשלתית מבקשת לקבוע לצד עבירה זו 12 שנות מאסר. </w:t>
      </w:r>
      <w:r w:rsidRPr="00C80104">
        <w:rPr>
          <w:rFonts w:cs="David" w:hint="cs"/>
          <w:sz w:val="24"/>
          <w:szCs w:val="24"/>
          <w:rtl/>
        </w:rPr>
        <w:t>מוצע ל</w:t>
      </w:r>
      <w:r>
        <w:rPr>
          <w:rFonts w:cs="David" w:hint="cs"/>
          <w:sz w:val="24"/>
          <w:szCs w:val="24"/>
          <w:rtl/>
        </w:rPr>
        <w:t xml:space="preserve">בדוק </w:t>
      </w:r>
      <w:r w:rsidRPr="00C80104">
        <w:rPr>
          <w:rFonts w:cs="David" w:hint="cs"/>
          <w:sz w:val="24"/>
          <w:szCs w:val="24"/>
          <w:rtl/>
        </w:rPr>
        <w:t xml:space="preserve"> האם העונש המוצע משקף את חומרת העבירה והאשם שיש לייחס </w:t>
      </w:r>
      <w:r>
        <w:rPr>
          <w:rFonts w:cs="David" w:hint="cs"/>
          <w:sz w:val="24"/>
          <w:szCs w:val="24"/>
          <w:rtl/>
        </w:rPr>
        <w:t xml:space="preserve">בגין יסוד נפשי זה, </w:t>
      </w:r>
      <w:r w:rsidRPr="00C80104">
        <w:rPr>
          <w:rFonts w:cs="David" w:hint="cs"/>
          <w:sz w:val="24"/>
          <w:szCs w:val="24"/>
          <w:rtl/>
        </w:rPr>
        <w:t xml:space="preserve">והאם יש הצדקה להפחית את העונש </w:t>
      </w:r>
      <w:r>
        <w:rPr>
          <w:rFonts w:cs="David" w:hint="cs"/>
          <w:sz w:val="24"/>
          <w:szCs w:val="24"/>
          <w:rtl/>
        </w:rPr>
        <w:t xml:space="preserve">הקיים היום בעבירה זו, </w:t>
      </w:r>
      <w:r w:rsidRPr="00C80104">
        <w:rPr>
          <w:rFonts w:cs="David" w:hint="cs"/>
          <w:sz w:val="24"/>
          <w:szCs w:val="24"/>
          <w:rtl/>
        </w:rPr>
        <w:t xml:space="preserve"> מ- 20 שנות מאסר ל 12 שנות מאסר. יוזכר בהקשר זה כי </w:t>
      </w:r>
      <w:r>
        <w:rPr>
          <w:rFonts w:cs="David" w:hint="cs"/>
          <w:sz w:val="24"/>
          <w:szCs w:val="24"/>
          <w:rtl/>
        </w:rPr>
        <w:t>ב</w:t>
      </w:r>
      <w:r w:rsidRPr="00C80104">
        <w:rPr>
          <w:rFonts w:cs="David" w:hint="cs"/>
          <w:sz w:val="24"/>
          <w:szCs w:val="24"/>
          <w:rtl/>
        </w:rPr>
        <w:t xml:space="preserve">עבירות אחרות בחוק העונשין כגון חבלה </w:t>
      </w:r>
      <w:r w:rsidR="00202494">
        <w:rPr>
          <w:rFonts w:cs="David" w:hint="cs"/>
          <w:sz w:val="24"/>
          <w:szCs w:val="24"/>
          <w:rtl/>
        </w:rPr>
        <w:t>פציעה בנסיבות מחמירות</w:t>
      </w:r>
      <w:r w:rsidRPr="00C80104">
        <w:rPr>
          <w:rFonts w:cs="David" w:hint="cs"/>
          <w:sz w:val="24"/>
          <w:szCs w:val="24"/>
          <w:rtl/>
        </w:rPr>
        <w:t>, יידויי אבנים ועוד ק</w:t>
      </w:r>
      <w:r>
        <w:rPr>
          <w:rFonts w:cs="David" w:hint="cs"/>
          <w:sz w:val="24"/>
          <w:szCs w:val="24"/>
          <w:rtl/>
        </w:rPr>
        <w:t>בוע</w:t>
      </w:r>
      <w:r w:rsidRPr="00C80104">
        <w:rPr>
          <w:rFonts w:cs="David" w:hint="cs"/>
          <w:sz w:val="24"/>
          <w:szCs w:val="24"/>
          <w:rtl/>
        </w:rPr>
        <w:t>ים עונש</w:t>
      </w:r>
      <w:r>
        <w:rPr>
          <w:rFonts w:cs="David" w:hint="cs"/>
          <w:sz w:val="24"/>
          <w:szCs w:val="24"/>
          <w:rtl/>
        </w:rPr>
        <w:t>ים</w:t>
      </w:r>
      <w:r w:rsidRPr="00C80104">
        <w:rPr>
          <w:rFonts w:cs="David" w:hint="cs"/>
          <w:sz w:val="24"/>
          <w:szCs w:val="24"/>
          <w:rtl/>
        </w:rPr>
        <w:t xml:space="preserve"> חמור</w:t>
      </w:r>
      <w:r>
        <w:rPr>
          <w:rFonts w:cs="David" w:hint="cs"/>
          <w:sz w:val="24"/>
          <w:szCs w:val="24"/>
          <w:rtl/>
        </w:rPr>
        <w:t>ים</w:t>
      </w:r>
      <w:r w:rsidRPr="00C80104">
        <w:rPr>
          <w:rFonts w:cs="David" w:hint="cs"/>
          <w:sz w:val="24"/>
          <w:szCs w:val="24"/>
          <w:rtl/>
        </w:rPr>
        <w:t xml:space="preserve"> יותר מהמוצע לעניין עבירת המתה כאמור.   </w:t>
      </w:r>
    </w:p>
    <w:p w:rsidR="00664AD3" w:rsidRPr="00FA1F08" w:rsidRDefault="00664AD3" w:rsidP="00664AD3">
      <w:pPr>
        <w:pStyle w:val="a3"/>
        <w:numPr>
          <w:ilvl w:val="0"/>
          <w:numId w:val="1"/>
        </w:numPr>
        <w:spacing w:before="120" w:after="0" w:line="360" w:lineRule="auto"/>
        <w:jc w:val="both"/>
        <w:rPr>
          <w:rFonts w:cs="David"/>
          <w:sz w:val="24"/>
          <w:szCs w:val="24"/>
        </w:rPr>
      </w:pPr>
      <w:r w:rsidRPr="00826CDD">
        <w:rPr>
          <w:rFonts w:cs="David" w:hint="cs"/>
          <w:b/>
          <w:bCs/>
          <w:sz w:val="24"/>
          <w:szCs w:val="24"/>
          <w:rtl/>
        </w:rPr>
        <w:t>רשלנות בנסיבות מחמירות</w:t>
      </w:r>
      <w:r>
        <w:rPr>
          <w:rFonts w:cs="David" w:hint="cs"/>
          <w:sz w:val="24"/>
          <w:szCs w:val="24"/>
          <w:rtl/>
        </w:rPr>
        <w:t>- מוצע לדון ביצירת העבירה החדשה של רשלנות</w:t>
      </w:r>
      <w:r w:rsidRPr="00FA1F08">
        <w:rPr>
          <w:rFonts w:cs="David" w:hint="cs"/>
          <w:sz w:val="24"/>
          <w:szCs w:val="24"/>
          <w:rtl/>
        </w:rPr>
        <w:t xml:space="preserve"> בנסיבות מחמירות</w:t>
      </w:r>
      <w:r>
        <w:rPr>
          <w:rFonts w:cs="David" w:hint="cs"/>
          <w:sz w:val="24"/>
          <w:szCs w:val="24"/>
          <w:rtl/>
        </w:rPr>
        <w:t xml:space="preserve">, השלכות של יצירת עבירה כאמור על ההבחנה בין קלות דעת לרשלנות חמורה, וליחס בין עבירה זו לרשלנות "רגילה". נציגי הסנגוריה בוועדת </w:t>
      </w:r>
      <w:proofErr w:type="spellStart"/>
      <w:r>
        <w:rPr>
          <w:rFonts w:cs="David" w:hint="cs"/>
          <w:sz w:val="24"/>
          <w:szCs w:val="24"/>
          <w:rtl/>
        </w:rPr>
        <w:t>קרמניצר</w:t>
      </w:r>
      <w:proofErr w:type="spellEnd"/>
      <w:r>
        <w:rPr>
          <w:rFonts w:cs="David" w:hint="cs"/>
          <w:sz w:val="24"/>
          <w:szCs w:val="24"/>
          <w:rtl/>
        </w:rPr>
        <w:t xml:space="preserve"> סברו כי אין הצדקה לסטות מהעיקרון שעבירת רשלנות לא תהווה פשע. מנגד, עלו טענות כי קיים חשש שקביעת עבירה כמוצע תגרום להעמדה לדין בעבירה זו במקרים בהם נכון היה להעמיד לדין בעבירה של המתה בקלות דעת.</w:t>
      </w:r>
    </w:p>
    <w:p w:rsidR="00664AD3" w:rsidRPr="004C0F70" w:rsidRDefault="00664AD3" w:rsidP="00664AD3">
      <w:pPr>
        <w:pStyle w:val="a3"/>
        <w:numPr>
          <w:ilvl w:val="0"/>
          <w:numId w:val="1"/>
        </w:numPr>
        <w:spacing w:before="120" w:after="0" w:line="360" w:lineRule="auto"/>
        <w:jc w:val="both"/>
        <w:rPr>
          <w:rFonts w:cs="David"/>
          <w:sz w:val="24"/>
          <w:szCs w:val="24"/>
          <w:rtl/>
        </w:rPr>
      </w:pPr>
      <w:r w:rsidRPr="004C0F70">
        <w:rPr>
          <w:rFonts w:cs="David" w:hint="cs"/>
          <w:sz w:val="24"/>
          <w:szCs w:val="24"/>
          <w:rtl/>
        </w:rPr>
        <w:t xml:space="preserve">בהמשך יוצע לדון בכל אחת </w:t>
      </w:r>
      <w:r w:rsidRPr="00F513A7">
        <w:rPr>
          <w:rFonts w:cs="David" w:hint="cs"/>
          <w:b/>
          <w:bCs/>
          <w:sz w:val="24"/>
          <w:szCs w:val="24"/>
          <w:rtl/>
        </w:rPr>
        <w:t>מהנסיבות המחמירות</w:t>
      </w:r>
      <w:r w:rsidRPr="004C0F70">
        <w:rPr>
          <w:rFonts w:cs="David" w:hint="cs"/>
          <w:sz w:val="24"/>
          <w:szCs w:val="24"/>
          <w:rtl/>
        </w:rPr>
        <w:t xml:space="preserve"> וההצדקה לעגן כל נסיבה כמצביעה בהכרח על חומרה מיוחדת</w:t>
      </w:r>
      <w:r>
        <w:rPr>
          <w:rFonts w:cs="David" w:hint="cs"/>
          <w:sz w:val="24"/>
          <w:szCs w:val="24"/>
          <w:rtl/>
        </w:rPr>
        <w:t>, שמשמעותה תיוג בעבירה חמורה יותר ועונש מאסר עולם חובה</w:t>
      </w:r>
      <w:r w:rsidRPr="004C0F70">
        <w:rPr>
          <w:rFonts w:cs="David" w:hint="cs"/>
          <w:sz w:val="24"/>
          <w:szCs w:val="24"/>
          <w:rtl/>
        </w:rPr>
        <w:t xml:space="preserve">. </w:t>
      </w:r>
    </w:p>
    <w:p w:rsidR="00664AD3" w:rsidRPr="008B41FD" w:rsidRDefault="00664AD3" w:rsidP="00664AD3">
      <w:pPr>
        <w:pStyle w:val="a3"/>
        <w:numPr>
          <w:ilvl w:val="0"/>
          <w:numId w:val="1"/>
        </w:numPr>
        <w:spacing w:before="120" w:after="0" w:line="360" w:lineRule="auto"/>
        <w:jc w:val="both"/>
        <w:rPr>
          <w:rFonts w:cs="David"/>
          <w:sz w:val="24"/>
          <w:szCs w:val="24"/>
        </w:rPr>
      </w:pPr>
      <w:r>
        <w:rPr>
          <w:rFonts w:cs="David" w:hint="cs"/>
          <w:sz w:val="24"/>
          <w:szCs w:val="24"/>
          <w:rtl/>
        </w:rPr>
        <w:t xml:space="preserve">בהמשך יוצע לדון בכל אחד </w:t>
      </w:r>
      <w:r w:rsidRPr="003A275A">
        <w:rPr>
          <w:rFonts w:cs="David" w:hint="cs"/>
          <w:b/>
          <w:bCs/>
          <w:sz w:val="24"/>
          <w:szCs w:val="24"/>
          <w:rtl/>
        </w:rPr>
        <w:t>מהמקרים המפורטים בהמתה באחריות מופחתת</w:t>
      </w:r>
      <w:r>
        <w:rPr>
          <w:rFonts w:cs="David" w:hint="cs"/>
          <w:sz w:val="24"/>
          <w:szCs w:val="24"/>
          <w:rtl/>
        </w:rPr>
        <w:t xml:space="preserve">, במבחנים שראוי לקבוע בהם, ובמיוחד בשאלת ההצדקה </w:t>
      </w:r>
      <w:r w:rsidRPr="003A275A">
        <w:rPr>
          <w:rFonts w:cs="David" w:hint="cs"/>
          <w:sz w:val="24"/>
          <w:szCs w:val="24"/>
          <w:rtl/>
        </w:rPr>
        <w:t>להכיר בכל אחד מהמקרים כ"מקלים". בין היתר מוצע לבחון האם יש הצדקה להכרה</w:t>
      </w:r>
      <w:r>
        <w:rPr>
          <w:rFonts w:cs="David" w:hint="cs"/>
          <w:b/>
          <w:bCs/>
          <w:sz w:val="24"/>
          <w:szCs w:val="24"/>
          <w:rtl/>
        </w:rPr>
        <w:t xml:space="preserve"> בהתגרות (</w:t>
      </w:r>
      <w:r w:rsidRPr="00826CDD">
        <w:rPr>
          <w:rFonts w:cs="David" w:hint="cs"/>
          <w:b/>
          <w:bCs/>
          <w:sz w:val="24"/>
          <w:szCs w:val="24"/>
          <w:rtl/>
        </w:rPr>
        <w:t>קנטור</w:t>
      </w:r>
      <w:r>
        <w:rPr>
          <w:rFonts w:cs="David" w:hint="cs"/>
          <w:b/>
          <w:bCs/>
          <w:sz w:val="24"/>
          <w:szCs w:val="24"/>
          <w:rtl/>
        </w:rPr>
        <w:t>)</w:t>
      </w:r>
      <w:r>
        <w:rPr>
          <w:rFonts w:cs="David" w:hint="cs"/>
          <w:sz w:val="24"/>
          <w:szCs w:val="24"/>
          <w:rtl/>
        </w:rPr>
        <w:t>, המהווה הכרה באובדן שליטה שמסתיים בקיפוח חיי אדם, כנסיבה מקלה ובאלו נסיבות.</w:t>
      </w:r>
      <w:r w:rsidRPr="008B41FD">
        <w:rPr>
          <w:rFonts w:cs="David" w:hint="cs"/>
          <w:sz w:val="24"/>
          <w:szCs w:val="24"/>
          <w:rtl/>
        </w:rPr>
        <w:t xml:space="preserve"> </w:t>
      </w:r>
    </w:p>
    <w:p w:rsidR="00664AD3" w:rsidRPr="006F62E9" w:rsidRDefault="00664AD3" w:rsidP="00664AD3">
      <w:pPr>
        <w:pStyle w:val="a3"/>
        <w:rPr>
          <w:rFonts w:cs="David"/>
          <w:sz w:val="24"/>
          <w:szCs w:val="24"/>
          <w:rtl/>
        </w:rPr>
      </w:pPr>
    </w:p>
    <w:p w:rsidR="00664AD3" w:rsidRPr="008B41FD" w:rsidRDefault="00664AD3" w:rsidP="00664AD3">
      <w:pPr>
        <w:pStyle w:val="a3"/>
        <w:rPr>
          <w:rFonts w:cs="David"/>
          <w:sz w:val="24"/>
          <w:szCs w:val="24"/>
          <w:highlight w:val="yellow"/>
          <w:rtl/>
        </w:rPr>
      </w:pPr>
    </w:p>
    <w:p w:rsidR="00F1146C" w:rsidRDefault="00F1146C"/>
    <w:sectPr w:rsidR="00F1146C"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A32" w:rsidRDefault="003D0A32" w:rsidP="00664AD3">
      <w:pPr>
        <w:spacing w:after="0" w:line="240" w:lineRule="auto"/>
      </w:pPr>
      <w:r>
        <w:separator/>
      </w:r>
    </w:p>
  </w:endnote>
  <w:endnote w:type="continuationSeparator" w:id="0">
    <w:p w:rsidR="003D0A32" w:rsidRDefault="003D0A32" w:rsidP="0066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A32" w:rsidRDefault="003D0A32" w:rsidP="00664AD3">
      <w:pPr>
        <w:spacing w:after="0" w:line="240" w:lineRule="auto"/>
      </w:pPr>
      <w:r>
        <w:separator/>
      </w:r>
    </w:p>
  </w:footnote>
  <w:footnote w:type="continuationSeparator" w:id="0">
    <w:p w:rsidR="003D0A32" w:rsidRDefault="003D0A32" w:rsidP="00664AD3">
      <w:pPr>
        <w:spacing w:after="0" w:line="240" w:lineRule="auto"/>
      </w:pPr>
      <w:r>
        <w:continuationSeparator/>
      </w:r>
    </w:p>
  </w:footnote>
  <w:footnote w:id="1">
    <w:p w:rsidR="00664AD3" w:rsidRDefault="00664AD3" w:rsidP="00664AD3">
      <w:pPr>
        <w:pStyle w:val="a5"/>
        <w:rPr>
          <w:rtl/>
        </w:rPr>
      </w:pPr>
      <w:r>
        <w:rPr>
          <w:rStyle w:val="a7"/>
        </w:rPr>
        <w:footnoteRef/>
      </w:r>
      <w:r>
        <w:rPr>
          <w:rtl/>
        </w:rPr>
        <w:t xml:space="preserve"> </w:t>
      </w:r>
      <w:r w:rsidRPr="00E93D19">
        <w:rPr>
          <w:b/>
          <w:bCs/>
          <w:rtl/>
        </w:rPr>
        <w:t>הצוות לבחינת יסודות עבירות ההמתה</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אב תשע"א </w:t>
      </w:r>
      <w:r>
        <w:rPr>
          <w:rtl/>
        </w:rPr>
        <w:t>–</w:t>
      </w:r>
      <w:r>
        <w:rPr>
          <w:rFonts w:hint="cs"/>
          <w:rtl/>
        </w:rPr>
        <w:t xml:space="preserve"> אוגוסט 2011, עמ' 4.</w:t>
      </w:r>
    </w:p>
  </w:footnote>
  <w:footnote w:id="2">
    <w:p w:rsidR="00664AD3" w:rsidRDefault="00664AD3" w:rsidP="00664AD3">
      <w:pPr>
        <w:pStyle w:val="BODYVERDICT"/>
        <w:spacing w:line="360" w:lineRule="auto"/>
        <w:jc w:val="both"/>
        <w:rPr>
          <w:rFonts w:cs="David"/>
          <w:sz w:val="24"/>
          <w:szCs w:val="24"/>
          <w:rtl/>
        </w:rPr>
      </w:pPr>
      <w:r>
        <w:rPr>
          <w:rStyle w:val="a7"/>
        </w:rPr>
        <w:footnoteRef/>
      </w:r>
      <w:r>
        <w:rPr>
          <w:rtl/>
        </w:rPr>
        <w:t xml:space="preserve"> </w:t>
      </w:r>
      <w:hyperlink r:id="rId1" w:history="1">
        <w:proofErr w:type="spellStart"/>
        <w:r w:rsidRPr="008B41FD">
          <w:rPr>
            <w:rStyle w:val="Hyperlink"/>
            <w:rFonts w:ascii="David" w:hAnsi="David" w:cs="David"/>
            <w:color w:val="auto"/>
            <w:sz w:val="20"/>
            <w:szCs w:val="20"/>
            <w:u w:val="none"/>
            <w:rtl/>
          </w:rPr>
          <w:t>דנ"פ</w:t>
        </w:r>
        <w:proofErr w:type="spellEnd"/>
        <w:r w:rsidRPr="008B41FD">
          <w:rPr>
            <w:rStyle w:val="Hyperlink"/>
            <w:rFonts w:ascii="David" w:hAnsi="David" w:cs="David"/>
            <w:color w:val="auto"/>
            <w:sz w:val="20"/>
            <w:szCs w:val="20"/>
            <w:u w:val="none"/>
            <w:rtl/>
          </w:rPr>
          <w:t xml:space="preserve"> 1042/04</w:t>
        </w:r>
      </w:hyperlink>
      <w:r w:rsidRPr="008B41FD">
        <w:rPr>
          <w:rFonts w:ascii="David" w:hAnsi="David" w:cs="David"/>
          <w:spacing w:val="0"/>
          <w:sz w:val="20"/>
          <w:szCs w:val="20"/>
          <w:rtl/>
        </w:rPr>
        <w:t xml:space="preserve"> </w:t>
      </w:r>
      <w:r w:rsidRPr="008B41FD">
        <w:rPr>
          <w:rFonts w:ascii="David" w:hAnsi="David" w:cs="David"/>
          <w:b/>
          <w:bCs/>
          <w:spacing w:val="0"/>
          <w:sz w:val="20"/>
          <w:szCs w:val="20"/>
          <w:rtl/>
        </w:rPr>
        <w:t xml:space="preserve">ביטון נ' מדינת </w:t>
      </w:r>
      <w:r w:rsidRPr="00556C08">
        <w:rPr>
          <w:rFonts w:ascii="David" w:hAnsi="David" w:cs="David"/>
          <w:b/>
          <w:bCs/>
          <w:spacing w:val="0"/>
          <w:sz w:val="20"/>
          <w:szCs w:val="20"/>
          <w:rtl/>
        </w:rPr>
        <w:t>ישראל</w:t>
      </w:r>
      <w:r w:rsidRPr="00556C08">
        <w:rPr>
          <w:rFonts w:ascii="David" w:hAnsi="David" w:cs="David"/>
          <w:sz w:val="20"/>
          <w:szCs w:val="20"/>
          <w:rtl/>
        </w:rPr>
        <w:t xml:space="preserve"> (</w:t>
      </w:r>
      <w:r>
        <w:rPr>
          <w:rFonts w:ascii="David" w:hAnsi="David" w:cs="David" w:hint="cs"/>
          <w:sz w:val="20"/>
          <w:szCs w:val="20"/>
          <w:rtl/>
        </w:rPr>
        <w:t>ניתן ב</w:t>
      </w:r>
      <w:r w:rsidRPr="00556C08">
        <w:rPr>
          <w:rFonts w:ascii="David" w:hAnsi="David" w:cs="David"/>
          <w:sz w:val="20"/>
          <w:szCs w:val="20"/>
          <w:rtl/>
        </w:rPr>
        <w:t>יום 27.11.2006)</w:t>
      </w:r>
      <w:r>
        <w:rPr>
          <w:rFonts w:ascii="David" w:hAnsi="David" w:cs="David" w:hint="cs"/>
          <w:sz w:val="20"/>
          <w:szCs w:val="20"/>
          <w:rtl/>
        </w:rPr>
        <w:t>.</w:t>
      </w:r>
    </w:p>
    <w:p w:rsidR="00664AD3" w:rsidRDefault="00664AD3" w:rsidP="00664AD3">
      <w:pPr>
        <w:pStyle w:val="a5"/>
        <w:rPr>
          <w:rtl/>
        </w:rPr>
      </w:pPr>
    </w:p>
  </w:footnote>
  <w:footnote w:id="3">
    <w:p w:rsidR="00664AD3" w:rsidRPr="00B4259F" w:rsidRDefault="00664AD3" w:rsidP="00664AD3">
      <w:pPr>
        <w:spacing w:before="120" w:after="0" w:line="360" w:lineRule="auto"/>
        <w:rPr>
          <w:rFonts w:cs="David"/>
          <w:sz w:val="20"/>
          <w:szCs w:val="20"/>
          <w:rtl/>
        </w:rPr>
      </w:pPr>
      <w:r>
        <w:rPr>
          <w:rStyle w:val="a7"/>
        </w:rPr>
        <w:footnoteRef/>
      </w:r>
      <w:r>
        <w:rPr>
          <w:rtl/>
        </w:rPr>
        <w:t xml:space="preserve"> </w:t>
      </w:r>
      <w:hyperlink r:id="rId2" w:history="1">
        <w:proofErr w:type="spellStart"/>
        <w:r w:rsidRPr="00B4259F">
          <w:rPr>
            <w:rFonts w:cs="David"/>
            <w:sz w:val="20"/>
            <w:szCs w:val="20"/>
            <w:rtl/>
          </w:rPr>
          <w:t>דנ"פ</w:t>
        </w:r>
        <w:proofErr w:type="spellEnd"/>
        <w:r w:rsidRPr="00B4259F">
          <w:rPr>
            <w:rtl/>
          </w:rPr>
          <w:t xml:space="preserve"> </w:t>
        </w:r>
        <w:r w:rsidRPr="00B4259F">
          <w:rPr>
            <w:rFonts w:cs="David"/>
            <w:sz w:val="20"/>
            <w:szCs w:val="20"/>
            <w:rtl/>
          </w:rPr>
          <w:t>1042/04</w:t>
        </w:r>
      </w:hyperlink>
      <w:r w:rsidRPr="00B4259F">
        <w:rPr>
          <w:rFonts w:cs="David"/>
          <w:sz w:val="20"/>
          <w:szCs w:val="20"/>
          <w:rtl/>
        </w:rPr>
        <w:t xml:space="preserve"> </w:t>
      </w:r>
      <w:r w:rsidRPr="00B4259F">
        <w:rPr>
          <w:rFonts w:cs="David"/>
          <w:b/>
          <w:bCs/>
          <w:sz w:val="20"/>
          <w:szCs w:val="20"/>
          <w:rtl/>
        </w:rPr>
        <w:t>ביטון נ' מדינת ישראל</w:t>
      </w:r>
      <w:r w:rsidRPr="00B4259F">
        <w:rPr>
          <w:rFonts w:cs="David"/>
          <w:sz w:val="20"/>
          <w:szCs w:val="20"/>
          <w:rtl/>
        </w:rPr>
        <w:t xml:space="preserve"> </w:t>
      </w:r>
      <w:r>
        <w:rPr>
          <w:rFonts w:cs="David" w:hint="cs"/>
          <w:sz w:val="20"/>
          <w:szCs w:val="20"/>
          <w:rtl/>
        </w:rPr>
        <w:t xml:space="preserve">, לעיל הערה 2. </w:t>
      </w:r>
      <w:r w:rsidRPr="00113FC9">
        <w:rPr>
          <w:rFonts w:ascii="David" w:hAnsi="David" w:cs="David" w:hint="cs"/>
          <w:sz w:val="20"/>
          <w:szCs w:val="20"/>
          <w:rtl/>
        </w:rPr>
        <w:t>עמד על כך השופט אהרון ברק:</w:t>
      </w:r>
      <w:r>
        <w:rPr>
          <w:rFonts w:ascii="David" w:hAnsi="David" w:cs="David" w:hint="cs"/>
          <w:sz w:val="20"/>
          <w:szCs w:val="20"/>
          <w:rtl/>
        </w:rPr>
        <w:t xml:space="preserve"> </w:t>
      </w:r>
      <w:r w:rsidRPr="00113FC9">
        <w:rPr>
          <w:rFonts w:cs="David" w:hint="cs"/>
          <w:b/>
          <w:bCs/>
          <w:sz w:val="20"/>
          <w:szCs w:val="20"/>
          <w:rtl/>
        </w:rPr>
        <w:t xml:space="preserve">"הגדרה זו מבוססת על שלושה יסודות מצטברים. החלטה להמית ("אם החליט להמיתו"), הכנה ("לאחר שהכין עצמו להמית אותו או שהכין מכשיר שבו המית אותו") והיעדר התגרות ("בדם קר, בלי שקדמה התגרות בתכוף למעשה בנסיבות שבהן יכול לחשוב ולהבין את תוצאות מעשיו"). "כל יסוד מיסודות הכוונה לפי </w:t>
      </w:r>
      <w:hyperlink r:id="rId3" w:history="1">
        <w:r w:rsidRPr="00113FC9">
          <w:rPr>
            <w:rStyle w:val="Hyperlink"/>
            <w:rFonts w:cs="David" w:hint="eastAsia"/>
            <w:b/>
            <w:bCs/>
            <w:color w:val="auto"/>
            <w:sz w:val="20"/>
            <w:szCs w:val="20"/>
            <w:rtl/>
          </w:rPr>
          <w:t>סעיף</w:t>
        </w:r>
        <w:r w:rsidRPr="00113FC9">
          <w:rPr>
            <w:rStyle w:val="Hyperlink"/>
            <w:rFonts w:cs="David"/>
            <w:b/>
            <w:bCs/>
            <w:color w:val="auto"/>
            <w:sz w:val="20"/>
            <w:szCs w:val="20"/>
            <w:rtl/>
          </w:rPr>
          <w:t xml:space="preserve"> 301</w:t>
        </w:r>
      </w:hyperlink>
      <w:r w:rsidRPr="00113FC9">
        <w:rPr>
          <w:rFonts w:cs="David" w:hint="cs"/>
          <w:b/>
          <w:bCs/>
          <w:sz w:val="20"/>
          <w:szCs w:val="20"/>
          <w:rtl/>
        </w:rPr>
        <w:t xml:space="preserve"> הנ"ל עומד על רגליו הוא.... ודוק: היעדרו של אחד מהיסודות של ה"כוונה תחילה" שולל את גיבושה של עבירת הרצח.</w:t>
      </w:r>
      <w:r w:rsidRPr="00113FC9">
        <w:rPr>
          <w:rFonts w:ascii="David" w:hAnsi="David" w:cs="David" w:hint="cs"/>
          <w:b/>
          <w:bCs/>
          <w:sz w:val="20"/>
          <w:szCs w:val="20"/>
          <w:rtl/>
        </w:rPr>
        <w:t>....".</w:t>
      </w:r>
    </w:p>
  </w:footnote>
  <w:footnote w:id="4">
    <w:p w:rsidR="00664AD3" w:rsidRDefault="00664AD3" w:rsidP="00664AD3">
      <w:pPr>
        <w:pStyle w:val="a5"/>
        <w:rPr>
          <w:rtl/>
        </w:rPr>
      </w:pPr>
      <w:r>
        <w:rPr>
          <w:rStyle w:val="a7"/>
        </w:rPr>
        <w:footnoteRef/>
      </w:r>
      <w:r>
        <w:rPr>
          <w:rtl/>
        </w:rPr>
        <w:t xml:space="preserve"> </w:t>
      </w:r>
      <w:r>
        <w:rPr>
          <w:rFonts w:hint="cs"/>
          <w:rtl/>
        </w:rPr>
        <w:t xml:space="preserve">ע"פ 396/69 </w:t>
      </w:r>
      <w:r w:rsidRPr="007A2EF2">
        <w:rPr>
          <w:rFonts w:hint="cs"/>
          <w:b/>
          <w:bCs/>
          <w:rtl/>
        </w:rPr>
        <w:t xml:space="preserve">נעים </w:t>
      </w:r>
      <w:r>
        <w:rPr>
          <w:rFonts w:hint="cs"/>
          <w:b/>
          <w:bCs/>
          <w:rtl/>
        </w:rPr>
        <w:t xml:space="preserve">אברהם </w:t>
      </w:r>
      <w:r w:rsidRPr="007A2EF2">
        <w:rPr>
          <w:rFonts w:hint="cs"/>
          <w:b/>
          <w:bCs/>
          <w:rtl/>
        </w:rPr>
        <w:t xml:space="preserve">בנו נגד מ"י </w:t>
      </w:r>
      <w:proofErr w:type="spellStart"/>
      <w:r>
        <w:rPr>
          <w:rFonts w:hint="cs"/>
          <w:rtl/>
        </w:rPr>
        <w:t>פד"י</w:t>
      </w:r>
      <w:proofErr w:type="spellEnd"/>
      <w:r>
        <w:rPr>
          <w:rFonts w:hint="cs"/>
          <w:rtl/>
        </w:rPr>
        <w:t xml:space="preserve"> כד(1), 561.</w:t>
      </w:r>
    </w:p>
  </w:footnote>
  <w:footnote w:id="5">
    <w:p w:rsidR="00664AD3" w:rsidRDefault="00664AD3" w:rsidP="00664AD3">
      <w:pPr>
        <w:pStyle w:val="a5"/>
      </w:pPr>
      <w:r w:rsidRPr="005849D0">
        <w:rPr>
          <w:rStyle w:val="a7"/>
        </w:rPr>
        <w:footnoteRef/>
      </w:r>
      <w:r w:rsidRPr="005849D0">
        <w:rPr>
          <w:rtl/>
        </w:rPr>
        <w:t xml:space="preserve"> </w:t>
      </w:r>
      <w:r w:rsidRPr="005849D0">
        <w:rPr>
          <w:rFonts w:hint="cs"/>
          <w:rtl/>
        </w:rPr>
        <w:t xml:space="preserve">פרופ' </w:t>
      </w:r>
      <w:proofErr w:type="spellStart"/>
      <w:r w:rsidRPr="005849D0">
        <w:rPr>
          <w:rFonts w:hint="cs"/>
          <w:rtl/>
        </w:rPr>
        <w:t>פלר</w:t>
      </w:r>
      <w:proofErr w:type="spellEnd"/>
      <w:r w:rsidRPr="005849D0">
        <w:rPr>
          <w:rFonts w:hint="cs"/>
          <w:rtl/>
        </w:rPr>
        <w:t xml:space="preserve"> "ההכנה כיסוד הכוונה תחילה" </w:t>
      </w:r>
      <w:r w:rsidRPr="005849D0">
        <w:rPr>
          <w:rFonts w:hint="cs"/>
          <w:b/>
          <w:bCs/>
          <w:rtl/>
        </w:rPr>
        <w:t xml:space="preserve">הפרקליט </w:t>
      </w:r>
      <w:proofErr w:type="spellStart"/>
      <w:r w:rsidRPr="005849D0">
        <w:rPr>
          <w:rFonts w:hint="cs"/>
          <w:b/>
          <w:bCs/>
          <w:rtl/>
        </w:rPr>
        <w:t>כו</w:t>
      </w:r>
      <w:proofErr w:type="spellEnd"/>
      <w:r w:rsidRPr="005849D0">
        <w:rPr>
          <w:rFonts w:hint="cs"/>
          <w:rtl/>
        </w:rPr>
        <w:t xml:space="preserve"> 51.</w:t>
      </w:r>
    </w:p>
  </w:footnote>
  <w:footnote w:id="6">
    <w:p w:rsidR="00664AD3" w:rsidRDefault="00664AD3" w:rsidP="00664AD3">
      <w:pPr>
        <w:pStyle w:val="a5"/>
        <w:rPr>
          <w:rtl/>
        </w:rPr>
      </w:pPr>
      <w:r>
        <w:rPr>
          <w:rStyle w:val="a7"/>
        </w:rPr>
        <w:footnoteRef/>
      </w:r>
      <w:r>
        <w:rPr>
          <w:rtl/>
        </w:rPr>
        <w:t xml:space="preserve"> </w:t>
      </w:r>
      <w:r>
        <w:rPr>
          <w:rFonts w:hint="cs"/>
          <w:rtl/>
        </w:rPr>
        <w:t xml:space="preserve">ע"פ  9369/07 </w:t>
      </w:r>
      <w:proofErr w:type="spellStart"/>
      <w:r w:rsidRPr="008F31B6">
        <w:rPr>
          <w:rFonts w:hint="cs"/>
          <w:b/>
          <w:bCs/>
          <w:rtl/>
        </w:rPr>
        <w:t>אנסטסיה</w:t>
      </w:r>
      <w:proofErr w:type="spellEnd"/>
      <w:r w:rsidRPr="008F31B6">
        <w:rPr>
          <w:rFonts w:hint="cs"/>
          <w:b/>
          <w:bCs/>
          <w:rtl/>
        </w:rPr>
        <w:t xml:space="preserve"> </w:t>
      </w:r>
      <w:proofErr w:type="spellStart"/>
      <w:r w:rsidRPr="008F31B6">
        <w:rPr>
          <w:rFonts w:hint="cs"/>
          <w:b/>
          <w:bCs/>
          <w:rtl/>
        </w:rPr>
        <w:t>מיקל</w:t>
      </w:r>
      <w:proofErr w:type="spellEnd"/>
      <w:r w:rsidRPr="008F31B6">
        <w:rPr>
          <w:rFonts w:hint="cs"/>
          <w:b/>
          <w:bCs/>
          <w:rtl/>
        </w:rPr>
        <w:t xml:space="preserve"> נגד מ"ד</w:t>
      </w:r>
      <w:r>
        <w:rPr>
          <w:rFonts w:hint="cs"/>
          <w:rtl/>
        </w:rPr>
        <w:t xml:space="preserve"> (ניתן ביום 4.6.09).</w:t>
      </w:r>
    </w:p>
  </w:footnote>
  <w:footnote w:id="7">
    <w:p w:rsidR="00664AD3" w:rsidRDefault="00664AD3" w:rsidP="00664AD3">
      <w:pPr>
        <w:pStyle w:val="a5"/>
      </w:pPr>
      <w:r>
        <w:rPr>
          <w:rStyle w:val="a7"/>
        </w:rPr>
        <w:footnoteRef/>
      </w:r>
      <w:r>
        <w:rPr>
          <w:rtl/>
        </w:rPr>
        <w:t xml:space="preserve"> </w:t>
      </w:r>
      <w:r>
        <w:rPr>
          <w:rFonts w:hint="cs"/>
          <w:rtl/>
        </w:rPr>
        <w:t xml:space="preserve">ע"פ 1632/08 </w:t>
      </w:r>
      <w:r w:rsidRPr="00E02C47">
        <w:rPr>
          <w:rFonts w:hint="cs"/>
          <w:b/>
          <w:bCs/>
          <w:rtl/>
        </w:rPr>
        <w:t>טורק נגד מדינת ישראל</w:t>
      </w:r>
      <w:r>
        <w:rPr>
          <w:rFonts w:hint="cs"/>
          <w:rtl/>
        </w:rPr>
        <w:t xml:space="preserve"> (ניתן ביום 4.6.09).</w:t>
      </w:r>
    </w:p>
  </w:footnote>
  <w:footnote w:id="8">
    <w:p w:rsidR="00664AD3" w:rsidRDefault="00664AD3" w:rsidP="00664AD3">
      <w:pPr>
        <w:pStyle w:val="a5"/>
        <w:rPr>
          <w:rtl/>
        </w:rPr>
      </w:pPr>
      <w:r>
        <w:rPr>
          <w:rStyle w:val="a7"/>
        </w:rPr>
        <w:footnoteRef/>
      </w:r>
      <w:r>
        <w:rPr>
          <w:rtl/>
        </w:rPr>
        <w:t xml:space="preserve"> </w:t>
      </w:r>
      <w:r>
        <w:rPr>
          <w:rFonts w:hint="cs"/>
          <w:rtl/>
        </w:rPr>
        <w:t xml:space="preserve">ע"פ 396/69 </w:t>
      </w:r>
      <w:r w:rsidRPr="007A2EF2">
        <w:rPr>
          <w:rFonts w:hint="cs"/>
          <w:b/>
          <w:bCs/>
          <w:rtl/>
        </w:rPr>
        <w:t xml:space="preserve">נעים </w:t>
      </w:r>
      <w:r>
        <w:rPr>
          <w:rFonts w:hint="cs"/>
          <w:b/>
          <w:bCs/>
          <w:rtl/>
        </w:rPr>
        <w:t xml:space="preserve">אברהם </w:t>
      </w:r>
      <w:r w:rsidRPr="007A2EF2">
        <w:rPr>
          <w:rFonts w:hint="cs"/>
          <w:b/>
          <w:bCs/>
          <w:rtl/>
        </w:rPr>
        <w:t xml:space="preserve">בנו נגד מ"י </w:t>
      </w:r>
      <w:proofErr w:type="spellStart"/>
      <w:r>
        <w:rPr>
          <w:rFonts w:hint="cs"/>
          <w:rtl/>
        </w:rPr>
        <w:t>פד"י</w:t>
      </w:r>
      <w:proofErr w:type="spellEnd"/>
      <w:r>
        <w:rPr>
          <w:rFonts w:hint="cs"/>
          <w:rtl/>
        </w:rPr>
        <w:t xml:space="preserve"> כד(1), 561.</w:t>
      </w:r>
    </w:p>
  </w:footnote>
  <w:footnote w:id="9">
    <w:p w:rsidR="00664AD3" w:rsidRDefault="00664AD3" w:rsidP="00664AD3">
      <w:pPr>
        <w:pStyle w:val="a5"/>
        <w:rPr>
          <w:rtl/>
        </w:rPr>
      </w:pPr>
      <w:r>
        <w:rPr>
          <w:rStyle w:val="a7"/>
        </w:rPr>
        <w:footnoteRef/>
      </w:r>
      <w:r>
        <w:rPr>
          <w:rtl/>
        </w:rPr>
        <w:t xml:space="preserve"> </w:t>
      </w:r>
      <w:r>
        <w:rPr>
          <w:rFonts w:hint="cs"/>
          <w:rtl/>
        </w:rPr>
        <w:t xml:space="preserve">ע"פ 228/01 </w:t>
      </w:r>
      <w:r w:rsidRPr="00C52FD3">
        <w:rPr>
          <w:rFonts w:hint="cs"/>
          <w:b/>
          <w:bCs/>
          <w:rtl/>
        </w:rPr>
        <w:t>כלב נגד מ"י</w:t>
      </w:r>
      <w:r>
        <w:rPr>
          <w:rFonts w:hint="cs"/>
          <w:rtl/>
        </w:rPr>
        <w:t xml:space="preserve">, </w:t>
      </w:r>
      <w:proofErr w:type="spellStart"/>
      <w:r>
        <w:rPr>
          <w:rFonts w:hint="cs"/>
          <w:rtl/>
        </w:rPr>
        <w:t>פד"י</w:t>
      </w:r>
      <w:proofErr w:type="spellEnd"/>
      <w:r>
        <w:rPr>
          <w:rFonts w:hint="cs"/>
          <w:rtl/>
        </w:rPr>
        <w:t xml:space="preserve"> </w:t>
      </w:r>
      <w:proofErr w:type="spellStart"/>
      <w:r>
        <w:rPr>
          <w:rFonts w:hint="cs"/>
          <w:rtl/>
        </w:rPr>
        <w:t>נז</w:t>
      </w:r>
      <w:proofErr w:type="spellEnd"/>
      <w:r>
        <w:rPr>
          <w:rFonts w:hint="cs"/>
          <w:rtl/>
        </w:rPr>
        <w:t>(5), 365.</w:t>
      </w:r>
    </w:p>
  </w:footnote>
  <w:footnote w:id="10">
    <w:p w:rsidR="00664AD3" w:rsidRDefault="00664AD3" w:rsidP="00664AD3">
      <w:pPr>
        <w:pStyle w:val="a5"/>
        <w:rPr>
          <w:rtl/>
        </w:rPr>
      </w:pPr>
      <w:r>
        <w:rPr>
          <w:rStyle w:val="a7"/>
        </w:rPr>
        <w:footnoteRef/>
      </w:r>
      <w:r>
        <w:rPr>
          <w:rtl/>
        </w:rPr>
        <w:t xml:space="preserve"> </w:t>
      </w:r>
      <w:r>
        <w:rPr>
          <w:rFonts w:hint="cs"/>
          <w:rtl/>
        </w:rPr>
        <w:t xml:space="preserve">ע"פ 746/14 </w:t>
      </w:r>
      <w:r w:rsidRPr="00AD400F">
        <w:rPr>
          <w:rFonts w:hint="cs"/>
          <w:b/>
          <w:bCs/>
          <w:rtl/>
        </w:rPr>
        <w:t xml:space="preserve">בן </w:t>
      </w:r>
      <w:proofErr w:type="spellStart"/>
      <w:r w:rsidRPr="00AD400F">
        <w:rPr>
          <w:rFonts w:hint="cs"/>
          <w:b/>
          <w:bCs/>
          <w:rtl/>
        </w:rPr>
        <w:t>היילו</w:t>
      </w:r>
      <w:proofErr w:type="spellEnd"/>
      <w:r w:rsidRPr="00AD400F">
        <w:rPr>
          <w:rFonts w:hint="cs"/>
          <w:b/>
          <w:bCs/>
          <w:rtl/>
        </w:rPr>
        <w:t xml:space="preserve"> ימר נגד מדינת ישראל</w:t>
      </w:r>
      <w:r>
        <w:rPr>
          <w:rFonts w:hint="cs"/>
          <w:rtl/>
        </w:rPr>
        <w:t xml:space="preserve"> (ניתן ביום 31.5.16).</w:t>
      </w:r>
    </w:p>
  </w:footnote>
  <w:footnote w:id="11">
    <w:p w:rsidR="00664AD3" w:rsidRDefault="00664AD3" w:rsidP="00664AD3">
      <w:pPr>
        <w:pStyle w:val="a5"/>
        <w:rPr>
          <w:rtl/>
        </w:rPr>
      </w:pPr>
      <w:r>
        <w:rPr>
          <w:rStyle w:val="a7"/>
        </w:rPr>
        <w:footnoteRef/>
      </w:r>
      <w:r>
        <w:rPr>
          <w:rtl/>
        </w:rPr>
        <w:t xml:space="preserve"> </w:t>
      </w:r>
      <w:r>
        <w:rPr>
          <w:rFonts w:hint="cs"/>
          <w:rtl/>
        </w:rPr>
        <w:t>ראו לעיל, פסה"ד בעניין ביטון, הערה 2.</w:t>
      </w:r>
    </w:p>
  </w:footnote>
  <w:footnote w:id="12">
    <w:p w:rsidR="00664AD3" w:rsidRDefault="00664AD3" w:rsidP="00664AD3">
      <w:pPr>
        <w:pStyle w:val="a5"/>
      </w:pPr>
      <w:r>
        <w:rPr>
          <w:rStyle w:val="a7"/>
        </w:rPr>
        <w:footnoteRef/>
      </w:r>
      <w:r>
        <w:rPr>
          <w:rtl/>
        </w:rPr>
        <w:t xml:space="preserve"> </w:t>
      </w:r>
      <w:r>
        <w:rPr>
          <w:rFonts w:hint="cs"/>
          <w:rtl/>
        </w:rPr>
        <w:t xml:space="preserve">ע"פ 396/69 </w:t>
      </w:r>
      <w:r w:rsidRPr="007A2EF2">
        <w:rPr>
          <w:rFonts w:hint="cs"/>
          <w:b/>
          <w:bCs/>
          <w:rtl/>
        </w:rPr>
        <w:t xml:space="preserve">נעים </w:t>
      </w:r>
      <w:r>
        <w:rPr>
          <w:rFonts w:hint="cs"/>
          <w:b/>
          <w:bCs/>
          <w:rtl/>
        </w:rPr>
        <w:t xml:space="preserve">אברהם </w:t>
      </w:r>
      <w:r w:rsidRPr="007A2EF2">
        <w:rPr>
          <w:rFonts w:hint="cs"/>
          <w:b/>
          <w:bCs/>
          <w:rtl/>
        </w:rPr>
        <w:t xml:space="preserve">בנו נגד מ"י </w:t>
      </w:r>
      <w:proofErr w:type="spellStart"/>
      <w:r>
        <w:rPr>
          <w:rFonts w:hint="cs"/>
          <w:rtl/>
        </w:rPr>
        <w:t>פד"י</w:t>
      </w:r>
      <w:proofErr w:type="spellEnd"/>
      <w:r>
        <w:rPr>
          <w:rFonts w:hint="cs"/>
          <w:rtl/>
        </w:rPr>
        <w:t xml:space="preserve"> כד(1), 561.</w:t>
      </w:r>
    </w:p>
  </w:footnote>
  <w:footnote w:id="13">
    <w:p w:rsidR="00664AD3" w:rsidRDefault="00664AD3" w:rsidP="00664AD3">
      <w:pPr>
        <w:pStyle w:val="a5"/>
        <w:rPr>
          <w:rtl/>
        </w:rPr>
      </w:pPr>
      <w:r>
        <w:rPr>
          <w:rStyle w:val="a7"/>
        </w:rPr>
        <w:footnoteRef/>
      </w:r>
      <w:r>
        <w:rPr>
          <w:rtl/>
        </w:rPr>
        <w:t xml:space="preserve"> </w:t>
      </w:r>
      <w:r>
        <w:rPr>
          <w:rFonts w:hint="cs"/>
          <w:rtl/>
        </w:rPr>
        <w:t>ראו לעיל, פסה"ד בעניין ביטון, הערה 2.</w:t>
      </w:r>
    </w:p>
  </w:footnote>
  <w:footnote w:id="14">
    <w:p w:rsidR="00664AD3" w:rsidRPr="0061229B" w:rsidRDefault="00664AD3" w:rsidP="00664AD3">
      <w:pPr>
        <w:pStyle w:val="a5"/>
        <w:rPr>
          <w:rtl/>
        </w:rPr>
      </w:pPr>
      <w:r>
        <w:rPr>
          <w:rStyle w:val="a7"/>
        </w:rPr>
        <w:footnoteRef/>
      </w:r>
      <w:r>
        <w:rPr>
          <w:rtl/>
        </w:rPr>
        <w:t xml:space="preserve"> </w:t>
      </w:r>
      <w:r>
        <w:rPr>
          <w:rFonts w:hint="cs"/>
          <w:rtl/>
        </w:rPr>
        <w:t xml:space="preserve">ראו לעיל, פסה"ד בעניין בנו, הערה 14. וראו לעיל, הערה 2, בפסה"ד בעניין ביטון, בלשונו של השופט </w:t>
      </w:r>
      <w:proofErr w:type="spellStart"/>
      <w:r>
        <w:rPr>
          <w:rFonts w:hint="cs"/>
          <w:rtl/>
        </w:rPr>
        <w:t>ברק</w:t>
      </w:r>
      <w:r w:rsidRPr="0061229B">
        <w:rPr>
          <w:rFonts w:hint="cs"/>
          <w:rtl/>
        </w:rPr>
        <w:t>:</w:t>
      </w:r>
      <w:r w:rsidRPr="0061229B">
        <w:rPr>
          <w:rFonts w:hint="cs"/>
          <w:sz w:val="24"/>
          <w:szCs w:val="24"/>
          <w:rtl/>
        </w:rPr>
        <w:t>"</w:t>
      </w:r>
      <w:r w:rsidRPr="0061229B">
        <w:rPr>
          <w:rFonts w:hint="cs"/>
          <w:rtl/>
        </w:rPr>
        <w:t>המבחן</w:t>
      </w:r>
      <w:proofErr w:type="spellEnd"/>
      <w:r w:rsidRPr="0061229B">
        <w:rPr>
          <w:rFonts w:hint="cs"/>
          <w:rtl/>
        </w:rPr>
        <w:t xml:space="preserve"> האובייקטיבי מעמיד את "האדם מן היישוב ", "האדם הסביר", "האדם הרגיל", "האדם הממוצע" בנעליו של הממית: הוא שואל את השאלה </w:t>
      </w:r>
      <w:proofErr w:type="spellStart"/>
      <w:r w:rsidRPr="0061229B">
        <w:rPr>
          <w:rFonts w:hint="cs"/>
          <w:rtl/>
        </w:rPr>
        <w:t>היפוטתית</w:t>
      </w:r>
      <w:proofErr w:type="spellEnd"/>
      <w:r w:rsidRPr="0061229B">
        <w:rPr>
          <w:rFonts w:hint="cs"/>
          <w:rtl/>
        </w:rPr>
        <w:t>, כיצד עלול היה אדם זה להגיב בנסיבות העניין..".</w:t>
      </w:r>
    </w:p>
  </w:footnote>
  <w:footnote w:id="15">
    <w:p w:rsidR="00664AD3" w:rsidRPr="00122B64" w:rsidRDefault="00664AD3" w:rsidP="00664AD3">
      <w:pPr>
        <w:pStyle w:val="a5"/>
        <w:rPr>
          <w:rtl/>
        </w:rPr>
      </w:pPr>
      <w:r w:rsidRPr="004F67BF">
        <w:rPr>
          <w:rStyle w:val="a7"/>
        </w:rPr>
        <w:footnoteRef/>
      </w:r>
      <w:r w:rsidRPr="004F67BF">
        <w:rPr>
          <w:rtl/>
        </w:rPr>
        <w:t xml:space="preserve"> </w:t>
      </w:r>
      <w:r w:rsidRPr="004F67BF">
        <w:rPr>
          <w:rFonts w:hint="cs"/>
          <w:rtl/>
        </w:rPr>
        <w:t xml:space="preserve">מ. </w:t>
      </w:r>
      <w:proofErr w:type="spellStart"/>
      <w:r w:rsidRPr="004F67BF">
        <w:rPr>
          <w:rFonts w:hint="cs"/>
          <w:rtl/>
        </w:rPr>
        <w:t>קרמניצר</w:t>
      </w:r>
      <w:proofErr w:type="spellEnd"/>
      <w:r w:rsidRPr="004F67BF">
        <w:rPr>
          <w:rFonts w:hint="cs"/>
          <w:rtl/>
        </w:rPr>
        <w:t xml:space="preserve"> </w:t>
      </w:r>
      <w:proofErr w:type="spellStart"/>
      <w:r w:rsidRPr="004F67BF">
        <w:rPr>
          <w:rFonts w:hint="cs"/>
          <w:rtl/>
        </w:rPr>
        <w:t>ול</w:t>
      </w:r>
      <w:proofErr w:type="spellEnd"/>
      <w:r w:rsidRPr="004F67BF">
        <w:rPr>
          <w:rFonts w:hint="cs"/>
          <w:rtl/>
        </w:rPr>
        <w:t>. לבנון "</w:t>
      </w:r>
      <w:r>
        <w:rPr>
          <w:rFonts w:hint="cs"/>
          <w:rtl/>
        </w:rPr>
        <w:t xml:space="preserve">על היסוד של היעדר קנטור בהגדרת ה"כוונה תחילה" </w:t>
      </w:r>
      <w:r w:rsidRPr="00122B64">
        <w:rPr>
          <w:rFonts w:hint="cs"/>
          <w:rtl/>
        </w:rPr>
        <w:t xml:space="preserve">בעקבות </w:t>
      </w:r>
      <w:proofErr w:type="spellStart"/>
      <w:r w:rsidRPr="00122B64">
        <w:rPr>
          <w:rFonts w:hint="cs"/>
          <w:rtl/>
        </w:rPr>
        <w:t>דנ"פ</w:t>
      </w:r>
      <w:proofErr w:type="spellEnd"/>
      <w:r w:rsidRPr="00122B64">
        <w:rPr>
          <w:rFonts w:hint="cs"/>
          <w:rtl/>
        </w:rPr>
        <w:t xml:space="preserve"> 1042/04 ביטון נ' מדינת ישראל, </w:t>
      </w:r>
      <w:r w:rsidRPr="00122B64">
        <w:rPr>
          <w:rFonts w:hint="cs"/>
          <w:b/>
          <w:bCs/>
          <w:rtl/>
        </w:rPr>
        <w:t>הפרקליט ספר דיויד וינר- על משפט פלילי ואתיקה</w:t>
      </w:r>
      <w:r w:rsidRPr="00122B64">
        <w:rPr>
          <w:rFonts w:hint="cs"/>
          <w:rtl/>
        </w:rPr>
        <w:t xml:space="preserve">, (2009) עמוד 547. ראו גם יורם שחר "האדם הסביר והמשפט הפלילי" </w:t>
      </w:r>
      <w:r w:rsidRPr="00122B64">
        <w:rPr>
          <w:rFonts w:hint="cs"/>
          <w:b/>
          <w:bCs/>
          <w:rtl/>
        </w:rPr>
        <w:t>הפרקליט לט</w:t>
      </w:r>
      <w:r w:rsidRPr="00122B64">
        <w:rPr>
          <w:rFonts w:hint="cs"/>
          <w:rtl/>
        </w:rPr>
        <w:t xml:space="preserve"> (א) (</w:t>
      </w:r>
      <w:proofErr w:type="spellStart"/>
      <w:r w:rsidRPr="00122B64">
        <w:rPr>
          <w:rFonts w:hint="cs"/>
          <w:rtl/>
        </w:rPr>
        <w:t>התש"ן</w:t>
      </w:r>
      <w:proofErr w:type="spellEnd"/>
      <w:r w:rsidRPr="00122B64">
        <w:rPr>
          <w:rFonts w:hint="cs"/>
          <w:rtl/>
        </w:rPr>
        <w:t xml:space="preserve">- </w:t>
      </w:r>
      <w:proofErr w:type="spellStart"/>
      <w:r w:rsidRPr="00122B64">
        <w:rPr>
          <w:rFonts w:hint="cs"/>
          <w:rtl/>
        </w:rPr>
        <w:t>התשנ"א</w:t>
      </w:r>
      <w:proofErr w:type="spellEnd"/>
      <w:r w:rsidRPr="00122B64">
        <w:rPr>
          <w:rFonts w:hint="cs"/>
          <w:rtl/>
        </w:rPr>
        <w:t>), עמוד 78.</w:t>
      </w:r>
    </w:p>
  </w:footnote>
  <w:footnote w:id="16">
    <w:p w:rsidR="00664AD3" w:rsidRPr="00672E1F" w:rsidRDefault="00664AD3" w:rsidP="00664AD3">
      <w:pPr>
        <w:spacing w:after="0" w:line="240" w:lineRule="auto"/>
        <w:jc w:val="both"/>
        <w:rPr>
          <w:rFonts w:cs="David"/>
          <w:b/>
          <w:bCs/>
          <w:sz w:val="20"/>
          <w:szCs w:val="20"/>
          <w:rtl/>
        </w:rPr>
      </w:pPr>
      <w:r w:rsidRPr="00122B64">
        <w:rPr>
          <w:rStyle w:val="a7"/>
        </w:rPr>
        <w:footnoteRef/>
      </w:r>
      <w:r w:rsidRPr="00122B64">
        <w:rPr>
          <w:rtl/>
        </w:rPr>
        <w:t xml:space="preserve"> </w:t>
      </w:r>
      <w:r>
        <w:rPr>
          <w:rFonts w:cs="David" w:hint="cs"/>
          <w:sz w:val="20"/>
          <w:szCs w:val="20"/>
          <w:rtl/>
        </w:rPr>
        <w:t xml:space="preserve">ראו לעיל, בפסה"ד בעניין ביטון, הערה 2, </w:t>
      </w:r>
      <w:r w:rsidRPr="00122B64">
        <w:rPr>
          <w:rFonts w:cs="David" w:hint="cs"/>
          <w:sz w:val="20"/>
          <w:szCs w:val="20"/>
          <w:rtl/>
        </w:rPr>
        <w:t>השופט ברק המציין כי המבחן האובייקטיבי</w:t>
      </w:r>
      <w:r w:rsidRPr="00672E1F">
        <w:rPr>
          <w:rFonts w:cs="David" w:hint="cs"/>
          <w:sz w:val="20"/>
          <w:szCs w:val="20"/>
          <w:rtl/>
        </w:rPr>
        <w:t xml:space="preserve"> הכרחי, אך סבור היה שיש להשתמש בו בנפרד, ולא כחלק ממבחן היעדר ההתגרות. יחד עם זאת, ציין שעד שיקבע המחוקק אפשרות להשתמש בדרך אחרת במבחן האובייקטיבי, לא ניתן לוותר על השימוש בו כחלק משאלת היעדר </w:t>
      </w:r>
      <w:proofErr w:type="spellStart"/>
      <w:r w:rsidRPr="00672E1F">
        <w:rPr>
          <w:rFonts w:cs="David" w:hint="cs"/>
          <w:sz w:val="20"/>
          <w:szCs w:val="20"/>
          <w:rtl/>
        </w:rPr>
        <w:t>הקינטור</w:t>
      </w:r>
      <w:proofErr w:type="spellEnd"/>
      <w:r w:rsidRPr="00672E1F">
        <w:rPr>
          <w:rFonts w:cs="David" w:hint="cs"/>
          <w:sz w:val="20"/>
          <w:szCs w:val="20"/>
          <w:rtl/>
        </w:rPr>
        <w:t>.</w:t>
      </w:r>
    </w:p>
    <w:p w:rsidR="00664AD3" w:rsidRPr="00672E1F" w:rsidRDefault="00664AD3" w:rsidP="00664AD3">
      <w:pPr>
        <w:spacing w:after="0" w:line="240" w:lineRule="auto"/>
        <w:jc w:val="both"/>
        <w:rPr>
          <w:rFonts w:cs="David"/>
          <w:sz w:val="20"/>
          <w:szCs w:val="20"/>
          <w:rtl/>
        </w:rPr>
      </w:pPr>
      <w:r w:rsidRPr="00672E1F">
        <w:rPr>
          <w:rFonts w:cs="David" w:hint="cs"/>
          <w:sz w:val="20"/>
          <w:szCs w:val="20"/>
          <w:rtl/>
        </w:rPr>
        <w:t xml:space="preserve">עוד נקבע בפסיקה כי מלבד התחשבות </w:t>
      </w:r>
      <w:proofErr w:type="spellStart"/>
      <w:r w:rsidRPr="00672E1F">
        <w:rPr>
          <w:rFonts w:cs="David" w:hint="cs"/>
          <w:sz w:val="20"/>
          <w:szCs w:val="20"/>
          <w:rtl/>
        </w:rPr>
        <w:t>בקטינותו</w:t>
      </w:r>
      <w:proofErr w:type="spellEnd"/>
      <w:r w:rsidRPr="00672E1F">
        <w:rPr>
          <w:rFonts w:cs="David" w:hint="cs"/>
          <w:sz w:val="20"/>
          <w:szCs w:val="20"/>
          <w:rtl/>
        </w:rPr>
        <w:t xml:space="preserve"> של הממית, אין להתייחס לתכונותיו של הממית, אופיו, מזגו, מינו, רקע סוציו אקונומי, דתו, עדתו, צבו הנפשי והרוחני ושאר תכונותיו. המבחן האובייקטיבי אינו נושא בתוכו תת קבוצות. ואולם, השופט ברק בפרשת ביטון, סבור שיש להידרש גם ל</w:t>
      </w:r>
      <w:r>
        <w:rPr>
          <w:rFonts w:cs="David" w:hint="cs"/>
          <w:sz w:val="20"/>
          <w:szCs w:val="20"/>
          <w:rtl/>
        </w:rPr>
        <w:t xml:space="preserve">מספר נתונים </w:t>
      </w:r>
      <w:proofErr w:type="spellStart"/>
      <w:r>
        <w:rPr>
          <w:rFonts w:cs="David" w:hint="cs"/>
          <w:sz w:val="20"/>
          <w:szCs w:val="20"/>
          <w:rtl/>
        </w:rPr>
        <w:t>סוביקטיביים</w:t>
      </w:r>
      <w:proofErr w:type="spellEnd"/>
      <w:r>
        <w:rPr>
          <w:rFonts w:cs="David" w:hint="cs"/>
          <w:sz w:val="20"/>
          <w:szCs w:val="20"/>
          <w:rtl/>
        </w:rPr>
        <w:t xml:space="preserve"> במסגרת המבחן האובייקטיבי</w:t>
      </w:r>
      <w:r w:rsidRPr="00672E1F">
        <w:rPr>
          <w:rFonts w:cs="David" w:hint="cs"/>
          <w:sz w:val="20"/>
          <w:szCs w:val="20"/>
          <w:rtl/>
        </w:rPr>
        <w:t>.</w:t>
      </w:r>
    </w:p>
  </w:footnote>
  <w:footnote w:id="17">
    <w:p w:rsidR="00664AD3" w:rsidRDefault="00664AD3" w:rsidP="00664AD3">
      <w:pPr>
        <w:pStyle w:val="a5"/>
      </w:pPr>
      <w:r>
        <w:rPr>
          <w:rStyle w:val="a7"/>
        </w:rPr>
        <w:footnoteRef/>
      </w:r>
      <w:r>
        <w:rPr>
          <w:rtl/>
        </w:rPr>
        <w:t xml:space="preserve"> </w:t>
      </w:r>
      <w:r>
        <w:rPr>
          <w:rFonts w:hint="cs"/>
          <w:rtl/>
        </w:rPr>
        <w:t xml:space="preserve">ע"פ 746/14 </w:t>
      </w:r>
      <w:r w:rsidRPr="00AD400F">
        <w:rPr>
          <w:rFonts w:hint="cs"/>
          <w:b/>
          <w:bCs/>
          <w:rtl/>
        </w:rPr>
        <w:t xml:space="preserve">בן </w:t>
      </w:r>
      <w:proofErr w:type="spellStart"/>
      <w:r w:rsidRPr="00AD400F">
        <w:rPr>
          <w:rFonts w:hint="cs"/>
          <w:b/>
          <w:bCs/>
          <w:rtl/>
        </w:rPr>
        <w:t>היילו</w:t>
      </w:r>
      <w:proofErr w:type="spellEnd"/>
      <w:r w:rsidRPr="00AD400F">
        <w:rPr>
          <w:rFonts w:hint="cs"/>
          <w:b/>
          <w:bCs/>
          <w:rtl/>
        </w:rPr>
        <w:t xml:space="preserve"> ימר נגד מדינת ישראל</w:t>
      </w:r>
      <w:r>
        <w:rPr>
          <w:rFonts w:hint="cs"/>
          <w:rtl/>
        </w:rPr>
        <w:t xml:space="preserve"> (ניתן ביום 31.5.16) בו נקבע:</w:t>
      </w:r>
      <w:r>
        <w:rPr>
          <w:rFonts w:asciiTheme="minorHAnsi" w:hAnsiTheme="minorHAnsi" w:hint="cs"/>
          <w:b/>
          <w:bCs/>
          <w:rtl/>
        </w:rPr>
        <w:t xml:space="preserve"> "</w:t>
      </w:r>
      <w:r w:rsidRPr="006F518B">
        <w:rPr>
          <w:rFonts w:asciiTheme="minorHAnsi" w:hAnsiTheme="minorHAnsi" w:hint="cs"/>
          <w:b/>
          <w:bCs/>
          <w:rtl/>
        </w:rPr>
        <w:t>על אף שמדובר ביסוד שלילי – נטל ההוכחה של רכיב "היעדר קנטור" רובץ על שכמה של התביעה, אך נקבע כי מדובר ב"מידת הוכחה פחותה"</w:t>
      </w:r>
      <w:r>
        <w:rPr>
          <w:rFonts w:asciiTheme="minorHAnsi" w:hAnsiTheme="minorHAnsi" w:hint="cs"/>
          <w:b/>
          <w:bCs/>
          <w:rtl/>
        </w:rPr>
        <w:t>.</w:t>
      </w:r>
    </w:p>
  </w:footnote>
  <w:footnote w:id="18">
    <w:p w:rsidR="00664AD3" w:rsidRDefault="00664AD3" w:rsidP="00664AD3">
      <w:pPr>
        <w:pStyle w:val="a5"/>
      </w:pPr>
      <w:r>
        <w:rPr>
          <w:rStyle w:val="a7"/>
        </w:rPr>
        <w:footnoteRef/>
      </w:r>
      <w:r>
        <w:rPr>
          <w:rtl/>
        </w:rPr>
        <w:t xml:space="preserve"> </w:t>
      </w:r>
      <w:r>
        <w:rPr>
          <w:rFonts w:hint="cs"/>
          <w:rtl/>
        </w:rPr>
        <w:t xml:space="preserve">ע"פ 746/14 </w:t>
      </w:r>
      <w:r w:rsidRPr="00AD400F">
        <w:rPr>
          <w:rFonts w:hint="cs"/>
          <w:b/>
          <w:bCs/>
          <w:rtl/>
        </w:rPr>
        <w:t xml:space="preserve">בן </w:t>
      </w:r>
      <w:proofErr w:type="spellStart"/>
      <w:r w:rsidRPr="00AD400F">
        <w:rPr>
          <w:rFonts w:hint="cs"/>
          <w:b/>
          <w:bCs/>
          <w:rtl/>
        </w:rPr>
        <w:t>היילו</w:t>
      </w:r>
      <w:proofErr w:type="spellEnd"/>
      <w:r w:rsidRPr="00AD400F">
        <w:rPr>
          <w:rFonts w:hint="cs"/>
          <w:b/>
          <w:bCs/>
          <w:rtl/>
        </w:rPr>
        <w:t xml:space="preserve"> ימר נגד מדינת ישראל</w:t>
      </w:r>
      <w:r>
        <w:rPr>
          <w:rFonts w:hint="cs"/>
          <w:rtl/>
        </w:rPr>
        <w:t xml:space="preserve"> (ניתן ביום 31.5.16).</w:t>
      </w:r>
    </w:p>
  </w:footnote>
  <w:footnote w:id="19">
    <w:p w:rsidR="00664AD3" w:rsidRDefault="00664AD3" w:rsidP="00664AD3">
      <w:pPr>
        <w:pStyle w:val="a5"/>
      </w:pPr>
      <w:r>
        <w:rPr>
          <w:rStyle w:val="a7"/>
        </w:rPr>
        <w:footnoteRef/>
      </w:r>
      <w:r>
        <w:rPr>
          <w:rtl/>
        </w:rPr>
        <w:t xml:space="preserve"> </w:t>
      </w:r>
      <w:r>
        <w:rPr>
          <w:rFonts w:hint="cs"/>
          <w:rtl/>
        </w:rPr>
        <w:t xml:space="preserve">ע"פ 1632/08 </w:t>
      </w:r>
      <w:r w:rsidRPr="00E02C47">
        <w:rPr>
          <w:rFonts w:hint="cs"/>
          <w:b/>
          <w:bCs/>
          <w:rtl/>
        </w:rPr>
        <w:t>טורק נגד מדינת ישראל</w:t>
      </w:r>
      <w:r>
        <w:rPr>
          <w:rFonts w:hint="cs"/>
          <w:rtl/>
        </w:rPr>
        <w:t xml:space="preserve"> (ניתן ביום 4.6.09).</w:t>
      </w:r>
    </w:p>
  </w:footnote>
  <w:footnote w:id="20">
    <w:p w:rsidR="00664AD3" w:rsidRDefault="00664AD3" w:rsidP="00664AD3">
      <w:pPr>
        <w:pStyle w:val="a5"/>
        <w:rPr>
          <w:rtl/>
        </w:rPr>
      </w:pPr>
      <w:r>
        <w:rPr>
          <w:rStyle w:val="a7"/>
        </w:rPr>
        <w:footnoteRef/>
      </w:r>
      <w:r>
        <w:rPr>
          <w:rtl/>
        </w:rPr>
        <w:t xml:space="preserve"> </w:t>
      </w:r>
      <w:proofErr w:type="spellStart"/>
      <w:r>
        <w:rPr>
          <w:rFonts w:hint="cs"/>
          <w:rtl/>
        </w:rPr>
        <w:t>ע,פ</w:t>
      </w:r>
      <w:proofErr w:type="spellEnd"/>
      <w:r>
        <w:rPr>
          <w:rFonts w:hint="cs"/>
          <w:rtl/>
        </w:rPr>
        <w:t xml:space="preserve"> 4655/12 </w:t>
      </w:r>
      <w:r w:rsidRPr="004462CC">
        <w:rPr>
          <w:rFonts w:hint="cs"/>
          <w:b/>
          <w:bCs/>
          <w:rtl/>
        </w:rPr>
        <w:t>אדרי נגד מדינת ישראל</w:t>
      </w:r>
      <w:r>
        <w:rPr>
          <w:rFonts w:hint="cs"/>
          <w:rtl/>
        </w:rPr>
        <w:t xml:space="preserve"> (ניתן ביום 29.9.14).</w:t>
      </w:r>
    </w:p>
  </w:footnote>
  <w:footnote w:id="21">
    <w:p w:rsidR="00664AD3" w:rsidRPr="00626D24" w:rsidRDefault="00664AD3" w:rsidP="00664AD3">
      <w:pPr>
        <w:pStyle w:val="a5"/>
      </w:pPr>
      <w:r w:rsidRPr="00626D24">
        <w:rPr>
          <w:rStyle w:val="a7"/>
        </w:rPr>
        <w:footnoteRef/>
      </w:r>
      <w:r w:rsidRPr="00626D24">
        <w:rPr>
          <w:rtl/>
        </w:rPr>
        <w:t xml:space="preserve"> </w:t>
      </w:r>
      <w:r w:rsidRPr="00626D24">
        <w:rPr>
          <w:rFonts w:hint="cs"/>
          <w:rtl/>
        </w:rPr>
        <w:t xml:space="preserve">בע"פ 70/04 </w:t>
      </w:r>
      <w:proofErr w:type="spellStart"/>
      <w:r w:rsidRPr="00626D24">
        <w:rPr>
          <w:rFonts w:hint="cs"/>
          <w:b/>
          <w:bCs/>
          <w:rtl/>
        </w:rPr>
        <w:t>פוריאדין</w:t>
      </w:r>
      <w:proofErr w:type="spellEnd"/>
      <w:r w:rsidRPr="00626D24">
        <w:rPr>
          <w:rFonts w:hint="cs"/>
          <w:b/>
          <w:bCs/>
          <w:rtl/>
        </w:rPr>
        <w:t xml:space="preserve"> נגד מ"י</w:t>
      </w:r>
      <w:r w:rsidRPr="00626D24">
        <w:rPr>
          <w:rFonts w:hint="cs"/>
          <w:rtl/>
        </w:rPr>
        <w:t xml:space="preserve"> (ניתן ביום 19.1.06).</w:t>
      </w:r>
    </w:p>
  </w:footnote>
  <w:footnote w:id="22">
    <w:p w:rsidR="00664AD3" w:rsidRPr="007E2738" w:rsidRDefault="00664AD3" w:rsidP="00664AD3">
      <w:pPr>
        <w:spacing w:after="0" w:line="240" w:lineRule="auto"/>
        <w:rPr>
          <w:sz w:val="20"/>
          <w:szCs w:val="20"/>
          <w:rtl/>
        </w:rPr>
      </w:pPr>
      <w:r w:rsidRPr="00D560D5">
        <w:rPr>
          <w:rStyle w:val="a7"/>
          <w:rFonts w:cs="David"/>
          <w:sz w:val="20"/>
          <w:szCs w:val="20"/>
        </w:rPr>
        <w:footnoteRef/>
      </w:r>
      <w:r w:rsidRPr="00D560D5">
        <w:rPr>
          <w:rFonts w:cs="David"/>
          <w:sz w:val="20"/>
          <w:szCs w:val="20"/>
          <w:rtl/>
        </w:rPr>
        <w:t xml:space="preserve"> </w:t>
      </w:r>
      <w:r w:rsidRPr="00D560D5">
        <w:rPr>
          <w:rFonts w:cs="David" w:hint="cs"/>
          <w:sz w:val="20"/>
          <w:szCs w:val="20"/>
          <w:rtl/>
        </w:rPr>
        <w:t xml:space="preserve">ראו לעיל, פסה"ד בעניין ביטון, הערה 2. ראו לעניין זה גם דברי השופטת </w:t>
      </w:r>
      <w:proofErr w:type="spellStart"/>
      <w:r w:rsidRPr="00D560D5">
        <w:rPr>
          <w:rFonts w:cs="David" w:hint="cs"/>
          <w:sz w:val="20"/>
          <w:szCs w:val="20"/>
          <w:rtl/>
        </w:rPr>
        <w:t>פרוקצ'ה</w:t>
      </w:r>
      <w:proofErr w:type="spellEnd"/>
      <w:r w:rsidRPr="00D560D5">
        <w:rPr>
          <w:rFonts w:cs="David" w:hint="cs"/>
          <w:sz w:val="20"/>
          <w:szCs w:val="20"/>
          <w:rtl/>
        </w:rPr>
        <w:t xml:space="preserve"> בע</w:t>
      </w:r>
      <w:r>
        <w:rPr>
          <w:rFonts w:cs="David" w:hint="cs"/>
          <w:sz w:val="20"/>
          <w:szCs w:val="20"/>
          <w:rtl/>
        </w:rPr>
        <w:t>"פ</w:t>
      </w:r>
      <w:r w:rsidRPr="00D560D5">
        <w:rPr>
          <w:rFonts w:cs="David" w:hint="cs"/>
          <w:sz w:val="20"/>
          <w:szCs w:val="20"/>
          <w:rtl/>
        </w:rPr>
        <w:t xml:space="preserve"> </w:t>
      </w:r>
      <w:r>
        <w:rPr>
          <w:rFonts w:cs="David" w:hint="cs"/>
          <w:sz w:val="20"/>
          <w:szCs w:val="20"/>
          <w:rtl/>
        </w:rPr>
        <w:t xml:space="preserve">4711/03 </w:t>
      </w:r>
      <w:r w:rsidRPr="00D560D5">
        <w:rPr>
          <w:rFonts w:cs="David" w:hint="cs"/>
          <w:sz w:val="20"/>
          <w:szCs w:val="20"/>
          <w:rtl/>
        </w:rPr>
        <w:t>א</w:t>
      </w:r>
      <w:r w:rsidRPr="002239AE">
        <w:rPr>
          <w:rFonts w:cs="David" w:hint="cs"/>
          <w:b/>
          <w:bCs/>
          <w:sz w:val="20"/>
          <w:szCs w:val="20"/>
          <w:rtl/>
        </w:rPr>
        <w:t>בו זייד נגד מדינת ישראל</w:t>
      </w:r>
      <w:r>
        <w:rPr>
          <w:rFonts w:cs="David" w:hint="cs"/>
          <w:sz w:val="20"/>
          <w:szCs w:val="20"/>
          <w:rtl/>
        </w:rPr>
        <w:t xml:space="preserve"> (ניתן ביום 15.1.09)</w:t>
      </w:r>
      <w:r w:rsidRPr="00D560D5">
        <w:rPr>
          <w:rFonts w:cs="David" w:hint="cs"/>
          <w:sz w:val="20"/>
          <w:szCs w:val="20"/>
          <w:rtl/>
        </w:rPr>
        <w:t xml:space="preserve">: </w:t>
      </w:r>
      <w:r w:rsidRPr="00D560D5">
        <w:rPr>
          <w:rFonts w:cs="David" w:hint="cs"/>
          <w:b/>
          <w:bCs/>
          <w:sz w:val="20"/>
          <w:szCs w:val="20"/>
          <w:rtl/>
        </w:rPr>
        <w:t>"אני</w:t>
      </w:r>
      <w:r w:rsidRPr="007E2738">
        <w:rPr>
          <w:rFonts w:cs="David" w:hint="cs"/>
          <w:b/>
          <w:bCs/>
          <w:sz w:val="20"/>
          <w:szCs w:val="20"/>
          <w:rtl/>
        </w:rPr>
        <w:t xml:space="preserve"> מצטרפת לדברי הנשיאה בדבר</w:t>
      </w:r>
      <w:r>
        <w:rPr>
          <w:rFonts w:cs="David" w:hint="cs"/>
          <w:b/>
          <w:bCs/>
          <w:sz w:val="20"/>
          <w:szCs w:val="20"/>
          <w:rtl/>
        </w:rPr>
        <w:t xml:space="preserve"> </w:t>
      </w:r>
      <w:r w:rsidRPr="007E2738">
        <w:rPr>
          <w:rFonts w:cs="David" w:hint="cs"/>
          <w:b/>
          <w:bCs/>
          <w:sz w:val="20"/>
          <w:szCs w:val="20"/>
          <w:rtl/>
        </w:rPr>
        <w:t xml:space="preserve">חשיבותה הרבה של הרפורמה החקיקתית בעבירות ההמתה בישראל, עליה שוקדת עתה ועדה מיוחדת שהוקמה לצורך כך בחסותו של משרד המשפטים. אני מקווה שלא ירחק היום בו תונח תשתית חקיקתית הרמונית ומלאה בנושא מרכזי זה, אשר תתחשב, בין היתר, בהתפתחות החשיבה המשפטית שהתרחשה בעשורים האחרונים בהשפעת העקרונות החוקתיים, וכן בניסיון הרב שנצבר במהלך השנים ממקרה למקרה, בתחום עבירות ההמתה בדין הפלילי....בצדק ציין השופט מ' </w:t>
      </w:r>
      <w:proofErr w:type="spellStart"/>
      <w:r w:rsidRPr="007E2738">
        <w:rPr>
          <w:rFonts w:cs="David" w:hint="cs"/>
          <w:b/>
          <w:bCs/>
          <w:sz w:val="20"/>
          <w:szCs w:val="20"/>
          <w:rtl/>
        </w:rPr>
        <w:t>זילברג</w:t>
      </w:r>
      <w:proofErr w:type="spellEnd"/>
      <w:r w:rsidRPr="007E2738">
        <w:rPr>
          <w:rFonts w:cs="David" w:hint="cs"/>
          <w:b/>
          <w:bCs/>
          <w:sz w:val="20"/>
          <w:szCs w:val="20"/>
          <w:rtl/>
        </w:rPr>
        <w:t xml:space="preserve"> כי "הוראות החוק הפלילי </w:t>
      </w:r>
      <w:proofErr w:type="spellStart"/>
      <w:r w:rsidRPr="007E2738">
        <w:rPr>
          <w:rFonts w:cs="David" w:hint="cs"/>
          <w:b/>
          <w:bCs/>
          <w:sz w:val="20"/>
          <w:szCs w:val="20"/>
          <w:rtl/>
        </w:rPr>
        <w:t>הא"י</w:t>
      </w:r>
      <w:proofErr w:type="spellEnd"/>
      <w:r w:rsidRPr="007E2738">
        <w:rPr>
          <w:rFonts w:cs="David" w:hint="cs"/>
          <w:b/>
          <w:bCs/>
          <w:sz w:val="20"/>
          <w:szCs w:val="20"/>
          <w:rtl/>
        </w:rPr>
        <w:t xml:space="preserve">, בענייני הריגה ורצח, לא מקרקע אחד חוצבו, אלא מכילות בקרבן רעיונות ושברי רעיונות אשר נלקטו, זעיר שם זעיר שם, מעל שולחנן של </w:t>
      </w:r>
      <w:r w:rsidRPr="007E2738">
        <w:rPr>
          <w:rFonts w:cs="David"/>
          <w:b/>
          <w:bCs/>
          <w:sz w:val="20"/>
          <w:szCs w:val="20"/>
          <w:rtl/>
        </w:rPr>
        <w:t>שיטות משפט שונות</w:t>
      </w:r>
      <w:r w:rsidRPr="007E2738">
        <w:rPr>
          <w:rFonts w:cs="David" w:hint="cs"/>
          <w:b/>
          <w:bCs/>
          <w:sz w:val="20"/>
          <w:szCs w:val="20"/>
          <w:rtl/>
        </w:rPr>
        <w:t>..."</w:t>
      </w:r>
      <w:r w:rsidRPr="007E2738">
        <w:rPr>
          <w:rFonts w:hint="cs"/>
          <w:sz w:val="20"/>
          <w:szCs w:val="20"/>
          <w:rtl/>
        </w:rPr>
        <w:t>.</w:t>
      </w:r>
    </w:p>
  </w:footnote>
  <w:footnote w:id="23">
    <w:p w:rsidR="00664AD3" w:rsidRDefault="00664AD3" w:rsidP="00664AD3">
      <w:pPr>
        <w:pStyle w:val="a5"/>
        <w:rPr>
          <w:rtl/>
        </w:rPr>
      </w:pPr>
      <w:r>
        <w:rPr>
          <w:rStyle w:val="a7"/>
        </w:rPr>
        <w:footnoteRef/>
      </w:r>
      <w:r>
        <w:rPr>
          <w:rtl/>
        </w:rPr>
        <w:t xml:space="preserve"> </w:t>
      </w:r>
      <w:r>
        <w:rPr>
          <w:rtl/>
        </w:rPr>
        <w:tab/>
      </w:r>
      <w:r w:rsidRPr="002103BD">
        <w:rPr>
          <w:rFonts w:hint="cs"/>
          <w:b/>
          <w:bCs/>
          <w:rtl/>
        </w:rPr>
        <w:t xml:space="preserve">דו"ח </w:t>
      </w:r>
      <w:r w:rsidRPr="002103BD">
        <w:rPr>
          <w:b/>
          <w:bCs/>
          <w:spacing w:val="-2"/>
          <w:rtl/>
          <w:lang w:eastAsia="he-IL"/>
        </w:rPr>
        <w:t>הצוות לבחינת יסודות עבירות ההמתה</w:t>
      </w:r>
      <w:r>
        <w:rPr>
          <w:rFonts w:hint="cs"/>
          <w:rtl/>
        </w:rPr>
        <w:t xml:space="preserve"> עמ'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14D43"/>
    <w:multiLevelType w:val="hybridMultilevel"/>
    <w:tmpl w:val="A1026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7B3864"/>
    <w:multiLevelType w:val="hybridMultilevel"/>
    <w:tmpl w:val="7FA20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7563D"/>
    <w:multiLevelType w:val="hybridMultilevel"/>
    <w:tmpl w:val="A3604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7201F9"/>
    <w:multiLevelType w:val="hybridMultilevel"/>
    <w:tmpl w:val="D700D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6" w15:restartNumberingAfterBreak="0">
    <w:nsid w:val="44047DD2"/>
    <w:multiLevelType w:val="hybridMultilevel"/>
    <w:tmpl w:val="237E0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6"/>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D3"/>
    <w:rsid w:val="00202494"/>
    <w:rsid w:val="002E2B1E"/>
    <w:rsid w:val="003D0A32"/>
    <w:rsid w:val="004B4EFB"/>
    <w:rsid w:val="00664AD3"/>
    <w:rsid w:val="00810249"/>
    <w:rsid w:val="00E06AC4"/>
    <w:rsid w:val="00F1146C"/>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BA581-5F42-4C9F-8005-4652F1A0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AD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64AD3"/>
    <w:rPr>
      <w:color w:val="0000FF"/>
      <w:u w:val="single"/>
    </w:rPr>
  </w:style>
  <w:style w:type="paragraph" w:customStyle="1" w:styleId="ruller4">
    <w:name w:val="ruller4"/>
    <w:basedOn w:val="a"/>
    <w:rsid w:val="00664AD3"/>
    <w:pPr>
      <w:overflowPunct w:val="0"/>
      <w:autoSpaceDE w:val="0"/>
      <w:autoSpaceDN w:val="0"/>
      <w:spacing w:after="0" w:line="360" w:lineRule="auto"/>
      <w:jc w:val="both"/>
    </w:pPr>
    <w:rPr>
      <w:rFonts w:ascii="Arial TUR" w:eastAsia="Times New Roman" w:hAnsi="Arial TUR" w:cs="Arial TUR"/>
      <w:spacing w:val="10"/>
      <w:lang w:eastAsia="he-IL"/>
    </w:rPr>
  </w:style>
  <w:style w:type="paragraph" w:styleId="a3">
    <w:name w:val="List Paragraph"/>
    <w:basedOn w:val="a"/>
    <w:uiPriority w:val="34"/>
    <w:qFormat/>
    <w:rsid w:val="00664AD3"/>
    <w:pPr>
      <w:ind w:left="720"/>
      <w:contextualSpacing/>
    </w:pPr>
  </w:style>
  <w:style w:type="paragraph" w:customStyle="1" w:styleId="BODYVERDICT">
    <w:name w:val="BODY VERDICT"/>
    <w:basedOn w:val="a"/>
    <w:rsid w:val="00664AD3"/>
    <w:pPr>
      <w:overflowPunct w:val="0"/>
      <w:autoSpaceDE w:val="0"/>
      <w:autoSpaceDN w:val="0"/>
      <w:spacing w:after="0" w:line="240" w:lineRule="auto"/>
    </w:pPr>
    <w:rPr>
      <w:rFonts w:ascii="Times New Roman" w:eastAsia="Times New Roman" w:hAnsi="Times New Roman" w:cs="Times New Roman"/>
      <w:spacing w:val="10"/>
    </w:rPr>
  </w:style>
  <w:style w:type="character" w:customStyle="1" w:styleId="default">
    <w:name w:val="default"/>
    <w:rsid w:val="00664AD3"/>
    <w:rPr>
      <w:rFonts w:ascii="Times New Roman" w:hAnsi="Times New Roman" w:cs="Times New Roman"/>
      <w:sz w:val="26"/>
      <w:szCs w:val="26"/>
    </w:rPr>
  </w:style>
  <w:style w:type="paragraph" w:customStyle="1" w:styleId="P22">
    <w:name w:val="P22"/>
    <w:basedOn w:val="a"/>
    <w:rsid w:val="00664AD3"/>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customStyle="1" w:styleId="P11">
    <w:name w:val="P11"/>
    <w:basedOn w:val="a"/>
    <w:rsid w:val="00664AD3"/>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Times New Roman"/>
      <w:noProof/>
      <w:sz w:val="20"/>
      <w:szCs w:val="26"/>
      <w:lang w:eastAsia="he-IL"/>
    </w:rPr>
  </w:style>
  <w:style w:type="table" w:styleId="a4">
    <w:name w:val="Table Grid"/>
    <w:basedOn w:val="a1"/>
    <w:uiPriority w:val="39"/>
    <w:rsid w:val="00664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nhideWhenUsed/>
    <w:rsid w:val="00664AD3"/>
    <w:pPr>
      <w:widowControl w:val="0"/>
      <w:spacing w:after="0" w:line="240" w:lineRule="auto"/>
      <w:ind w:left="284" w:hanging="284"/>
      <w:jc w:val="both"/>
    </w:pPr>
    <w:rPr>
      <w:rFonts w:ascii="Times New Roman" w:hAnsi="Times New Roman" w:cs="David"/>
      <w:sz w:val="20"/>
      <w:szCs w:val="20"/>
    </w:rPr>
  </w:style>
  <w:style w:type="character" w:customStyle="1" w:styleId="a6">
    <w:name w:val="טקסט הערת שוליים תו"/>
    <w:basedOn w:val="a0"/>
    <w:link w:val="a5"/>
    <w:rsid w:val="00664AD3"/>
    <w:rPr>
      <w:rFonts w:ascii="Times New Roman" w:hAnsi="Times New Roman" w:cs="David"/>
      <w:sz w:val="20"/>
      <w:szCs w:val="20"/>
    </w:rPr>
  </w:style>
  <w:style w:type="character" w:styleId="a7">
    <w:name w:val="footnote reference"/>
    <w:basedOn w:val="a0"/>
    <w:unhideWhenUsed/>
    <w:rsid w:val="00664A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vo.co.il/case/5743107"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evo.co.il/law/70301/301" TargetMode="External"/><Relationship Id="rId2" Type="http://schemas.openxmlformats.org/officeDocument/2006/relationships/hyperlink" Target="http://www.nevo.co.il/case/5743107" TargetMode="External"/><Relationship Id="rId1" Type="http://schemas.openxmlformats.org/officeDocument/2006/relationships/hyperlink" Target="http://www.nevo.co.il/case/5743107"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3EB24A-C505-4FFA-A742-68B3446926A2}"/>
</file>

<file path=customXml/itemProps2.xml><?xml version="1.0" encoding="utf-8"?>
<ds:datastoreItem xmlns:ds="http://schemas.openxmlformats.org/officeDocument/2006/customXml" ds:itemID="{112B8D63-E590-4E13-A608-92E0CA8406FA}"/>
</file>

<file path=customXml/itemProps3.xml><?xml version="1.0" encoding="utf-8"?>
<ds:datastoreItem xmlns:ds="http://schemas.openxmlformats.org/officeDocument/2006/customXml" ds:itemID="{DD03E2A8-B266-4DD4-BE1D-47D8420D3DE0}"/>
</file>

<file path=docProps/app.xml><?xml version="1.0" encoding="utf-8"?>
<Properties xmlns="http://schemas.openxmlformats.org/officeDocument/2006/extended-properties" xmlns:vt="http://schemas.openxmlformats.org/officeDocument/2006/docPropsVTypes">
  <Template>Normal</Template>
  <TotalTime>1</TotalTime>
  <Pages>13</Pages>
  <Words>4019</Words>
  <Characters>20096</Characters>
  <Application>Microsoft Office Word</Application>
  <DocSecurity>4</DocSecurity>
  <Lines>167</Lines>
  <Paragraphs>48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cp:lastPrinted>2016-07-19T05:29:00Z</cp:lastPrinted>
  <dcterms:created xsi:type="dcterms:W3CDTF">2016-07-20T07:59:00Z</dcterms:created>
  <dcterms:modified xsi:type="dcterms:W3CDTF">2016-07-20T07:59:00Z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2005702</vt:r8>
  </property>
</Properties>
</file>