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563546</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125305">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אורי מקלב</w:t>
      </w:r>
      <w:r>
        <w:br/>
      </w:r>
      <w:r>
        <w:rPr>
          <w:rFonts w:hint="cs"/>
          <w:b/>
          <w:bCs/>
          <w:rtl/>
        </w:rPr>
        <w:t xml:space="preserve"> </w:t>
      </w:r>
      <w:r>
        <w:tab/>
      </w:r>
      <w:r>
        <w:tab/>
      </w:r>
      <w:r>
        <w:tab/>
      </w:r>
      <w:r>
        <w:tab/>
      </w:r>
      <w:r>
        <w:rPr>
          <w:rFonts w:hint="cs"/>
          <w:b/>
          <w:bCs/>
          <w:rtl/>
        </w:rPr>
        <w:t>משה גפני</w:t>
      </w:r>
      <w:bookmarkEnd w:id="3"/>
    </w:p>
    <w:p w14:paraId="7F6961AA" w14:textId="77777777" w:rsidR="00E13C27" w:rsidRPr="00CF1AA2" w:rsidRDefault="007D585A" w:rsidP="00CF1AA2">
      <w:pPr>
        <w:pStyle w:val="David"/>
        <w:ind w:left="3544"/>
        <w:rPr>
          <w:b/>
          <w:bCs/>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14="http://schemas.microsoft.com/office/drawing/2010/main" xmlns:a="http://schemas.openxmlformats.org/drawingml/2006/main">
            <w:pict>
              <v:polyline id="Freeform 7"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spid="_x0000_s1026" filled="f" points=".1pt,5.1pt,305.55pt,3.75pt" w14:anchorId="21D283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6" w:name="Private_Number"/>
      <w:r>
        <w:rPr>
          <w:rFonts w:hint="cs"/>
          <w:rtl/>
        </w:rPr>
        <w:t>פ/1164/20</w:t>
      </w:r>
      <w:bookmarkEnd w:id="6"/>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E" w14:textId="6642FCCD" w:rsidR="00E13C27" w:rsidRDefault="00A443CF" w:rsidP="00D61902">
      <w:pPr>
        <w:pStyle w:val="HeadHatzaotHok"/>
        <w:rPr>
          <w:rtl/>
        </w:rPr>
      </w:pPr>
      <w:bookmarkStart w:id="7" w:name="LGS_Subject"/>
      <w:r>
        <w:rPr>
          <w:rFonts w:hint="cs"/>
          <w:rtl/>
        </w:rPr>
        <w:t>הצעת חוק חוזה הביטוח (תיקון – פיצויים לדוגמה בשל חוסר תום לב בבירור חבות תגמולי הביטוח), התשע"ה–2015</w:t>
      </w:r>
      <w:bookmarkEnd w:id="7"/>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
      <w:tr w:rsidR="00CB63D7" w:rsidRPr="00C34DE2" w14:paraId="26791307" w14:textId="77777777" w:rsidTr="004D7476">
        <w:trPr>
          <w:cantSplit/>
          <w:trHeight w:val="60"/>
        </w:trPr>
        <w:tc>
          <w:tcPr>
            <w:tcW w:w="1871" w:type="dxa"/>
          </w:tcPr>
          <w:p w14:paraId="0FF64417" w14:textId="77777777" w:rsidR="00CB63D7" w:rsidRDefault="00CB63D7" w:rsidP="004D7476">
            <w:pPr>
              <w:pStyle w:val="TableSideHeading"/>
              <w:keepLines w:val="0"/>
            </w:pPr>
            <w:r>
              <w:rPr>
                <w:rFonts w:hint="cs"/>
                <w:rtl/>
              </w:rPr>
              <w:t>הוספת סעיף 27א</w:t>
            </w:r>
          </w:p>
        </w:tc>
        <w:tc>
          <w:tcPr>
            <w:tcW w:w="624" w:type="dxa"/>
          </w:tcPr>
          <w:p w14:paraId="759EE5BF" w14:textId="77777777" w:rsidR="00CB63D7" w:rsidRDefault="00CB63D7" w:rsidP="004D7476">
            <w:pPr>
              <w:pStyle w:val="TableText"/>
              <w:keepLines w:val="0"/>
            </w:pPr>
            <w:r>
              <w:rPr>
                <w:rFonts w:hint="cs"/>
                <w:rtl/>
              </w:rPr>
              <w:t>1.</w:t>
            </w:r>
          </w:p>
        </w:tc>
        <w:tc>
          <w:tcPr>
            <w:tcW w:w="7146" w:type="dxa"/>
            <w:gridSpan w:val="3"/>
          </w:tcPr>
          <w:p w14:paraId="6BE0B47D" w14:textId="77777777" w:rsidR="00CB63D7" w:rsidRPr="00C34DE2" w:rsidRDefault="00CB63D7" w:rsidP="004D7476">
            <w:pPr>
              <w:pStyle w:val="TableBlock"/>
              <w:keepLines w:val="0"/>
            </w:pPr>
            <w:r>
              <w:rPr>
                <w:rFonts w:hint="cs"/>
                <w:rtl/>
              </w:rPr>
              <w:t>בחוק חוזה הביטוח, התשמ"א</w:t>
            </w:r>
            <w:r>
              <w:rPr>
                <w:rFonts w:hint="eastAsia"/>
                <w:rtl/>
              </w:rPr>
              <w:t>–</w:t>
            </w:r>
            <w:r>
              <w:rPr>
                <w:rFonts w:hint="cs"/>
                <w:rtl/>
              </w:rPr>
              <w:t>1981</w:t>
            </w:r>
            <w:r>
              <w:rPr>
                <w:rStyle w:val="a6"/>
                <w:rtl/>
              </w:rPr>
              <w:footnoteReference w:id="2"/>
            </w:r>
            <w:r>
              <w:rPr>
                <w:rFonts w:hint="cs"/>
                <w:rtl/>
              </w:rPr>
              <w:t>, אחרי סעיף 27 יבוא:</w:t>
            </w:r>
          </w:p>
        </w:tc>
      </w:tr>
      <w:tr w:rsidR="00CB63D7" w14:paraId="62AFD789" w14:textId="77777777" w:rsidTr="004D7476">
        <w:trPr>
          <w:cantSplit/>
          <w:trHeight w:val="60"/>
        </w:trPr>
        <w:tc>
          <w:tcPr>
            <w:tcW w:w="1871" w:type="dxa"/>
          </w:tcPr>
          <w:p w14:paraId="0DDBB183" w14:textId="77777777" w:rsidR="00CB63D7" w:rsidRDefault="00CB63D7" w:rsidP="004D7476">
            <w:pPr>
              <w:pStyle w:val="TableSideHeading"/>
              <w:keepLines w:val="0"/>
            </w:pPr>
          </w:p>
        </w:tc>
        <w:tc>
          <w:tcPr>
            <w:tcW w:w="624" w:type="dxa"/>
          </w:tcPr>
          <w:p w14:paraId="4035AA62" w14:textId="77777777" w:rsidR="00CB63D7" w:rsidRDefault="00CB63D7" w:rsidP="004D7476">
            <w:pPr>
              <w:pStyle w:val="TableText"/>
              <w:keepLines w:val="0"/>
            </w:pPr>
          </w:p>
        </w:tc>
        <w:tc>
          <w:tcPr>
            <w:tcW w:w="1872" w:type="dxa"/>
          </w:tcPr>
          <w:p w14:paraId="65D6497E" w14:textId="77777777" w:rsidR="00CB63D7" w:rsidRDefault="00CB63D7" w:rsidP="004D7476">
            <w:pPr>
              <w:pStyle w:val="TableInnerSideHeading"/>
            </w:pPr>
            <w:r>
              <w:rPr>
                <w:rFonts w:hint="cs"/>
                <w:rtl/>
              </w:rPr>
              <w:t xml:space="preserve">"פיצויים לדוגמה בשל חוסר תום לב בבירור חבות תגמולי הביטוח </w:t>
            </w:r>
          </w:p>
        </w:tc>
        <w:tc>
          <w:tcPr>
            <w:tcW w:w="624" w:type="dxa"/>
          </w:tcPr>
          <w:p w14:paraId="68CE4315" w14:textId="77777777" w:rsidR="00CB63D7" w:rsidRDefault="00CB63D7" w:rsidP="004D7476">
            <w:pPr>
              <w:pStyle w:val="TableText"/>
            </w:pPr>
            <w:r>
              <w:rPr>
                <w:rFonts w:hint="cs"/>
                <w:rtl/>
              </w:rPr>
              <w:t>27א.</w:t>
            </w:r>
          </w:p>
        </w:tc>
        <w:tc>
          <w:tcPr>
            <w:tcW w:w="4650" w:type="dxa"/>
          </w:tcPr>
          <w:p w14:paraId="4BF07470" w14:textId="77777777" w:rsidR="00CB63D7" w:rsidRDefault="00CB63D7" w:rsidP="004D7476">
            <w:pPr>
              <w:pStyle w:val="TableBlock"/>
            </w:pPr>
            <w:r>
              <w:rPr>
                <w:rFonts w:hint="cs"/>
                <w:rtl/>
              </w:rPr>
              <w:t xml:space="preserve">נהג המבטח בחוסר תום לב בבירור חבות תגמולי הביטוח, רשאי בית המשפט לפסוק פיצויים שאינם תלויים בנזק </w:t>
            </w:r>
            <w:r w:rsidRPr="002426B0">
              <w:rPr>
                <w:rFonts w:hint="cs"/>
                <w:rtl/>
              </w:rPr>
              <w:t>לטובת המבוטח</w:t>
            </w:r>
            <w:r>
              <w:rPr>
                <w:rFonts w:hint="cs"/>
                <w:rtl/>
              </w:rPr>
              <w:t>, בסכום שלא יעלה על כפל תגמולי הביטוח להם זכאי המבוטח."</w:t>
            </w:r>
          </w:p>
        </w:tc>
      </w:tr>
    </w:tbl>
    <w:p w14:paraId="7F6961CA" w14:textId="77777777" w:rsidR="002D1EE3" w:rsidRDefault="002D1EE3" w:rsidP="002D1EE3">
      <w:pPr>
        <w:pStyle w:val="HeadDivreiHesber"/>
        <w:rPr>
          <w:rtl/>
        </w:rPr>
      </w:pPr>
      <w:r w:rsidRPr="0027450A">
        <w:rPr>
          <w:rFonts w:hint="cs"/>
          <w:rtl/>
        </w:rPr>
        <w:t>דברי הסבר</w:t>
      </w:r>
    </w:p>
    <w:p w14:paraId="51621EF0" w14:textId="6DC08F65" w:rsidR="00CB63D7" w:rsidRPr="0014557A" w:rsidRDefault="00CB63D7" w:rsidP="00D61902">
      <w:pPr>
        <w:pStyle w:val="Hesber"/>
        <w:rPr>
          <w:rtl/>
        </w:rPr>
      </w:pPr>
      <w:r w:rsidRPr="0014557A">
        <w:rPr>
          <w:rFonts w:hint="cs"/>
          <w:rtl/>
        </w:rPr>
        <w:t>תביעות של מבוטחים מוכחשות על ידי חברות הביטוח פעמים רבות, דבר המחייב את המבוטח לפנות לערכאות על מנת לקבל את תגמולי הביטוח המגיעים לו.</w:t>
      </w:r>
      <w:r>
        <w:rPr>
          <w:rFonts w:hint="cs"/>
          <w:rtl/>
        </w:rPr>
        <w:t xml:space="preserve"> בין חברות הביטוח לבין לקוחותיהן</w:t>
      </w:r>
      <w:r w:rsidRPr="0014557A">
        <w:rPr>
          <w:rFonts w:hint="cs"/>
          <w:rtl/>
        </w:rPr>
        <w:t xml:space="preserve"> שורר חוסר שיווי משקל מובהק. המאמץ המוטל על אזרח מן השורה אשר נדרש לפנות לערכאות כבד בהרבה</w:t>
      </w:r>
      <w:r w:rsidR="00125305">
        <w:rPr>
          <w:rFonts w:hint="cs"/>
          <w:rtl/>
        </w:rPr>
        <w:t xml:space="preserve"> מזה המוטל על </w:t>
      </w:r>
      <w:r w:rsidRPr="0014557A">
        <w:rPr>
          <w:rFonts w:hint="cs"/>
          <w:rtl/>
        </w:rPr>
        <w:t xml:space="preserve">חברת ביטוח. עצם הפנייה לערכאות מרתיעה אזרחים רבים. כמו כן, אזרח הפונה לערכאות לוקח סיכון גדול בהרבה מחברת ביטוח, המעסיקה עורכי דין רבים בחוזה קבוע. לחברות הביטוח יש תמריצים לעכב הליכים וליצור עינוי דין,  ולמבוטחים קשה להתמודד מולן. </w:t>
      </w:r>
    </w:p>
    <w:p w14:paraId="3C49C989" w14:textId="77777777" w:rsidR="00CB63D7" w:rsidRPr="0014557A" w:rsidRDefault="00CB63D7" w:rsidP="00D61902">
      <w:pPr>
        <w:pStyle w:val="Hesber"/>
        <w:rPr>
          <w:rtl/>
        </w:rPr>
      </w:pPr>
      <w:r w:rsidRPr="0014557A">
        <w:rPr>
          <w:rFonts w:hint="cs"/>
          <w:rtl/>
        </w:rPr>
        <w:t xml:space="preserve">בתי המשפט פסקו בעבר </w:t>
      </w:r>
      <w:r>
        <w:rPr>
          <w:rFonts w:hint="cs"/>
          <w:rtl/>
        </w:rPr>
        <w:t>באופן</w:t>
      </w:r>
      <w:r w:rsidRPr="0014557A">
        <w:rPr>
          <w:rFonts w:hint="cs"/>
          <w:rtl/>
        </w:rPr>
        <w:t xml:space="preserve"> המחמיר עם חברות ביטוח אשר פעלו בחוסר תום לב בבירור חבות תגמולי הביטוח, אולם אין בכך די, וזאת מכמה טעמים: ראשית, השופטים מוגבלים בגובה הפיצוי שהם רשאים לפסוק על פי חוק. שנית, מבוטחים רבים נרתעים מההליך המשפטי ולא מביאים את עניינם כלל בפני בית המשפט.</w:t>
      </w:r>
    </w:p>
    <w:p w14:paraId="08477C6C" w14:textId="77777777" w:rsidR="00125305" w:rsidRDefault="00CB63D7" w:rsidP="00D61902">
      <w:pPr>
        <w:pStyle w:val="Hesber"/>
        <w:ind w:firstLine="0"/>
        <w:rPr>
          <w:rtl/>
        </w:rPr>
      </w:pPr>
      <w:r w:rsidRPr="0014557A">
        <w:rPr>
          <w:rFonts w:hint="cs"/>
          <w:rtl/>
        </w:rPr>
        <w:t xml:space="preserve">לפיכך, מוצע לאפשר לבית המשפט לפסוק פיצוי עונשי לחברת ביטוח שנהגה בחוסר תום לב בבירור חבות תגמולי הביטוח. בית המשפט, על פי בקשת התובע, יוכל לבדוק מה המידע שעמד בפני חברת הביטוח בעת שסירבה לדרישת התגמולים של הלקוח. אם יתרשם כי המבטח התנער מחובת תשלום </w:t>
      </w:r>
      <w:r w:rsidR="00125305" w:rsidRPr="0014557A">
        <w:rPr>
          <w:rFonts w:hint="cs"/>
          <w:rtl/>
        </w:rPr>
        <w:t>תגמולי הביטוח, כולה או חלקה, שלא בתום לב, יוכל בית המשפט לפסוק לו פיצוי עונשי בגובה עד כפל התגמול לו זכאי המבוטח.</w:t>
      </w:r>
    </w:p>
    <w:p w14:paraId="72B6588D" w14:textId="77777777" w:rsidR="00CB63D7" w:rsidRPr="0014557A" w:rsidRDefault="00CB63D7" w:rsidP="00D61902">
      <w:pPr>
        <w:pStyle w:val="Hesber"/>
        <w:rPr>
          <w:rtl/>
        </w:rPr>
      </w:pPr>
      <w:r w:rsidRPr="0014557A">
        <w:rPr>
          <w:rFonts w:hint="cs"/>
          <w:rtl/>
        </w:rPr>
        <w:lastRenderedPageBreak/>
        <w:t>התנהלות בלתי הוגנת שבשלה המבוטח נאלץ לפנות לבית המשפט היא מעשה חמור, המצדיק חריגה מעקרון ההשבה ומתן אפשרות להטלת פיצוי עונשי.</w:t>
      </w:r>
    </w:p>
    <w:p w14:paraId="58701860" w14:textId="77777777" w:rsidR="00CB63D7" w:rsidRDefault="00CB63D7" w:rsidP="00D61902">
      <w:pPr>
        <w:pStyle w:val="Hesber"/>
        <w:rPr>
          <w:rtl/>
        </w:rPr>
      </w:pPr>
      <w:r w:rsidRPr="009B2085">
        <w:rPr>
          <w:rFonts w:hint="cs"/>
          <w:rtl/>
        </w:rPr>
        <w:t>הצעת חוק דומה בעיקרה הונחה על שולחן הכנסת השמונה-עשרה על ידי חבר הכנסת אורי אריאל (פ/4086/18).</w:t>
      </w:r>
    </w:p>
    <w:p w14:paraId="1A1A11DC" w14:textId="0F084FE0" w:rsidR="00CB63D7" w:rsidRDefault="00CB63D7" w:rsidP="00D61902">
      <w:pPr>
        <w:pStyle w:val="Hesber"/>
        <w:rPr>
          <w:rtl/>
        </w:rPr>
      </w:pPr>
      <w:r w:rsidRPr="0014557A">
        <w:rPr>
          <w:rFonts w:hint="cs"/>
          <w:rtl/>
        </w:rPr>
        <w:t xml:space="preserve">הצעת חוק </w:t>
      </w:r>
      <w:r>
        <w:rPr>
          <w:rFonts w:hint="cs"/>
          <w:rtl/>
        </w:rPr>
        <w:t>זה</w:t>
      </w:r>
      <w:r w:rsidR="00235785">
        <w:rPr>
          <w:rFonts w:hint="cs"/>
          <w:rtl/>
        </w:rPr>
        <w:t>ות</w:t>
      </w:r>
      <w:r>
        <w:rPr>
          <w:rFonts w:hint="cs"/>
          <w:rtl/>
        </w:rPr>
        <w:t xml:space="preserve"> הונח</w:t>
      </w:r>
      <w:r w:rsidR="00235785">
        <w:rPr>
          <w:rFonts w:hint="cs"/>
          <w:rtl/>
        </w:rPr>
        <w:t>ו</w:t>
      </w:r>
      <w:r w:rsidRPr="0014557A">
        <w:rPr>
          <w:rFonts w:hint="cs"/>
          <w:rtl/>
        </w:rPr>
        <w:t xml:space="preserve"> על שולחן הכנסת השמונה-עשרה על ידי </w:t>
      </w:r>
      <w:r>
        <w:rPr>
          <w:rFonts w:hint="cs"/>
          <w:rtl/>
        </w:rPr>
        <w:t>חבר הכנסת אורי מקלב (</w:t>
      </w:r>
      <w:r w:rsidRPr="004C7705">
        <w:rPr>
          <w:rtl/>
        </w:rPr>
        <w:t>פ/4303/18</w:t>
      </w:r>
      <w:r>
        <w:rPr>
          <w:rFonts w:hint="cs"/>
          <w:rtl/>
        </w:rPr>
        <w:t>)</w:t>
      </w:r>
      <w:r w:rsidR="00235785">
        <w:rPr>
          <w:rFonts w:hint="cs"/>
          <w:rtl/>
        </w:rPr>
        <w:t xml:space="preserve"> ועל </w:t>
      </w:r>
      <w:r>
        <w:rPr>
          <w:rFonts w:hint="cs"/>
          <w:rtl/>
        </w:rPr>
        <w:t xml:space="preserve">שולחן הכנסת התשע-עשרה על ידי חבר הכנסת אורי מקלב וקבוצת חברי </w:t>
      </w:r>
      <w:r w:rsidR="00D61902">
        <w:rPr>
          <w:rFonts w:hint="cs"/>
          <w:rtl/>
        </w:rPr>
        <w:t>ה</w:t>
      </w:r>
      <w:r>
        <w:rPr>
          <w:rFonts w:hint="cs"/>
          <w:rtl/>
        </w:rPr>
        <w:t>כנסת (</w:t>
      </w:r>
      <w:r w:rsidRPr="00A84B47">
        <w:rPr>
          <w:rtl/>
        </w:rPr>
        <w:t>פ/11/19</w:t>
      </w:r>
      <w:r>
        <w:rPr>
          <w:rFonts w:hint="cs"/>
          <w:rtl/>
        </w:rPr>
        <w:t>)</w:t>
      </w:r>
      <w:r w:rsidR="00235785">
        <w:rPr>
          <w:rFonts w:hint="cs"/>
          <w:rtl/>
        </w:rPr>
        <w:t xml:space="preserve"> ועל ידי חבר הכנסת אלעזר שטרן וקבוצת חברי הכנסת (פ/2741/19).</w:t>
      </w:r>
    </w:p>
    <w:p w14:paraId="341FBB74" w14:textId="77777777" w:rsidR="00D61902" w:rsidRDefault="00D61902" w:rsidP="00D61902">
      <w:pPr>
        <w:pStyle w:val="Hesber"/>
        <w:rPr>
          <w:rFonts w:hint="cs"/>
          <w:rtl/>
        </w:rPr>
      </w:pPr>
    </w:p>
    <w:p w14:paraId="6904016F" w14:textId="77777777" w:rsidR="00D61902" w:rsidRDefault="00D61902" w:rsidP="00D61902">
      <w:pPr>
        <w:pStyle w:val="Hesber"/>
        <w:rPr>
          <w:rFonts w:hint="cs"/>
          <w:rtl/>
        </w:rPr>
      </w:pPr>
    </w:p>
    <w:p w14:paraId="256D144F" w14:textId="77777777" w:rsidR="00D61902" w:rsidRDefault="00D61902" w:rsidP="00D61902">
      <w:pPr>
        <w:pStyle w:val="Hesber"/>
        <w:rPr>
          <w:rFonts w:hint="cs"/>
          <w:rtl/>
        </w:rPr>
      </w:pPr>
    </w:p>
    <w:p w14:paraId="6AD88FC0" w14:textId="77777777" w:rsidR="00125305" w:rsidRDefault="00125305" w:rsidP="00D61902">
      <w:pPr>
        <w:pStyle w:val="Hesber"/>
      </w:pPr>
      <w:bookmarkStart w:id="8" w:name="_GoBack"/>
      <w:bookmarkEnd w:id="8"/>
      <w:r>
        <w:rPr>
          <w:rFonts w:hint="cs"/>
          <w:rtl/>
        </w:rPr>
        <w:t>---------------------------------</w:t>
      </w:r>
    </w:p>
    <w:p w14:paraId="110FB895" w14:textId="77777777" w:rsidR="00125305" w:rsidRDefault="00125305" w:rsidP="00D61902">
      <w:pPr>
        <w:pStyle w:val="Hesber"/>
        <w:rPr>
          <w:rtl/>
        </w:rPr>
      </w:pPr>
      <w:r>
        <w:rPr>
          <w:rFonts w:hint="cs"/>
          <w:rtl/>
        </w:rPr>
        <w:t>הוגשה ליו"ר הכנסת והסגנים</w:t>
      </w:r>
    </w:p>
    <w:p w14:paraId="2328DAF6" w14:textId="77777777" w:rsidR="00125305" w:rsidRDefault="00125305" w:rsidP="00D61902">
      <w:pPr>
        <w:pStyle w:val="Hesber"/>
        <w:rPr>
          <w:rtl/>
        </w:rPr>
      </w:pPr>
      <w:r>
        <w:rPr>
          <w:rFonts w:hint="cs"/>
          <w:rtl/>
        </w:rPr>
        <w:t>והונחה על שולחן הכנסת ביום</w:t>
      </w:r>
    </w:p>
    <w:p w14:paraId="7164D6FF" w14:textId="77777777" w:rsidR="00125305" w:rsidRDefault="00125305" w:rsidP="00D61902">
      <w:pPr>
        <w:pStyle w:val="Hesber"/>
        <w:rPr>
          <w:rtl/>
        </w:rPr>
      </w:pPr>
      <w:r>
        <w:rPr>
          <w:rFonts w:hint="cs"/>
          <w:rtl/>
        </w:rPr>
        <w:t>י"ד בסיוון התשע"ה – 1.6.15</w:t>
      </w:r>
    </w:p>
    <w:p w14:paraId="4498E75A" w14:textId="77777777" w:rsidR="00125305" w:rsidRPr="004A4098" w:rsidRDefault="00125305" w:rsidP="00935520">
      <w:pPr>
        <w:ind w:left="340" w:firstLine="0"/>
        <w:rPr>
          <w:rFonts w:ascii="Arial" w:eastAsia="Arial Unicode MS" w:hAnsi="Arial" w:cs="David"/>
          <w:snapToGrid w:val="0"/>
          <w:spacing w:val="0"/>
          <w:sz w:val="20"/>
          <w:szCs w:val="26"/>
          <w:rtl/>
        </w:rPr>
      </w:pPr>
    </w:p>
    <w:p w14:paraId="7F6961CB" w14:textId="3FE6163E" w:rsidR="00E13C27" w:rsidRDefault="00E13C27" w:rsidP="00125305">
      <w:pPr>
        <w:spacing w:line="360" w:lineRule="auto"/>
        <w:rPr>
          <w:rtl/>
        </w:rPr>
      </w:pP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D61902">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0EEC7D5C" w14:textId="77777777" w:rsidR="00CB63D7" w:rsidRDefault="00CB63D7" w:rsidP="00CB63D7">
      <w:pPr>
        <w:pStyle w:val="a4"/>
      </w:pPr>
      <w:r>
        <w:rPr>
          <w:rStyle w:val="a6"/>
        </w:rPr>
        <w:footnoteRef/>
      </w:r>
      <w:r>
        <w:rPr>
          <w:rtl/>
        </w:rPr>
        <w:t xml:space="preserve"> </w:t>
      </w:r>
      <w:r>
        <w:rPr>
          <w:rFonts w:hint="cs"/>
          <w:rtl/>
        </w:rPr>
        <w:t>ס"ח התשמ"א, עמ' 94.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5305"/>
    <w:rsid w:val="001279A8"/>
    <w:rsid w:val="0014195F"/>
    <w:rsid w:val="00152609"/>
    <w:rsid w:val="00153E1B"/>
    <w:rsid w:val="001A0623"/>
    <w:rsid w:val="001C23B0"/>
    <w:rsid w:val="00203A7F"/>
    <w:rsid w:val="002200A1"/>
    <w:rsid w:val="00235785"/>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B24ED"/>
    <w:rsid w:val="004D2D82"/>
    <w:rsid w:val="004D3876"/>
    <w:rsid w:val="004E4552"/>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B10265"/>
    <w:rsid w:val="00B21211"/>
    <w:rsid w:val="00B35784"/>
    <w:rsid w:val="00B733A7"/>
    <w:rsid w:val="00B975AD"/>
    <w:rsid w:val="00BC45FB"/>
    <w:rsid w:val="00BF148D"/>
    <w:rsid w:val="00C23B1A"/>
    <w:rsid w:val="00C310EB"/>
    <w:rsid w:val="00C9176A"/>
    <w:rsid w:val="00CB63D7"/>
    <w:rsid w:val="00CF1AA2"/>
    <w:rsid w:val="00D6190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semiHidden/>
    <w:rsid w:val="00CB63D7"/>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semiHidden/>
    <w:rsid w:val="00CB63D7"/>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B9508E-6A52-4E8F-8A79-00BBDF10B1A5}"/>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0399A169-1945-420B-8BA9-524DDE264CDB}"/>
</file>

<file path=docProps/app.xml><?xml version="1.0" encoding="utf-8"?>
<Properties xmlns="http://schemas.openxmlformats.org/officeDocument/2006/extended-properties" xmlns:vt="http://schemas.openxmlformats.org/officeDocument/2006/docPropsVTypes">
  <Template>Normal</Template>
  <TotalTime>6</TotalTime>
  <Pages>2</Pages>
  <Words>370</Words>
  <Characters>1855</Characters>
  <Application>Microsoft Office Word</Application>
  <DocSecurity>0</DocSecurity>
  <Lines>15</Lines>
  <Paragraphs>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רשומות</vt:lpstr>
      <vt:lpstr>רשומות</vt:lpstr>
    </vt:vector>
  </TitlesOfParts>
  <Company>Knesset</Company>
  <LinksUpToDate>false</LinksUpToDate>
  <CharactersWithSpaces>2221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דפנה ברנאי</cp:lastModifiedBy>
  <cp:revision>6</cp:revision>
  <cp:lastPrinted>2015-05-27T06:47:00Z</cp:lastPrinted>
  <dcterms:created xsi:type="dcterms:W3CDTF">2015-03-26T08:06:00Z</dcterms:created>
  <dcterms:modified xsi:type="dcterms:W3CDTF">2015-05-27T06:47:00Z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2006168</vt:r8>
  </property>
</Properties>
</file>