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BE2958" w14:textId="77777777" w:rsidR="00363AA3" w:rsidRPr="0075592E" w:rsidRDefault="00363AA3" w:rsidP="00363AA3">
      <w:pPr>
        <w:pStyle w:val="HeadMitparsemetBaze"/>
        <w:rPr>
          <w:color w:val="auto"/>
        </w:rPr>
      </w:pPr>
      <w:r w:rsidRPr="0075592E">
        <w:rPr>
          <w:rFonts w:hint="cs"/>
          <w:color w:val="auto"/>
          <w:rtl/>
        </w:rPr>
        <w:t>מתפרסמת בזה הצעת חוק</w:t>
      </w:r>
      <w:r>
        <w:rPr>
          <w:rFonts w:hint="cs"/>
          <w:color w:val="auto"/>
          <w:rtl/>
        </w:rPr>
        <w:t xml:space="preserve"> </w:t>
      </w:r>
      <w:bookmarkStart w:id="0" w:name="By"/>
      <w:r>
        <w:rPr>
          <w:rFonts w:hint="cs"/>
          <w:color w:val="auto"/>
          <w:rtl/>
        </w:rPr>
        <w:t>מטעם ועדת החוקה, חוק ומשפט של הכנסת</w:t>
      </w:r>
      <w:bookmarkEnd w:id="0"/>
      <w:r>
        <w:rPr>
          <w:rFonts w:hint="cs"/>
          <w:color w:val="auto"/>
          <w:rtl/>
        </w:rPr>
        <w:t>:</w:t>
      </w:r>
    </w:p>
    <w:p w14:paraId="56450429" w14:textId="4646E379" w:rsidR="00363AA3" w:rsidRDefault="00363AA3" w:rsidP="000A0DBD">
      <w:pPr>
        <w:pStyle w:val="HeadHatzaotHok"/>
        <w:keepNext w:val="0"/>
        <w:keepLines w:val="0"/>
        <w:rPr>
          <w:rtl/>
        </w:rPr>
      </w:pPr>
      <w:r>
        <w:rPr>
          <w:rtl/>
        </w:rPr>
        <w:t>הצעת חו</w:t>
      </w:r>
      <w:r>
        <w:rPr>
          <w:rFonts w:hint="cs"/>
          <w:rtl/>
        </w:rPr>
        <w:t>ק הבחירות לכנסת</w:t>
      </w:r>
      <w:r w:rsidRPr="00CF5BDF">
        <w:rPr>
          <w:rFonts w:hint="cs"/>
          <w:rtl/>
        </w:rPr>
        <w:t xml:space="preserve"> </w:t>
      </w:r>
      <w:r>
        <w:rPr>
          <w:rFonts w:hint="cs"/>
          <w:rtl/>
        </w:rPr>
        <w:t xml:space="preserve">(תיקון </w:t>
      </w:r>
      <w:r w:rsidRPr="00650739">
        <w:rPr>
          <w:rFonts w:hint="cs"/>
          <w:rtl/>
        </w:rPr>
        <w:t>מס'</w:t>
      </w:r>
      <w:r w:rsidR="000A0DBD">
        <w:rPr>
          <w:rFonts w:hint="cs"/>
          <w:rtl/>
        </w:rPr>
        <w:t xml:space="preserve"> 67</w:t>
      </w:r>
      <w:r w:rsidRPr="00650739">
        <w:rPr>
          <w:rFonts w:hint="cs"/>
          <w:rtl/>
        </w:rPr>
        <w:t xml:space="preserve">) </w:t>
      </w:r>
      <w:r w:rsidRPr="00650739">
        <w:rPr>
          <w:rtl/>
        </w:rPr>
        <w:t>(</w:t>
      </w:r>
      <w:r w:rsidRPr="00650739">
        <w:rPr>
          <w:rFonts w:hint="cs"/>
          <w:rtl/>
        </w:rPr>
        <w:t>הוראות שונות)</w:t>
      </w:r>
      <w:r w:rsidRPr="00650739">
        <w:rPr>
          <w:rtl/>
        </w:rPr>
        <w:t>,</w:t>
      </w:r>
      <w:r w:rsidRPr="00650739">
        <w:rPr>
          <w:rFonts w:hint="cs"/>
          <w:rtl/>
        </w:rPr>
        <w:t xml:space="preserve"> </w:t>
      </w:r>
      <w:proofErr w:type="spellStart"/>
      <w:r w:rsidRPr="00650739">
        <w:rPr>
          <w:rFonts w:hint="cs"/>
          <w:rtl/>
        </w:rPr>
        <w:t>התשע</w:t>
      </w:r>
      <w:r>
        <w:rPr>
          <w:rFonts w:hint="cs"/>
          <w:rtl/>
        </w:rPr>
        <w:t>"ו</w:t>
      </w:r>
      <w:proofErr w:type="spellEnd"/>
      <w:r>
        <w:rPr>
          <w:rFonts w:hint="eastAsia"/>
          <w:rtl/>
        </w:rPr>
        <w:t>–</w:t>
      </w:r>
      <w:r>
        <w:rPr>
          <w:rFonts w:hint="cs"/>
          <w:rtl/>
        </w:rPr>
        <w:t>2016</w:t>
      </w:r>
      <w:r>
        <w:rPr>
          <w:rStyle w:val="a8"/>
          <w:rtl/>
        </w:rPr>
        <w:footnoteReference w:customMarkFollows="1" w:id="1"/>
        <w:t>*</w:t>
      </w:r>
      <w:r>
        <w:rPr>
          <w:rFonts w:hint="cs"/>
          <w:rtl/>
        </w:rPr>
        <w:t xml:space="preserve"> </w:t>
      </w:r>
    </w:p>
    <w:p w14:paraId="30BD8804" w14:textId="77777777" w:rsidR="00363AA3" w:rsidRDefault="00363AA3" w:rsidP="00363AA3">
      <w:pPr>
        <w:pStyle w:val="HeadHatzaotHok"/>
        <w:keepNext w:val="0"/>
        <w:keepLines w:val="0"/>
        <w:spacing w:before="0"/>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tblGrid>
      <w:tr w:rsidR="00363AA3" w14:paraId="541A6AD9" w14:textId="77777777" w:rsidTr="00237F78">
        <w:trPr>
          <w:cantSplit/>
        </w:trPr>
        <w:tc>
          <w:tcPr>
            <w:tcW w:w="1870" w:type="dxa"/>
          </w:tcPr>
          <w:p w14:paraId="7217C33D" w14:textId="77777777" w:rsidR="00363AA3" w:rsidRDefault="00363AA3" w:rsidP="00237F78">
            <w:pPr>
              <w:pStyle w:val="TableSideHeading"/>
            </w:pPr>
          </w:p>
        </w:tc>
        <w:tc>
          <w:tcPr>
            <w:tcW w:w="624" w:type="dxa"/>
          </w:tcPr>
          <w:p w14:paraId="14A9E76F" w14:textId="77777777" w:rsidR="00363AA3" w:rsidRDefault="00363AA3" w:rsidP="00237F78">
            <w:pPr>
              <w:pStyle w:val="TableText"/>
            </w:pPr>
          </w:p>
        </w:tc>
        <w:tc>
          <w:tcPr>
            <w:tcW w:w="7145" w:type="dxa"/>
            <w:gridSpan w:val="5"/>
          </w:tcPr>
          <w:p w14:paraId="552052EE" w14:textId="77777777" w:rsidR="00363AA3" w:rsidRPr="00C34DE2" w:rsidRDefault="00363AA3" w:rsidP="00237F78">
            <w:pPr>
              <w:pStyle w:val="TableHead"/>
            </w:pPr>
            <w:r>
              <w:rPr>
                <w:rFonts w:hint="cs"/>
                <w:rtl/>
              </w:rPr>
              <w:t>פרק א': כתובת לצורכי בחירות</w:t>
            </w:r>
          </w:p>
        </w:tc>
      </w:tr>
      <w:tr w:rsidR="00363AA3" w:rsidRPr="00EE5228" w14:paraId="64CFBE26" w14:textId="77777777" w:rsidTr="00237F78">
        <w:trPr>
          <w:cantSplit/>
        </w:trPr>
        <w:tc>
          <w:tcPr>
            <w:tcW w:w="1870" w:type="dxa"/>
          </w:tcPr>
          <w:p w14:paraId="1481E060" w14:textId="77777777" w:rsidR="00363AA3" w:rsidRPr="00636ABA" w:rsidRDefault="00363AA3" w:rsidP="00237F78">
            <w:pPr>
              <w:pStyle w:val="TableSideHeading"/>
              <w:keepLines w:val="0"/>
            </w:pPr>
            <w:r w:rsidRPr="00636ABA">
              <w:rPr>
                <w:rFonts w:hint="cs"/>
                <w:rtl/>
              </w:rPr>
              <w:t>הוספת סימן א</w:t>
            </w:r>
            <w:r>
              <w:rPr>
                <w:rFonts w:hint="cs"/>
                <w:rtl/>
              </w:rPr>
              <w:t>'</w:t>
            </w:r>
            <w:r w:rsidRPr="00636ABA">
              <w:rPr>
                <w:rFonts w:hint="cs"/>
                <w:rtl/>
              </w:rPr>
              <w:t>1 לפרק ה</w:t>
            </w:r>
            <w:r>
              <w:rPr>
                <w:rFonts w:hint="cs"/>
                <w:rtl/>
              </w:rPr>
              <w:t>'</w:t>
            </w:r>
          </w:p>
        </w:tc>
        <w:tc>
          <w:tcPr>
            <w:tcW w:w="624" w:type="dxa"/>
          </w:tcPr>
          <w:p w14:paraId="558978AC" w14:textId="77777777" w:rsidR="00363AA3" w:rsidRPr="00636ABA" w:rsidRDefault="00363AA3" w:rsidP="00237F78">
            <w:pPr>
              <w:pStyle w:val="TableText"/>
              <w:keepLines w:val="0"/>
              <w:tabs>
                <w:tab w:val="clear" w:pos="624"/>
              </w:tabs>
            </w:pPr>
            <w:r w:rsidRPr="00636ABA">
              <w:rPr>
                <w:rFonts w:hint="cs"/>
                <w:rtl/>
              </w:rPr>
              <w:t>1.</w:t>
            </w:r>
          </w:p>
        </w:tc>
        <w:tc>
          <w:tcPr>
            <w:tcW w:w="7145" w:type="dxa"/>
            <w:gridSpan w:val="5"/>
          </w:tcPr>
          <w:p w14:paraId="15E7485C" w14:textId="77777777" w:rsidR="00363AA3" w:rsidRPr="00636ABA" w:rsidRDefault="00363AA3" w:rsidP="00237F78">
            <w:pPr>
              <w:pStyle w:val="TableBlock"/>
            </w:pPr>
            <w:r w:rsidRPr="00636ABA">
              <w:rPr>
                <w:rFonts w:hint="cs"/>
                <w:rtl/>
              </w:rPr>
              <w:t xml:space="preserve">בחוק הבחירות לכנסת [נוסח משולב], </w:t>
            </w:r>
            <w:proofErr w:type="spellStart"/>
            <w:r w:rsidRPr="00636ABA">
              <w:rPr>
                <w:rFonts w:hint="cs"/>
                <w:rtl/>
              </w:rPr>
              <w:t>התשכ"ט</w:t>
            </w:r>
            <w:proofErr w:type="spellEnd"/>
            <w:r>
              <w:rPr>
                <w:rFonts w:hint="eastAsia"/>
                <w:rtl/>
              </w:rPr>
              <w:t>–</w:t>
            </w:r>
            <w:r w:rsidRPr="00636ABA">
              <w:rPr>
                <w:rFonts w:hint="cs"/>
                <w:rtl/>
              </w:rPr>
              <w:t>1969</w:t>
            </w:r>
            <w:r w:rsidRPr="00636ABA">
              <w:rPr>
                <w:rStyle w:val="a8"/>
                <w:rtl/>
              </w:rPr>
              <w:footnoteReference w:id="2"/>
            </w:r>
            <w:r w:rsidRPr="00636ABA">
              <w:rPr>
                <w:rFonts w:hint="cs"/>
                <w:rtl/>
              </w:rPr>
              <w:t xml:space="preserve"> (להלן </w:t>
            </w:r>
            <w:r w:rsidRPr="00636ABA">
              <w:rPr>
                <w:rtl/>
              </w:rPr>
              <w:t>–</w:t>
            </w:r>
            <w:r w:rsidRPr="00636ABA">
              <w:rPr>
                <w:rFonts w:hint="cs"/>
                <w:rtl/>
              </w:rPr>
              <w:t xml:space="preserve"> החוק העיקרי), בפרק ה', אחרי סימן א' יבוא:</w:t>
            </w:r>
          </w:p>
        </w:tc>
      </w:tr>
      <w:tr w:rsidR="00363AA3" w:rsidRPr="00EE5228" w14:paraId="52ADFBE6" w14:textId="77777777" w:rsidTr="00237F78">
        <w:trPr>
          <w:cantSplit/>
        </w:trPr>
        <w:tc>
          <w:tcPr>
            <w:tcW w:w="1870" w:type="dxa"/>
          </w:tcPr>
          <w:p w14:paraId="10BE91A6" w14:textId="77777777" w:rsidR="00363AA3" w:rsidRPr="00EE5228" w:rsidRDefault="00363AA3" w:rsidP="00237F78">
            <w:pPr>
              <w:pStyle w:val="TableSideHeading"/>
            </w:pPr>
          </w:p>
        </w:tc>
        <w:tc>
          <w:tcPr>
            <w:tcW w:w="624" w:type="dxa"/>
          </w:tcPr>
          <w:p w14:paraId="79E6389C" w14:textId="77777777" w:rsidR="00363AA3" w:rsidRPr="00EE5228" w:rsidRDefault="00363AA3" w:rsidP="00237F78">
            <w:pPr>
              <w:pStyle w:val="TableText"/>
            </w:pPr>
          </w:p>
        </w:tc>
        <w:tc>
          <w:tcPr>
            <w:tcW w:w="7145" w:type="dxa"/>
            <w:gridSpan w:val="5"/>
          </w:tcPr>
          <w:p w14:paraId="1016B86E" w14:textId="77777777" w:rsidR="00363AA3" w:rsidRPr="00EE5228" w:rsidRDefault="00363AA3" w:rsidP="00237F78">
            <w:pPr>
              <w:pStyle w:val="TableHead"/>
            </w:pPr>
            <w:r w:rsidRPr="00EE5228">
              <w:rPr>
                <w:rFonts w:hint="cs"/>
                <w:rtl/>
              </w:rPr>
              <w:t>"סימן א</w:t>
            </w:r>
            <w:r>
              <w:rPr>
                <w:rFonts w:hint="cs"/>
                <w:rtl/>
              </w:rPr>
              <w:t>'</w:t>
            </w:r>
            <w:r w:rsidRPr="00EE5228">
              <w:rPr>
                <w:rFonts w:hint="cs"/>
                <w:rtl/>
              </w:rPr>
              <w:t xml:space="preserve">1: </w:t>
            </w:r>
            <w:r>
              <w:rPr>
                <w:rFonts w:hint="cs"/>
                <w:rtl/>
              </w:rPr>
              <w:t>כתובת</w:t>
            </w:r>
            <w:r w:rsidRPr="00EE5228">
              <w:rPr>
                <w:rFonts w:hint="cs"/>
                <w:rtl/>
              </w:rPr>
              <w:t xml:space="preserve"> לצ</w:t>
            </w:r>
            <w:r>
              <w:rPr>
                <w:rFonts w:hint="cs"/>
                <w:rtl/>
              </w:rPr>
              <w:t>ו</w:t>
            </w:r>
            <w:r w:rsidRPr="00EE5228">
              <w:rPr>
                <w:rFonts w:hint="cs"/>
                <w:rtl/>
              </w:rPr>
              <w:t>רכי בחירות</w:t>
            </w:r>
          </w:p>
        </w:tc>
      </w:tr>
      <w:tr w:rsidR="00363AA3" w:rsidRPr="00EE5228" w14:paraId="3ADD7A9A" w14:textId="77777777" w:rsidTr="00237F78">
        <w:trPr>
          <w:cantSplit/>
        </w:trPr>
        <w:tc>
          <w:tcPr>
            <w:tcW w:w="1870" w:type="dxa"/>
          </w:tcPr>
          <w:p w14:paraId="77A57946" w14:textId="080E9766" w:rsidR="00363AA3" w:rsidRPr="00EE5228" w:rsidRDefault="00363AA3" w:rsidP="00237F78">
            <w:pPr>
              <w:pStyle w:val="TableSideHeading"/>
              <w:keepLines w:val="0"/>
            </w:pPr>
          </w:p>
        </w:tc>
        <w:tc>
          <w:tcPr>
            <w:tcW w:w="624" w:type="dxa"/>
          </w:tcPr>
          <w:p w14:paraId="222A60A7" w14:textId="77777777" w:rsidR="00363AA3" w:rsidRPr="00EE5228" w:rsidRDefault="00363AA3" w:rsidP="00237F78">
            <w:pPr>
              <w:pStyle w:val="TableText"/>
              <w:keepLines w:val="0"/>
            </w:pPr>
          </w:p>
        </w:tc>
        <w:tc>
          <w:tcPr>
            <w:tcW w:w="1872" w:type="dxa"/>
            <w:gridSpan w:val="3"/>
          </w:tcPr>
          <w:p w14:paraId="4ECAA1A3" w14:textId="77777777" w:rsidR="00363AA3" w:rsidRPr="00EE5228" w:rsidRDefault="00363AA3" w:rsidP="00237F78">
            <w:pPr>
              <w:pStyle w:val="TableInnerSideHeading"/>
            </w:pPr>
            <w:r>
              <w:rPr>
                <w:rFonts w:hint="cs"/>
                <w:rtl/>
              </w:rPr>
              <w:t>כתובת</w:t>
            </w:r>
            <w:r w:rsidRPr="00EE5228">
              <w:rPr>
                <w:rFonts w:hint="cs"/>
                <w:rtl/>
              </w:rPr>
              <w:t xml:space="preserve"> לצ</w:t>
            </w:r>
            <w:r>
              <w:rPr>
                <w:rFonts w:hint="cs"/>
                <w:rtl/>
              </w:rPr>
              <w:t>ו</w:t>
            </w:r>
            <w:r w:rsidRPr="00EE5228">
              <w:rPr>
                <w:rFonts w:hint="cs"/>
                <w:rtl/>
              </w:rPr>
              <w:t>רכי בחירות</w:t>
            </w:r>
          </w:p>
        </w:tc>
        <w:tc>
          <w:tcPr>
            <w:tcW w:w="624" w:type="dxa"/>
          </w:tcPr>
          <w:p w14:paraId="4EA7C22E" w14:textId="77777777" w:rsidR="00363AA3" w:rsidRPr="00EE5228" w:rsidRDefault="00363AA3" w:rsidP="00237F78">
            <w:pPr>
              <w:pStyle w:val="TableText"/>
            </w:pPr>
            <w:r w:rsidRPr="00EE5228">
              <w:rPr>
                <w:rFonts w:hint="cs"/>
                <w:rtl/>
              </w:rPr>
              <w:t>30א.</w:t>
            </w:r>
          </w:p>
        </w:tc>
        <w:tc>
          <w:tcPr>
            <w:tcW w:w="4649" w:type="dxa"/>
          </w:tcPr>
          <w:p w14:paraId="14D141FE" w14:textId="77777777" w:rsidR="00363AA3" w:rsidRPr="00EE5228" w:rsidRDefault="00363AA3" w:rsidP="00237F78">
            <w:pPr>
              <w:pStyle w:val="TableBlock"/>
            </w:pPr>
            <w:r>
              <w:rPr>
                <w:rFonts w:hint="cs"/>
                <w:rtl/>
              </w:rPr>
              <w:t>(א)</w:t>
            </w:r>
            <w:r>
              <w:rPr>
                <w:rtl/>
              </w:rPr>
              <w:tab/>
            </w:r>
            <w:r w:rsidRPr="00EE5228">
              <w:rPr>
                <w:rFonts w:hint="cs"/>
                <w:rtl/>
              </w:rPr>
              <w:t xml:space="preserve">בוחר רשאי </w:t>
            </w:r>
            <w:r>
              <w:rPr>
                <w:rFonts w:hint="cs"/>
                <w:rtl/>
              </w:rPr>
              <w:t xml:space="preserve">למסור לפקיד הרישום </w:t>
            </w:r>
            <w:r w:rsidRPr="00B61D6C">
              <w:rPr>
                <w:rFonts w:hint="cs"/>
                <w:rtl/>
              </w:rPr>
              <w:t xml:space="preserve">כמשמעותו בסעיף 4 לחוק </w:t>
            </w:r>
            <w:r>
              <w:rPr>
                <w:rFonts w:hint="cs"/>
                <w:rtl/>
              </w:rPr>
              <w:t xml:space="preserve">המרשם הודעה על כתובת לצורכי הצבעה בבחירות לכנסת, ויראו בכתובת כאמור מען לעניין פרק זה, למעט לעניין סעיף 40(ג) </w:t>
            </w:r>
            <w:r w:rsidRPr="00EE5228">
              <w:rPr>
                <w:rFonts w:hint="cs"/>
                <w:rtl/>
              </w:rPr>
              <w:t>(בסימן זה</w:t>
            </w:r>
            <w:r>
              <w:rPr>
                <w:rFonts w:hint="cs"/>
                <w:rtl/>
              </w:rPr>
              <w:t xml:space="preserve"> </w:t>
            </w:r>
            <w:r>
              <w:rPr>
                <w:rFonts w:hint="eastAsia"/>
                <w:rtl/>
              </w:rPr>
              <w:t>–</w:t>
            </w:r>
            <w:r>
              <w:rPr>
                <w:rFonts w:hint="cs"/>
                <w:rtl/>
              </w:rPr>
              <w:t xml:space="preserve"> כתובת</w:t>
            </w:r>
            <w:r w:rsidRPr="00EE5228">
              <w:rPr>
                <w:rFonts w:hint="cs"/>
                <w:rtl/>
              </w:rPr>
              <w:t xml:space="preserve"> לצ</w:t>
            </w:r>
            <w:r>
              <w:rPr>
                <w:rFonts w:hint="cs"/>
                <w:rtl/>
              </w:rPr>
              <w:t>ו</w:t>
            </w:r>
            <w:r w:rsidRPr="00EE5228">
              <w:rPr>
                <w:rFonts w:hint="cs"/>
                <w:rtl/>
              </w:rPr>
              <w:t>רכי בחירות)</w:t>
            </w:r>
            <w:r>
              <w:rPr>
                <w:rFonts w:hint="cs"/>
                <w:rtl/>
              </w:rPr>
              <w:t>.</w:t>
            </w:r>
          </w:p>
        </w:tc>
      </w:tr>
      <w:tr w:rsidR="00363AA3" w:rsidRPr="00EE5228" w14:paraId="74D84D7F" w14:textId="77777777" w:rsidTr="00237F78">
        <w:trPr>
          <w:cantSplit/>
        </w:trPr>
        <w:tc>
          <w:tcPr>
            <w:tcW w:w="1870" w:type="dxa"/>
          </w:tcPr>
          <w:p w14:paraId="5DB52ACE" w14:textId="77777777" w:rsidR="00363AA3" w:rsidRPr="00EE5228" w:rsidRDefault="00363AA3" w:rsidP="00237F78">
            <w:pPr>
              <w:pStyle w:val="TableSideHeading"/>
            </w:pPr>
          </w:p>
        </w:tc>
        <w:tc>
          <w:tcPr>
            <w:tcW w:w="624" w:type="dxa"/>
          </w:tcPr>
          <w:p w14:paraId="0A37F7E8" w14:textId="77777777" w:rsidR="00363AA3" w:rsidRPr="00EE5228" w:rsidRDefault="00363AA3" w:rsidP="00237F78">
            <w:pPr>
              <w:pStyle w:val="TableText"/>
            </w:pPr>
          </w:p>
        </w:tc>
        <w:tc>
          <w:tcPr>
            <w:tcW w:w="624" w:type="dxa"/>
          </w:tcPr>
          <w:p w14:paraId="202E354F" w14:textId="77777777" w:rsidR="00363AA3" w:rsidRPr="00EE5228" w:rsidRDefault="00363AA3" w:rsidP="00237F78">
            <w:pPr>
              <w:pStyle w:val="TableText"/>
            </w:pPr>
          </w:p>
        </w:tc>
        <w:tc>
          <w:tcPr>
            <w:tcW w:w="624" w:type="dxa"/>
          </w:tcPr>
          <w:p w14:paraId="27BFC9C1" w14:textId="77777777" w:rsidR="00363AA3" w:rsidRPr="00EE5228" w:rsidRDefault="00363AA3" w:rsidP="00237F78">
            <w:pPr>
              <w:pStyle w:val="TableText"/>
            </w:pPr>
          </w:p>
        </w:tc>
        <w:tc>
          <w:tcPr>
            <w:tcW w:w="624" w:type="dxa"/>
          </w:tcPr>
          <w:p w14:paraId="03ABB17B" w14:textId="77777777" w:rsidR="00363AA3" w:rsidRPr="00EE5228" w:rsidRDefault="00363AA3" w:rsidP="00237F78">
            <w:pPr>
              <w:pStyle w:val="TableText"/>
            </w:pPr>
          </w:p>
        </w:tc>
        <w:tc>
          <w:tcPr>
            <w:tcW w:w="624" w:type="dxa"/>
          </w:tcPr>
          <w:p w14:paraId="6CC47048" w14:textId="77777777" w:rsidR="00363AA3" w:rsidRPr="00EE5228" w:rsidRDefault="00363AA3" w:rsidP="00237F78">
            <w:pPr>
              <w:pStyle w:val="TableText"/>
            </w:pPr>
          </w:p>
        </w:tc>
        <w:tc>
          <w:tcPr>
            <w:tcW w:w="4649" w:type="dxa"/>
          </w:tcPr>
          <w:p w14:paraId="471467A0" w14:textId="77777777" w:rsidR="00363AA3" w:rsidRPr="00EE5228" w:rsidRDefault="00363AA3" w:rsidP="00237F78">
            <w:pPr>
              <w:pStyle w:val="TableBlock"/>
            </w:pPr>
            <w:r>
              <w:rPr>
                <w:rFonts w:hint="cs"/>
                <w:rtl/>
              </w:rPr>
              <w:t>(ב)</w:t>
            </w:r>
            <w:r>
              <w:rPr>
                <w:rtl/>
              </w:rPr>
              <w:tab/>
            </w:r>
            <w:r>
              <w:rPr>
                <w:rFonts w:hint="cs"/>
                <w:rtl/>
              </w:rPr>
              <w:t>הודעה</w:t>
            </w:r>
            <w:r w:rsidRPr="00EE5228">
              <w:rPr>
                <w:rFonts w:hint="cs"/>
                <w:rtl/>
              </w:rPr>
              <w:t xml:space="preserve"> כאמור בסעיף קטן (א) </w:t>
            </w:r>
            <w:r>
              <w:rPr>
                <w:rFonts w:hint="cs"/>
                <w:rtl/>
              </w:rPr>
              <w:t>תימסר</w:t>
            </w:r>
            <w:r w:rsidRPr="00EE5228">
              <w:rPr>
                <w:rFonts w:hint="cs"/>
                <w:rtl/>
              </w:rPr>
              <w:t xml:space="preserve"> </w:t>
            </w:r>
            <w:r>
              <w:rPr>
                <w:rFonts w:hint="cs"/>
                <w:rtl/>
              </w:rPr>
              <w:t>באופן</w:t>
            </w:r>
            <w:r w:rsidRPr="00EE5228">
              <w:rPr>
                <w:rFonts w:hint="cs"/>
                <w:rtl/>
              </w:rPr>
              <w:t xml:space="preserve"> </w:t>
            </w:r>
            <w:r>
              <w:rPr>
                <w:rFonts w:hint="cs"/>
                <w:rtl/>
              </w:rPr>
              <w:t>שבו</w:t>
            </w:r>
            <w:r w:rsidRPr="00EE5228">
              <w:rPr>
                <w:rFonts w:hint="cs"/>
                <w:rtl/>
              </w:rPr>
              <w:t xml:space="preserve"> </w:t>
            </w:r>
            <w:r>
              <w:rPr>
                <w:rFonts w:hint="cs"/>
                <w:rtl/>
              </w:rPr>
              <w:t>נמסרת</w:t>
            </w:r>
            <w:r w:rsidRPr="00EE5228">
              <w:rPr>
                <w:rFonts w:hint="cs"/>
                <w:rtl/>
              </w:rPr>
              <w:t xml:space="preserve"> </w:t>
            </w:r>
            <w:r>
              <w:rPr>
                <w:rFonts w:hint="cs"/>
                <w:rtl/>
              </w:rPr>
              <w:t xml:space="preserve">הודעה על </w:t>
            </w:r>
            <w:r w:rsidRPr="00EE5228">
              <w:rPr>
                <w:rFonts w:hint="cs"/>
                <w:rtl/>
              </w:rPr>
              <w:t>שינוי מען במרשם האוכלוסין, לא יאוחר מהיום ה-</w:t>
            </w:r>
            <w:r>
              <w:rPr>
                <w:rFonts w:hint="cs"/>
                <w:rtl/>
              </w:rPr>
              <w:t>74</w:t>
            </w:r>
            <w:r w:rsidRPr="00EE5228">
              <w:rPr>
                <w:rFonts w:hint="cs"/>
                <w:rtl/>
              </w:rPr>
              <w:t xml:space="preserve"> שלפני יום הבחירות</w:t>
            </w:r>
            <w:r>
              <w:rPr>
                <w:rFonts w:hint="cs"/>
                <w:rtl/>
              </w:rPr>
              <w:t>; הוראות סעיף 142 לא יחולו לעניין המועד האמור</w:t>
            </w:r>
            <w:r w:rsidRPr="00EE5228">
              <w:rPr>
                <w:rFonts w:hint="cs"/>
                <w:rtl/>
              </w:rPr>
              <w:t>.</w:t>
            </w:r>
          </w:p>
        </w:tc>
      </w:tr>
      <w:tr w:rsidR="00363AA3" w:rsidRPr="00EE5228" w14:paraId="226FEA8C" w14:textId="77777777" w:rsidTr="00237F78">
        <w:trPr>
          <w:cantSplit/>
        </w:trPr>
        <w:tc>
          <w:tcPr>
            <w:tcW w:w="1870" w:type="dxa"/>
          </w:tcPr>
          <w:p w14:paraId="29220251" w14:textId="77777777" w:rsidR="00363AA3" w:rsidRPr="00EE5228" w:rsidRDefault="00363AA3" w:rsidP="00237F78">
            <w:pPr>
              <w:pStyle w:val="TableSideHeading"/>
            </w:pPr>
          </w:p>
        </w:tc>
        <w:tc>
          <w:tcPr>
            <w:tcW w:w="624" w:type="dxa"/>
          </w:tcPr>
          <w:p w14:paraId="18BF9699" w14:textId="77777777" w:rsidR="00363AA3" w:rsidRPr="00EE5228" w:rsidRDefault="00363AA3" w:rsidP="00237F78">
            <w:pPr>
              <w:pStyle w:val="TableText"/>
            </w:pPr>
          </w:p>
        </w:tc>
        <w:tc>
          <w:tcPr>
            <w:tcW w:w="624" w:type="dxa"/>
          </w:tcPr>
          <w:p w14:paraId="090135C4" w14:textId="77777777" w:rsidR="00363AA3" w:rsidRPr="00EE5228" w:rsidRDefault="00363AA3" w:rsidP="00237F78">
            <w:pPr>
              <w:pStyle w:val="TableText"/>
            </w:pPr>
          </w:p>
        </w:tc>
        <w:tc>
          <w:tcPr>
            <w:tcW w:w="624" w:type="dxa"/>
          </w:tcPr>
          <w:p w14:paraId="0E784CF0" w14:textId="77777777" w:rsidR="00363AA3" w:rsidRPr="00EE5228" w:rsidRDefault="00363AA3" w:rsidP="00237F78">
            <w:pPr>
              <w:pStyle w:val="TableText"/>
            </w:pPr>
          </w:p>
        </w:tc>
        <w:tc>
          <w:tcPr>
            <w:tcW w:w="624" w:type="dxa"/>
          </w:tcPr>
          <w:p w14:paraId="382C5786" w14:textId="77777777" w:rsidR="00363AA3" w:rsidRPr="00EE5228" w:rsidRDefault="00363AA3" w:rsidP="00237F78">
            <w:pPr>
              <w:pStyle w:val="TableText"/>
            </w:pPr>
          </w:p>
        </w:tc>
        <w:tc>
          <w:tcPr>
            <w:tcW w:w="624" w:type="dxa"/>
          </w:tcPr>
          <w:p w14:paraId="18267C56" w14:textId="77777777" w:rsidR="00363AA3" w:rsidRPr="00EE5228" w:rsidRDefault="00363AA3" w:rsidP="00237F78">
            <w:pPr>
              <w:pStyle w:val="TableText"/>
            </w:pPr>
          </w:p>
        </w:tc>
        <w:tc>
          <w:tcPr>
            <w:tcW w:w="4649" w:type="dxa"/>
          </w:tcPr>
          <w:p w14:paraId="177C9BC1" w14:textId="77777777" w:rsidR="00363AA3" w:rsidRPr="00EE5228" w:rsidRDefault="00363AA3" w:rsidP="00237F78">
            <w:pPr>
              <w:pStyle w:val="TableBlock"/>
              <w:rPr>
                <w:rtl/>
              </w:rPr>
            </w:pPr>
            <w:r>
              <w:rPr>
                <w:rFonts w:hint="cs"/>
                <w:rtl/>
              </w:rPr>
              <w:t>(ג)</w:t>
            </w:r>
            <w:r>
              <w:rPr>
                <w:rtl/>
              </w:rPr>
              <w:tab/>
            </w:r>
            <w:r w:rsidRPr="00EE5228">
              <w:rPr>
                <w:rFonts w:hint="cs"/>
                <w:rtl/>
              </w:rPr>
              <w:t xml:space="preserve">שר הפנים, בהסכמת </w:t>
            </w:r>
            <w:r>
              <w:rPr>
                <w:rFonts w:hint="cs"/>
                <w:rtl/>
              </w:rPr>
              <w:t xml:space="preserve">הוועדה  המרכזית או לפי הצעתה, </w:t>
            </w:r>
            <w:r w:rsidRPr="00EE5228">
              <w:rPr>
                <w:rFonts w:hint="cs"/>
                <w:rtl/>
              </w:rPr>
              <w:t>יקבע את הפרטים שי</w:t>
            </w:r>
            <w:r>
              <w:rPr>
                <w:rFonts w:hint="cs"/>
                <w:rtl/>
              </w:rPr>
              <w:t>י</w:t>
            </w:r>
            <w:r w:rsidRPr="00EE5228">
              <w:rPr>
                <w:rFonts w:hint="cs"/>
                <w:rtl/>
              </w:rPr>
              <w:t xml:space="preserve">כללו </w:t>
            </w:r>
            <w:r>
              <w:rPr>
                <w:rFonts w:hint="cs"/>
                <w:rtl/>
              </w:rPr>
              <w:t>בהודעה</w:t>
            </w:r>
            <w:r w:rsidRPr="00EE5228">
              <w:rPr>
                <w:rFonts w:hint="cs"/>
                <w:rtl/>
              </w:rPr>
              <w:t xml:space="preserve"> כאמור </w:t>
            </w:r>
            <w:r>
              <w:rPr>
                <w:rFonts w:hint="cs"/>
                <w:rtl/>
              </w:rPr>
              <w:t>ואת</w:t>
            </w:r>
            <w:r w:rsidRPr="00EE5228">
              <w:rPr>
                <w:rFonts w:hint="cs"/>
                <w:rtl/>
              </w:rPr>
              <w:t xml:space="preserve"> </w:t>
            </w:r>
            <w:r>
              <w:rPr>
                <w:rFonts w:hint="cs"/>
                <w:rtl/>
              </w:rPr>
              <w:t>המועדים להגשתה</w:t>
            </w:r>
            <w:r w:rsidRPr="00EE5228">
              <w:rPr>
                <w:rFonts w:hint="cs"/>
                <w:rtl/>
              </w:rPr>
              <w:t>.</w:t>
            </w:r>
          </w:p>
        </w:tc>
      </w:tr>
      <w:tr w:rsidR="00363AA3" w:rsidRPr="00EE5228" w14:paraId="22F21083" w14:textId="77777777" w:rsidTr="00237F78">
        <w:trPr>
          <w:cantSplit/>
        </w:trPr>
        <w:tc>
          <w:tcPr>
            <w:tcW w:w="1870" w:type="dxa"/>
          </w:tcPr>
          <w:p w14:paraId="3A85AF83" w14:textId="77777777" w:rsidR="00363AA3" w:rsidRPr="00EE5228" w:rsidRDefault="00363AA3" w:rsidP="00237F78">
            <w:pPr>
              <w:pStyle w:val="TableSideHeading"/>
            </w:pPr>
          </w:p>
        </w:tc>
        <w:tc>
          <w:tcPr>
            <w:tcW w:w="624" w:type="dxa"/>
          </w:tcPr>
          <w:p w14:paraId="35AB0656" w14:textId="77777777" w:rsidR="00363AA3" w:rsidRPr="00EE5228" w:rsidRDefault="00363AA3" w:rsidP="00237F78">
            <w:pPr>
              <w:pStyle w:val="TableText"/>
            </w:pPr>
          </w:p>
        </w:tc>
        <w:tc>
          <w:tcPr>
            <w:tcW w:w="624" w:type="dxa"/>
          </w:tcPr>
          <w:p w14:paraId="7D1EF199" w14:textId="77777777" w:rsidR="00363AA3" w:rsidRPr="00EE5228" w:rsidRDefault="00363AA3" w:rsidP="00237F78">
            <w:pPr>
              <w:pStyle w:val="TableText"/>
            </w:pPr>
          </w:p>
        </w:tc>
        <w:tc>
          <w:tcPr>
            <w:tcW w:w="624" w:type="dxa"/>
          </w:tcPr>
          <w:p w14:paraId="27276B0D" w14:textId="77777777" w:rsidR="00363AA3" w:rsidRPr="00EE5228" w:rsidRDefault="00363AA3" w:rsidP="00237F78">
            <w:pPr>
              <w:pStyle w:val="TableText"/>
            </w:pPr>
          </w:p>
        </w:tc>
        <w:tc>
          <w:tcPr>
            <w:tcW w:w="624" w:type="dxa"/>
          </w:tcPr>
          <w:p w14:paraId="2E429DED" w14:textId="77777777" w:rsidR="00363AA3" w:rsidRPr="00EE5228" w:rsidRDefault="00363AA3" w:rsidP="00237F78">
            <w:pPr>
              <w:pStyle w:val="TableText"/>
            </w:pPr>
          </w:p>
        </w:tc>
        <w:tc>
          <w:tcPr>
            <w:tcW w:w="624" w:type="dxa"/>
          </w:tcPr>
          <w:p w14:paraId="4CB15C85" w14:textId="77777777" w:rsidR="00363AA3" w:rsidRPr="00EE5228" w:rsidRDefault="00363AA3" w:rsidP="00237F78">
            <w:pPr>
              <w:pStyle w:val="TableText"/>
            </w:pPr>
          </w:p>
        </w:tc>
        <w:tc>
          <w:tcPr>
            <w:tcW w:w="4649" w:type="dxa"/>
          </w:tcPr>
          <w:p w14:paraId="4B3748D6" w14:textId="77777777" w:rsidR="00363AA3" w:rsidRPr="00EE5228" w:rsidRDefault="00363AA3" w:rsidP="00237F78">
            <w:pPr>
              <w:pStyle w:val="TableBlock"/>
              <w:rPr>
                <w:rtl/>
              </w:rPr>
            </w:pPr>
            <w:r>
              <w:rPr>
                <w:rFonts w:hint="cs"/>
                <w:rtl/>
              </w:rPr>
              <w:t>(ד)</w:t>
            </w:r>
            <w:r>
              <w:rPr>
                <w:rtl/>
              </w:rPr>
              <w:tab/>
            </w:r>
            <w:r>
              <w:rPr>
                <w:rFonts w:hint="cs"/>
                <w:rtl/>
              </w:rPr>
              <w:t xml:space="preserve">כתובת לצורכי בחירות תירשם במרשם האוכלוסין למשך מערכת בחירות אחת לכנסת או לתקופה אחרת כפי שהודיע הבוחר בהודעה כאמור בסעיף קטן (א), </w:t>
            </w:r>
            <w:r w:rsidRPr="006202C3">
              <w:rPr>
                <w:rFonts w:hint="cs"/>
                <w:rtl/>
              </w:rPr>
              <w:t>ותימחק מהמרשם במועד שבו מושמד חומר הבחירות לפי סעיף 79א</w:t>
            </w:r>
            <w:r>
              <w:rPr>
                <w:rFonts w:hint="cs"/>
                <w:rtl/>
              </w:rPr>
              <w:t xml:space="preserve"> או בתום התקופה שעליה הודיע הבוחר.</w:t>
            </w:r>
          </w:p>
        </w:tc>
      </w:tr>
      <w:tr w:rsidR="00363AA3" w:rsidRPr="00EE5228" w14:paraId="77763B76" w14:textId="77777777" w:rsidTr="00237F78">
        <w:trPr>
          <w:cantSplit/>
        </w:trPr>
        <w:tc>
          <w:tcPr>
            <w:tcW w:w="1870" w:type="dxa"/>
          </w:tcPr>
          <w:p w14:paraId="3B70321B" w14:textId="77777777" w:rsidR="00363AA3" w:rsidRPr="00FA6BD9" w:rsidRDefault="00363AA3" w:rsidP="00237F78">
            <w:pPr>
              <w:pStyle w:val="TableSideHeading"/>
              <w:ind w:right="0"/>
            </w:pPr>
          </w:p>
        </w:tc>
        <w:tc>
          <w:tcPr>
            <w:tcW w:w="624" w:type="dxa"/>
          </w:tcPr>
          <w:p w14:paraId="5A3EF858" w14:textId="77777777" w:rsidR="00363AA3" w:rsidRPr="00EE5228" w:rsidRDefault="00363AA3" w:rsidP="00237F78">
            <w:pPr>
              <w:pStyle w:val="TableText"/>
              <w:keepLines w:val="0"/>
            </w:pPr>
          </w:p>
        </w:tc>
        <w:tc>
          <w:tcPr>
            <w:tcW w:w="1872" w:type="dxa"/>
            <w:gridSpan w:val="3"/>
          </w:tcPr>
          <w:p w14:paraId="3CCA2D33" w14:textId="77777777" w:rsidR="00363AA3" w:rsidRPr="00EE5228" w:rsidRDefault="00363AA3" w:rsidP="00237F78">
            <w:pPr>
              <w:pStyle w:val="TableInnerSideHeading"/>
            </w:pPr>
            <w:r w:rsidRPr="00EE5228">
              <w:rPr>
                <w:rFonts w:hint="cs"/>
                <w:rtl/>
              </w:rPr>
              <w:t xml:space="preserve">רישום </w:t>
            </w:r>
            <w:r>
              <w:rPr>
                <w:rFonts w:hint="cs"/>
                <w:rtl/>
              </w:rPr>
              <w:t>כתובת</w:t>
            </w:r>
            <w:r w:rsidRPr="00EE5228">
              <w:rPr>
                <w:rFonts w:hint="cs"/>
                <w:rtl/>
              </w:rPr>
              <w:t xml:space="preserve"> לצ</w:t>
            </w:r>
            <w:r>
              <w:rPr>
                <w:rFonts w:hint="cs"/>
                <w:rtl/>
              </w:rPr>
              <w:t>ו</w:t>
            </w:r>
            <w:r w:rsidRPr="00EE5228">
              <w:rPr>
                <w:rFonts w:hint="cs"/>
                <w:rtl/>
              </w:rPr>
              <w:t>רכי בחירות בפנקס הבוחרים וברשימת הבוחרים</w:t>
            </w:r>
          </w:p>
        </w:tc>
        <w:tc>
          <w:tcPr>
            <w:tcW w:w="624" w:type="dxa"/>
          </w:tcPr>
          <w:p w14:paraId="3334C037" w14:textId="77777777" w:rsidR="00363AA3" w:rsidRPr="00EE5228" w:rsidRDefault="00363AA3" w:rsidP="00237F78">
            <w:pPr>
              <w:pStyle w:val="TableText"/>
            </w:pPr>
            <w:r w:rsidRPr="00EE5228">
              <w:rPr>
                <w:rFonts w:hint="cs"/>
                <w:rtl/>
              </w:rPr>
              <w:t>30ב.</w:t>
            </w:r>
          </w:p>
        </w:tc>
        <w:tc>
          <w:tcPr>
            <w:tcW w:w="4649" w:type="dxa"/>
          </w:tcPr>
          <w:p w14:paraId="09BECAC9" w14:textId="77777777" w:rsidR="00363AA3" w:rsidRPr="00EE5228" w:rsidRDefault="00363AA3" w:rsidP="00237F78">
            <w:pPr>
              <w:pStyle w:val="TableBlock"/>
            </w:pPr>
            <w:r>
              <w:rPr>
                <w:rFonts w:hint="cs"/>
                <w:rtl/>
              </w:rPr>
              <w:t>(א)</w:t>
            </w:r>
            <w:r>
              <w:rPr>
                <w:rtl/>
              </w:rPr>
              <w:tab/>
            </w:r>
            <w:r w:rsidRPr="00EE5228">
              <w:rPr>
                <w:rFonts w:hint="cs"/>
                <w:rtl/>
              </w:rPr>
              <w:t>נרש</w:t>
            </w:r>
            <w:r>
              <w:rPr>
                <w:rFonts w:hint="cs"/>
                <w:rtl/>
              </w:rPr>
              <w:t>מה</w:t>
            </w:r>
            <w:r w:rsidRPr="00EE5228">
              <w:rPr>
                <w:rFonts w:hint="cs"/>
                <w:rtl/>
              </w:rPr>
              <w:t xml:space="preserve"> לבוחר </w:t>
            </w:r>
            <w:r>
              <w:rPr>
                <w:rFonts w:hint="cs"/>
                <w:rtl/>
              </w:rPr>
              <w:t>כתובת</w:t>
            </w:r>
            <w:r w:rsidRPr="00EE5228">
              <w:rPr>
                <w:rFonts w:hint="cs"/>
                <w:rtl/>
              </w:rPr>
              <w:t xml:space="preserve"> לצ</w:t>
            </w:r>
            <w:r>
              <w:rPr>
                <w:rFonts w:hint="cs"/>
                <w:rtl/>
              </w:rPr>
              <w:t>ו</w:t>
            </w:r>
            <w:r w:rsidRPr="00EE5228">
              <w:rPr>
                <w:rFonts w:hint="cs"/>
                <w:rtl/>
              </w:rPr>
              <w:t>רכי בחירות</w:t>
            </w:r>
            <w:r>
              <w:rPr>
                <w:rFonts w:hint="cs"/>
                <w:rtl/>
              </w:rPr>
              <w:t xml:space="preserve"> במרשם האוכלוסין לפי הוראות סעיף 30א</w:t>
            </w:r>
            <w:r w:rsidRPr="00EE5228">
              <w:rPr>
                <w:rFonts w:hint="cs"/>
                <w:rtl/>
              </w:rPr>
              <w:t>, יראו</w:t>
            </w:r>
            <w:r>
              <w:rPr>
                <w:rFonts w:hint="cs"/>
                <w:rtl/>
              </w:rPr>
              <w:t xml:space="preserve"> אותה</w:t>
            </w:r>
            <w:r w:rsidRPr="00EE5228">
              <w:rPr>
                <w:rFonts w:hint="cs"/>
                <w:rtl/>
              </w:rPr>
              <w:t xml:space="preserve"> כ</w:t>
            </w:r>
            <w:r>
              <w:rPr>
                <w:rFonts w:hint="cs"/>
                <w:rtl/>
              </w:rPr>
              <w:t>כתובתו</w:t>
            </w:r>
            <w:r w:rsidRPr="00EE5228">
              <w:rPr>
                <w:rFonts w:hint="cs"/>
                <w:rtl/>
              </w:rPr>
              <w:t xml:space="preserve"> </w:t>
            </w:r>
            <w:r>
              <w:rPr>
                <w:rFonts w:hint="cs"/>
                <w:rtl/>
              </w:rPr>
              <w:t>לשם</w:t>
            </w:r>
            <w:r w:rsidRPr="00EE5228">
              <w:rPr>
                <w:rFonts w:hint="cs"/>
                <w:rtl/>
              </w:rPr>
              <w:t xml:space="preserve"> הכנת פנקס הבוחרים ורשימת </w:t>
            </w:r>
            <w:r w:rsidRPr="009F7B3F">
              <w:rPr>
                <w:rFonts w:hint="cs"/>
                <w:rtl/>
              </w:rPr>
              <w:t xml:space="preserve">הבוחרים לפי סעיף 26; </w:t>
            </w:r>
          </w:p>
        </w:tc>
      </w:tr>
      <w:tr w:rsidR="00363AA3" w14:paraId="44F492DB" w14:textId="77777777" w:rsidTr="00237F78">
        <w:trPr>
          <w:cantSplit/>
          <w:trHeight w:val="60"/>
        </w:trPr>
        <w:tc>
          <w:tcPr>
            <w:tcW w:w="1870" w:type="dxa"/>
          </w:tcPr>
          <w:p w14:paraId="0DD411C9" w14:textId="77777777" w:rsidR="00363AA3" w:rsidRDefault="00363AA3" w:rsidP="00237F78">
            <w:pPr>
              <w:pStyle w:val="TableSideHeading"/>
            </w:pPr>
          </w:p>
        </w:tc>
        <w:tc>
          <w:tcPr>
            <w:tcW w:w="624" w:type="dxa"/>
          </w:tcPr>
          <w:p w14:paraId="1BBAFF7F" w14:textId="77777777" w:rsidR="00363AA3" w:rsidRDefault="00363AA3" w:rsidP="00237F78">
            <w:pPr>
              <w:pStyle w:val="TableText"/>
            </w:pPr>
          </w:p>
        </w:tc>
        <w:tc>
          <w:tcPr>
            <w:tcW w:w="624" w:type="dxa"/>
          </w:tcPr>
          <w:p w14:paraId="6FE87CCE" w14:textId="77777777" w:rsidR="00363AA3" w:rsidRDefault="00363AA3" w:rsidP="00237F78">
            <w:pPr>
              <w:pStyle w:val="TableText"/>
            </w:pPr>
          </w:p>
        </w:tc>
        <w:tc>
          <w:tcPr>
            <w:tcW w:w="624" w:type="dxa"/>
          </w:tcPr>
          <w:p w14:paraId="4508EA97" w14:textId="77777777" w:rsidR="00363AA3" w:rsidRDefault="00363AA3" w:rsidP="00237F78">
            <w:pPr>
              <w:pStyle w:val="TableText"/>
            </w:pPr>
          </w:p>
        </w:tc>
        <w:tc>
          <w:tcPr>
            <w:tcW w:w="624" w:type="dxa"/>
          </w:tcPr>
          <w:p w14:paraId="021C7129" w14:textId="77777777" w:rsidR="00363AA3" w:rsidRDefault="00363AA3" w:rsidP="00237F78">
            <w:pPr>
              <w:pStyle w:val="TableText"/>
            </w:pPr>
          </w:p>
        </w:tc>
        <w:tc>
          <w:tcPr>
            <w:tcW w:w="624" w:type="dxa"/>
          </w:tcPr>
          <w:p w14:paraId="182DDE41" w14:textId="77777777" w:rsidR="00363AA3" w:rsidRDefault="00363AA3" w:rsidP="00237F78">
            <w:pPr>
              <w:pStyle w:val="TableText"/>
            </w:pPr>
          </w:p>
        </w:tc>
        <w:tc>
          <w:tcPr>
            <w:tcW w:w="4649" w:type="dxa"/>
          </w:tcPr>
          <w:p w14:paraId="32B42B79" w14:textId="77777777" w:rsidR="00363AA3" w:rsidRDefault="00363AA3" w:rsidP="00237F78">
            <w:pPr>
              <w:pStyle w:val="TableBlock"/>
            </w:pPr>
            <w:r>
              <w:rPr>
                <w:rFonts w:hint="cs"/>
                <w:rtl/>
              </w:rPr>
              <w:t>(ב)</w:t>
            </w:r>
            <w:r>
              <w:rPr>
                <w:rtl/>
              </w:rPr>
              <w:tab/>
            </w:r>
            <w:r>
              <w:rPr>
                <w:rFonts w:hint="cs"/>
                <w:rtl/>
              </w:rPr>
              <w:t>על אף האמור בסעיף קטן (א)</w:t>
            </w:r>
            <w:r w:rsidRPr="009F7B3F">
              <w:rPr>
                <w:rFonts w:hint="cs"/>
                <w:rtl/>
              </w:rPr>
              <w:t xml:space="preserve">, מצא יושב ראש הוועדה המרכזית, או עובד הוועדה שהוא הסמיך </w:t>
            </w:r>
            <w:r>
              <w:rPr>
                <w:rFonts w:hint="cs"/>
                <w:rtl/>
              </w:rPr>
              <w:t>ל</w:t>
            </w:r>
            <w:r w:rsidRPr="009F7B3F">
              <w:rPr>
                <w:rFonts w:hint="cs"/>
                <w:rtl/>
              </w:rPr>
              <w:t>כך, כי אזור</w:t>
            </w:r>
            <w:r w:rsidRPr="00BD0349">
              <w:rPr>
                <w:rFonts w:hint="cs"/>
                <w:rtl/>
              </w:rPr>
              <w:t xml:space="preserve"> קלפי </w:t>
            </w:r>
            <w:r>
              <w:rPr>
                <w:rFonts w:hint="cs"/>
                <w:rtl/>
              </w:rPr>
              <w:t xml:space="preserve">שבו נכלל בוחר כאמור באותו סעיף קטן </w:t>
            </w:r>
            <w:r w:rsidRPr="00BD0349">
              <w:rPr>
                <w:rFonts w:hint="cs"/>
                <w:rtl/>
              </w:rPr>
              <w:t xml:space="preserve">כולל יותר </w:t>
            </w:r>
            <w:r>
              <w:rPr>
                <w:rFonts w:hint="cs"/>
                <w:rtl/>
              </w:rPr>
              <w:t>ממספר הבוחרים לפי</w:t>
            </w:r>
            <w:r w:rsidRPr="00BD0349">
              <w:rPr>
                <w:rFonts w:hint="cs"/>
                <w:rtl/>
              </w:rPr>
              <w:t xml:space="preserve"> סעיף 11, רשאי הוא </w:t>
            </w:r>
            <w:r>
              <w:rPr>
                <w:rFonts w:hint="cs"/>
                <w:rtl/>
              </w:rPr>
              <w:t xml:space="preserve">לכלול את </w:t>
            </w:r>
            <w:r w:rsidRPr="00BD0349">
              <w:rPr>
                <w:rFonts w:hint="cs"/>
                <w:rtl/>
              </w:rPr>
              <w:t>הבוחר ברשימת הבוחרים של אזור קלפי סמוך</w:t>
            </w:r>
            <w:r>
              <w:rPr>
                <w:rFonts w:hint="cs"/>
                <w:rtl/>
              </w:rPr>
              <w:t xml:space="preserve"> </w:t>
            </w:r>
            <w:r w:rsidRPr="00BD0349">
              <w:rPr>
                <w:rFonts w:hint="cs"/>
                <w:rtl/>
              </w:rPr>
              <w:t>באותו י</w:t>
            </w:r>
            <w:r>
              <w:rPr>
                <w:rFonts w:hint="cs"/>
                <w:rtl/>
              </w:rPr>
              <w:t>י</w:t>
            </w:r>
            <w:r w:rsidRPr="00BD0349">
              <w:rPr>
                <w:rFonts w:hint="cs"/>
                <w:rtl/>
              </w:rPr>
              <w:t xml:space="preserve">שוב, ולבוחר </w:t>
            </w:r>
            <w:r>
              <w:rPr>
                <w:rFonts w:hint="cs"/>
                <w:rtl/>
              </w:rPr>
              <w:t>תימסר</w:t>
            </w:r>
            <w:r w:rsidRPr="00BD0349">
              <w:rPr>
                <w:rFonts w:hint="cs"/>
                <w:rtl/>
              </w:rPr>
              <w:t xml:space="preserve"> הודעה על כך בדרך שיקבע היושב ראש.</w:t>
            </w:r>
          </w:p>
        </w:tc>
      </w:tr>
      <w:tr w:rsidR="00363AA3" w:rsidRPr="00EE5228" w14:paraId="539DC4F3" w14:textId="77777777" w:rsidTr="00237F78">
        <w:trPr>
          <w:cantSplit/>
        </w:trPr>
        <w:tc>
          <w:tcPr>
            <w:tcW w:w="1870" w:type="dxa"/>
          </w:tcPr>
          <w:p w14:paraId="75B2A37D" w14:textId="77777777" w:rsidR="00363AA3" w:rsidRPr="00EE5228" w:rsidRDefault="00363AA3" w:rsidP="00237F78">
            <w:pPr>
              <w:pStyle w:val="TableSideHeading"/>
            </w:pPr>
          </w:p>
        </w:tc>
        <w:tc>
          <w:tcPr>
            <w:tcW w:w="624" w:type="dxa"/>
          </w:tcPr>
          <w:p w14:paraId="6136DAA2" w14:textId="77777777" w:rsidR="00363AA3" w:rsidRPr="00EE5228" w:rsidRDefault="00363AA3" w:rsidP="00237F78">
            <w:pPr>
              <w:pStyle w:val="TableText"/>
            </w:pPr>
          </w:p>
        </w:tc>
        <w:tc>
          <w:tcPr>
            <w:tcW w:w="624" w:type="dxa"/>
          </w:tcPr>
          <w:p w14:paraId="106E6C2B" w14:textId="77777777" w:rsidR="00363AA3" w:rsidRPr="00EE5228" w:rsidRDefault="00363AA3" w:rsidP="00237F78">
            <w:pPr>
              <w:pStyle w:val="TableText"/>
            </w:pPr>
          </w:p>
        </w:tc>
        <w:tc>
          <w:tcPr>
            <w:tcW w:w="624" w:type="dxa"/>
          </w:tcPr>
          <w:p w14:paraId="77387600" w14:textId="77777777" w:rsidR="00363AA3" w:rsidRPr="00EE5228" w:rsidRDefault="00363AA3" w:rsidP="00237F78">
            <w:pPr>
              <w:pStyle w:val="TableText"/>
            </w:pPr>
          </w:p>
        </w:tc>
        <w:tc>
          <w:tcPr>
            <w:tcW w:w="624" w:type="dxa"/>
          </w:tcPr>
          <w:p w14:paraId="4C13C9AC" w14:textId="77777777" w:rsidR="00363AA3" w:rsidRPr="00EE5228" w:rsidRDefault="00363AA3" w:rsidP="00237F78">
            <w:pPr>
              <w:pStyle w:val="TableText"/>
            </w:pPr>
          </w:p>
        </w:tc>
        <w:tc>
          <w:tcPr>
            <w:tcW w:w="624" w:type="dxa"/>
          </w:tcPr>
          <w:p w14:paraId="2E2CA613" w14:textId="77777777" w:rsidR="00363AA3" w:rsidRPr="009F7B3F" w:rsidRDefault="00363AA3" w:rsidP="00237F78">
            <w:pPr>
              <w:pStyle w:val="TableText"/>
            </w:pPr>
          </w:p>
        </w:tc>
        <w:tc>
          <w:tcPr>
            <w:tcW w:w="4649" w:type="dxa"/>
          </w:tcPr>
          <w:p w14:paraId="01EBF189" w14:textId="493618B9" w:rsidR="00363AA3" w:rsidRPr="009F7B3F" w:rsidRDefault="00363AA3" w:rsidP="000858F1">
            <w:pPr>
              <w:pStyle w:val="TableBlock"/>
            </w:pPr>
            <w:r w:rsidRPr="009F7B3F">
              <w:rPr>
                <w:rFonts w:hint="cs"/>
                <w:rtl/>
              </w:rPr>
              <w:t>(</w:t>
            </w:r>
            <w:r w:rsidR="000858F1">
              <w:rPr>
                <w:rFonts w:hint="cs"/>
                <w:rtl/>
              </w:rPr>
              <w:t>ג</w:t>
            </w:r>
            <w:r w:rsidRPr="009F7B3F">
              <w:rPr>
                <w:rFonts w:hint="cs"/>
                <w:rtl/>
              </w:rPr>
              <w:t>)</w:t>
            </w:r>
            <w:r w:rsidRPr="009F7B3F">
              <w:rPr>
                <w:rtl/>
              </w:rPr>
              <w:tab/>
            </w:r>
            <w:r w:rsidRPr="009F7B3F">
              <w:rPr>
                <w:rFonts w:hint="cs"/>
                <w:rtl/>
              </w:rPr>
              <w:t>נרשמה לבוחר כתובת לצ</w:t>
            </w:r>
            <w:r>
              <w:rPr>
                <w:rFonts w:hint="cs"/>
                <w:rtl/>
              </w:rPr>
              <w:t>ו</w:t>
            </w:r>
            <w:r w:rsidRPr="009F7B3F">
              <w:rPr>
                <w:rFonts w:hint="cs"/>
                <w:rtl/>
              </w:rPr>
              <w:t xml:space="preserve">רכי בחירות, תירשם כתובת זו ברשימת הבוחרים לפי סעיף 29, לצד מענו הרשום במרשם האוכלוסין. </w:t>
            </w:r>
          </w:p>
        </w:tc>
      </w:tr>
      <w:tr w:rsidR="00363AA3" w14:paraId="10FB05E3" w14:textId="77777777" w:rsidTr="00237F78">
        <w:trPr>
          <w:cantSplit/>
        </w:trPr>
        <w:tc>
          <w:tcPr>
            <w:tcW w:w="1870" w:type="dxa"/>
          </w:tcPr>
          <w:p w14:paraId="66997040" w14:textId="77777777" w:rsidR="00363AA3" w:rsidRPr="005824C6" w:rsidRDefault="00363AA3" w:rsidP="00237F78">
            <w:pPr>
              <w:pStyle w:val="TableSideHeading"/>
              <w:keepLines w:val="0"/>
            </w:pPr>
          </w:p>
        </w:tc>
        <w:tc>
          <w:tcPr>
            <w:tcW w:w="624" w:type="dxa"/>
          </w:tcPr>
          <w:p w14:paraId="27742D28" w14:textId="77777777" w:rsidR="00363AA3" w:rsidRPr="005824C6" w:rsidRDefault="00363AA3" w:rsidP="00237F78">
            <w:pPr>
              <w:pStyle w:val="TableText"/>
              <w:keepLines w:val="0"/>
            </w:pPr>
          </w:p>
        </w:tc>
        <w:tc>
          <w:tcPr>
            <w:tcW w:w="1872" w:type="dxa"/>
            <w:gridSpan w:val="3"/>
          </w:tcPr>
          <w:p w14:paraId="2EF50C35" w14:textId="77777777" w:rsidR="00363AA3" w:rsidRPr="005824C6" w:rsidRDefault="00363AA3" w:rsidP="00237F78">
            <w:pPr>
              <w:pStyle w:val="TableInnerSideHeading"/>
            </w:pPr>
            <w:r w:rsidRPr="005824C6">
              <w:rPr>
                <w:rFonts w:hint="cs"/>
                <w:rtl/>
              </w:rPr>
              <w:t>סודיות ואי</w:t>
            </w:r>
            <w:r>
              <w:rPr>
                <w:rFonts w:hint="cs"/>
                <w:rtl/>
              </w:rPr>
              <w:t>-</w:t>
            </w:r>
            <w:r w:rsidRPr="005824C6">
              <w:rPr>
                <w:rFonts w:hint="cs"/>
                <w:rtl/>
              </w:rPr>
              <w:t>גריעת זכויות</w:t>
            </w:r>
          </w:p>
        </w:tc>
        <w:tc>
          <w:tcPr>
            <w:tcW w:w="624" w:type="dxa"/>
          </w:tcPr>
          <w:p w14:paraId="09E21B55" w14:textId="77777777" w:rsidR="00363AA3" w:rsidRPr="005824C6" w:rsidRDefault="00363AA3" w:rsidP="00237F78">
            <w:pPr>
              <w:pStyle w:val="TableText"/>
            </w:pPr>
            <w:r w:rsidRPr="005824C6">
              <w:rPr>
                <w:rFonts w:hint="cs"/>
                <w:rtl/>
              </w:rPr>
              <w:t>30ג.</w:t>
            </w:r>
          </w:p>
        </w:tc>
        <w:tc>
          <w:tcPr>
            <w:tcW w:w="4649" w:type="dxa"/>
          </w:tcPr>
          <w:p w14:paraId="423F49B2" w14:textId="77777777" w:rsidR="00363AA3" w:rsidRPr="005824C6" w:rsidRDefault="00363AA3" w:rsidP="00237F78">
            <w:pPr>
              <w:pStyle w:val="TableBlock"/>
            </w:pPr>
            <w:r w:rsidRPr="005824C6">
              <w:rPr>
                <w:rFonts w:hint="cs"/>
                <w:rtl/>
              </w:rPr>
              <w:t>(א)</w:t>
            </w:r>
            <w:r w:rsidRPr="005824C6">
              <w:rPr>
                <w:rtl/>
              </w:rPr>
              <w:tab/>
            </w:r>
            <w:r w:rsidRPr="00AE31C1">
              <w:rPr>
                <w:rFonts w:hint="cs"/>
                <w:rtl/>
              </w:rPr>
              <w:t>כתובת לצ</w:t>
            </w:r>
            <w:r>
              <w:rPr>
                <w:rFonts w:hint="cs"/>
                <w:rtl/>
              </w:rPr>
              <w:t>ו</w:t>
            </w:r>
            <w:r w:rsidRPr="00AE31C1">
              <w:rPr>
                <w:rFonts w:hint="cs"/>
                <w:rtl/>
              </w:rPr>
              <w:t xml:space="preserve">רכי בחירות לא תימסר ולא ייעשה בה שימוש אלא </w:t>
            </w:r>
            <w:r>
              <w:rPr>
                <w:rFonts w:hint="cs"/>
                <w:rtl/>
              </w:rPr>
              <w:t>לעניין</w:t>
            </w:r>
            <w:r w:rsidRPr="00AE31C1">
              <w:rPr>
                <w:rFonts w:hint="cs"/>
                <w:rtl/>
              </w:rPr>
              <w:t xml:space="preserve"> פרק זה.</w:t>
            </w:r>
            <w:r>
              <w:rPr>
                <w:rFonts w:hint="cs"/>
                <w:rtl/>
              </w:rPr>
              <w:t xml:space="preserve"> </w:t>
            </w:r>
          </w:p>
        </w:tc>
      </w:tr>
      <w:tr w:rsidR="00363AA3" w14:paraId="694385B7" w14:textId="77777777" w:rsidTr="00237F78">
        <w:trPr>
          <w:cantSplit/>
        </w:trPr>
        <w:tc>
          <w:tcPr>
            <w:tcW w:w="1870" w:type="dxa"/>
          </w:tcPr>
          <w:p w14:paraId="091D8F3D" w14:textId="77777777" w:rsidR="00363AA3" w:rsidRDefault="00363AA3" w:rsidP="00237F78">
            <w:pPr>
              <w:pStyle w:val="TableSideHeading"/>
            </w:pPr>
          </w:p>
        </w:tc>
        <w:tc>
          <w:tcPr>
            <w:tcW w:w="624" w:type="dxa"/>
          </w:tcPr>
          <w:p w14:paraId="4E0CCC5C" w14:textId="77777777" w:rsidR="00363AA3" w:rsidRDefault="00363AA3" w:rsidP="00237F78">
            <w:pPr>
              <w:pStyle w:val="TableText"/>
            </w:pPr>
          </w:p>
        </w:tc>
        <w:tc>
          <w:tcPr>
            <w:tcW w:w="624" w:type="dxa"/>
          </w:tcPr>
          <w:p w14:paraId="5C08BDE9" w14:textId="77777777" w:rsidR="00363AA3" w:rsidRDefault="00363AA3" w:rsidP="00237F78">
            <w:pPr>
              <w:pStyle w:val="TableText"/>
            </w:pPr>
          </w:p>
        </w:tc>
        <w:tc>
          <w:tcPr>
            <w:tcW w:w="624" w:type="dxa"/>
          </w:tcPr>
          <w:p w14:paraId="566A8157" w14:textId="77777777" w:rsidR="00363AA3" w:rsidRDefault="00363AA3" w:rsidP="00237F78">
            <w:pPr>
              <w:pStyle w:val="TableText"/>
            </w:pPr>
          </w:p>
        </w:tc>
        <w:tc>
          <w:tcPr>
            <w:tcW w:w="624" w:type="dxa"/>
          </w:tcPr>
          <w:p w14:paraId="4EF0BD72" w14:textId="77777777" w:rsidR="00363AA3" w:rsidRDefault="00363AA3" w:rsidP="00237F78">
            <w:pPr>
              <w:pStyle w:val="TableText"/>
            </w:pPr>
          </w:p>
        </w:tc>
        <w:tc>
          <w:tcPr>
            <w:tcW w:w="624" w:type="dxa"/>
          </w:tcPr>
          <w:p w14:paraId="04A0AC43" w14:textId="77777777" w:rsidR="00363AA3" w:rsidRDefault="00363AA3" w:rsidP="00237F78">
            <w:pPr>
              <w:pStyle w:val="TableText"/>
            </w:pPr>
          </w:p>
        </w:tc>
        <w:tc>
          <w:tcPr>
            <w:tcW w:w="4649" w:type="dxa"/>
          </w:tcPr>
          <w:p w14:paraId="22FD44C2" w14:textId="77777777" w:rsidR="00363AA3" w:rsidRDefault="00363AA3" w:rsidP="00237F78">
            <w:pPr>
              <w:pStyle w:val="TableBlock"/>
            </w:pPr>
            <w:r>
              <w:rPr>
                <w:rFonts w:hint="cs"/>
                <w:rtl/>
              </w:rPr>
              <w:t>(ב)</w:t>
            </w:r>
            <w:r>
              <w:rPr>
                <w:rtl/>
              </w:rPr>
              <w:tab/>
            </w:r>
            <w:r>
              <w:rPr>
                <w:rFonts w:hint="cs"/>
                <w:rtl/>
              </w:rPr>
              <w:t>רישום כתובת לצורכי בחירות לא יגרע מזכותו של אדם לפי כל דין התלויה במענו הרשום במרשם האוכלוסין."</w:t>
            </w:r>
          </w:p>
        </w:tc>
      </w:tr>
      <w:tr w:rsidR="00363AA3" w14:paraId="1CF21435" w14:textId="77777777" w:rsidTr="00237F78">
        <w:trPr>
          <w:cantSplit/>
        </w:trPr>
        <w:tc>
          <w:tcPr>
            <w:tcW w:w="1870" w:type="dxa"/>
          </w:tcPr>
          <w:p w14:paraId="5E6DA302" w14:textId="77777777" w:rsidR="00363AA3" w:rsidRDefault="00363AA3" w:rsidP="00237F78">
            <w:pPr>
              <w:pStyle w:val="TableSideHeading"/>
              <w:keepLines w:val="0"/>
              <w:rPr>
                <w:rtl/>
              </w:rPr>
            </w:pPr>
            <w:r>
              <w:rPr>
                <w:rFonts w:hint="cs"/>
                <w:rtl/>
              </w:rPr>
              <w:t>תיקון סעיף 68א</w:t>
            </w:r>
          </w:p>
          <w:p w14:paraId="2F13624A" w14:textId="32D2D908" w:rsidR="00363AA3" w:rsidRDefault="00363AA3" w:rsidP="000A0DBD">
            <w:pPr>
              <w:pStyle w:val="TableSideHeading"/>
              <w:keepLines w:val="0"/>
            </w:pPr>
          </w:p>
        </w:tc>
        <w:tc>
          <w:tcPr>
            <w:tcW w:w="624" w:type="dxa"/>
          </w:tcPr>
          <w:p w14:paraId="15AE6D34" w14:textId="77777777" w:rsidR="00363AA3" w:rsidRPr="002D0FE0" w:rsidRDefault="00363AA3" w:rsidP="00237F78">
            <w:pPr>
              <w:pStyle w:val="TableText"/>
              <w:keepLines w:val="0"/>
              <w:tabs>
                <w:tab w:val="clear" w:pos="624"/>
              </w:tabs>
            </w:pPr>
            <w:r w:rsidRPr="002D0FE0">
              <w:rPr>
                <w:rFonts w:hint="cs"/>
                <w:rtl/>
              </w:rPr>
              <w:t>2.</w:t>
            </w:r>
          </w:p>
        </w:tc>
        <w:tc>
          <w:tcPr>
            <w:tcW w:w="7145" w:type="dxa"/>
            <w:gridSpan w:val="5"/>
          </w:tcPr>
          <w:p w14:paraId="5FA01FD5" w14:textId="21ED560A" w:rsidR="00363AA3" w:rsidRPr="002D0FE0" w:rsidRDefault="00363AA3" w:rsidP="00363AA3">
            <w:pPr>
              <w:pStyle w:val="TableBlock"/>
            </w:pPr>
            <w:r w:rsidRPr="002D0FE0">
              <w:rPr>
                <w:rFonts w:hint="cs"/>
                <w:rtl/>
              </w:rPr>
              <w:t>בסעיף 68א(ד) לחוק העיקרי, במקום "שנקבעה" יבוא "בתחומי היישוב שבו רשום מענו במרשם האוכלוסין וכן בכל קלפי בתחומי היישוב שבו רשומה לו כתובת לצורכי בחירות לפי סעיף 30א שנקבעו".</w:t>
            </w:r>
          </w:p>
        </w:tc>
      </w:tr>
      <w:tr w:rsidR="00363AA3" w:rsidRPr="00EE5228" w14:paraId="2AC22775" w14:textId="77777777" w:rsidTr="00237F78">
        <w:trPr>
          <w:cantSplit/>
        </w:trPr>
        <w:tc>
          <w:tcPr>
            <w:tcW w:w="1870" w:type="dxa"/>
          </w:tcPr>
          <w:p w14:paraId="0DFE0954" w14:textId="77777777" w:rsidR="00363AA3" w:rsidRPr="00EE5228" w:rsidRDefault="00363AA3" w:rsidP="00237F78">
            <w:pPr>
              <w:pStyle w:val="TableSideHeading"/>
              <w:keepLines w:val="0"/>
            </w:pPr>
            <w:r w:rsidRPr="00EE5228">
              <w:rPr>
                <w:rFonts w:hint="cs"/>
                <w:rtl/>
              </w:rPr>
              <w:t>תיקון חוק מרשם האוכלוסין</w:t>
            </w:r>
          </w:p>
        </w:tc>
        <w:tc>
          <w:tcPr>
            <w:tcW w:w="624" w:type="dxa"/>
          </w:tcPr>
          <w:p w14:paraId="65B88759" w14:textId="77777777" w:rsidR="00363AA3" w:rsidRPr="00EE5228" w:rsidRDefault="00363AA3" w:rsidP="00237F78">
            <w:pPr>
              <w:pStyle w:val="TableText"/>
              <w:keepLines w:val="0"/>
              <w:tabs>
                <w:tab w:val="clear" w:pos="624"/>
              </w:tabs>
            </w:pPr>
            <w:r>
              <w:rPr>
                <w:rFonts w:hint="cs"/>
                <w:rtl/>
              </w:rPr>
              <w:t>3.</w:t>
            </w:r>
          </w:p>
        </w:tc>
        <w:tc>
          <w:tcPr>
            <w:tcW w:w="7145" w:type="dxa"/>
            <w:gridSpan w:val="5"/>
          </w:tcPr>
          <w:p w14:paraId="732D4522" w14:textId="77777777" w:rsidR="00363AA3" w:rsidRPr="00EE5228" w:rsidRDefault="00363AA3" w:rsidP="00237F78">
            <w:pPr>
              <w:pStyle w:val="TableBlock"/>
            </w:pPr>
            <w:r w:rsidRPr="00EE5228">
              <w:rPr>
                <w:rFonts w:hint="cs"/>
                <w:rtl/>
              </w:rPr>
              <w:t>ב</w:t>
            </w:r>
            <w:r w:rsidRPr="00EE5228">
              <w:rPr>
                <w:rtl/>
              </w:rPr>
              <w:t xml:space="preserve">חוק מרשם האוכלוסין, </w:t>
            </w:r>
            <w:proofErr w:type="spellStart"/>
            <w:r w:rsidRPr="00EE5228">
              <w:rPr>
                <w:rFonts w:hint="cs"/>
                <w:rtl/>
              </w:rPr>
              <w:t>ה</w:t>
            </w:r>
            <w:r w:rsidRPr="00EE5228">
              <w:rPr>
                <w:rtl/>
              </w:rPr>
              <w:t>תשכ"ה</w:t>
            </w:r>
            <w:proofErr w:type="spellEnd"/>
            <w:r>
              <w:rPr>
                <w:rFonts w:hint="cs"/>
                <w:rtl/>
              </w:rPr>
              <w:t>–</w:t>
            </w:r>
            <w:r w:rsidRPr="00EE5228">
              <w:rPr>
                <w:rtl/>
              </w:rPr>
              <w:t>1965</w:t>
            </w:r>
            <w:r w:rsidRPr="00EE5228">
              <w:rPr>
                <w:rStyle w:val="a8"/>
                <w:rtl/>
              </w:rPr>
              <w:footnoteReference w:id="3"/>
            </w:r>
            <w:r w:rsidRPr="00EE5228">
              <w:rPr>
                <w:rFonts w:hint="cs"/>
                <w:rtl/>
              </w:rPr>
              <w:t>, בסעיף 2א, אחרי פסקה (11ב) יבוא:</w:t>
            </w:r>
          </w:p>
        </w:tc>
      </w:tr>
      <w:tr w:rsidR="00363AA3" w:rsidRPr="00EE5228" w14:paraId="3A0ADF51" w14:textId="77777777" w:rsidTr="00237F78">
        <w:trPr>
          <w:cantSplit/>
        </w:trPr>
        <w:tc>
          <w:tcPr>
            <w:tcW w:w="1870" w:type="dxa"/>
          </w:tcPr>
          <w:p w14:paraId="757081F3" w14:textId="77777777" w:rsidR="00363AA3" w:rsidRPr="00EE5228" w:rsidRDefault="00363AA3" w:rsidP="00237F78">
            <w:pPr>
              <w:pStyle w:val="TableSideHeading"/>
              <w:keepLines w:val="0"/>
              <w:rPr>
                <w:rtl/>
              </w:rPr>
            </w:pPr>
          </w:p>
        </w:tc>
        <w:tc>
          <w:tcPr>
            <w:tcW w:w="624" w:type="dxa"/>
          </w:tcPr>
          <w:p w14:paraId="78364E4C" w14:textId="77777777" w:rsidR="00363AA3" w:rsidRPr="00EE5228" w:rsidRDefault="00363AA3" w:rsidP="00237F78">
            <w:pPr>
              <w:pStyle w:val="TableText"/>
            </w:pPr>
          </w:p>
        </w:tc>
        <w:tc>
          <w:tcPr>
            <w:tcW w:w="7145" w:type="dxa"/>
            <w:gridSpan w:val="5"/>
          </w:tcPr>
          <w:p w14:paraId="56669FBC" w14:textId="77777777" w:rsidR="00363AA3" w:rsidRPr="00EE5228" w:rsidRDefault="00363AA3" w:rsidP="00237F78">
            <w:pPr>
              <w:pStyle w:val="TableBlock"/>
              <w:rPr>
                <w:rtl/>
              </w:rPr>
            </w:pPr>
            <w:r w:rsidRPr="00EE5228">
              <w:rPr>
                <w:rFonts w:hint="cs"/>
                <w:rtl/>
              </w:rPr>
              <w:t>"(11ג)</w:t>
            </w:r>
            <w:r w:rsidRPr="00EE5228">
              <w:rPr>
                <w:rtl/>
              </w:rPr>
              <w:tab/>
            </w:r>
            <w:r>
              <w:rPr>
                <w:rFonts w:hint="cs"/>
                <w:rtl/>
              </w:rPr>
              <w:t xml:space="preserve">כתובת </w:t>
            </w:r>
            <w:r w:rsidRPr="00EE5228">
              <w:rPr>
                <w:rFonts w:hint="cs"/>
                <w:rtl/>
              </w:rPr>
              <w:t>לצ</w:t>
            </w:r>
            <w:r>
              <w:rPr>
                <w:rFonts w:hint="cs"/>
                <w:rtl/>
              </w:rPr>
              <w:t>ו</w:t>
            </w:r>
            <w:r w:rsidRPr="00EE5228">
              <w:rPr>
                <w:rFonts w:hint="cs"/>
                <w:rtl/>
              </w:rPr>
              <w:t>רכי בחירות</w:t>
            </w:r>
            <w:r>
              <w:rPr>
                <w:rFonts w:hint="cs"/>
                <w:rtl/>
              </w:rPr>
              <w:t>,</w:t>
            </w:r>
            <w:r w:rsidRPr="00EE5228">
              <w:rPr>
                <w:rtl/>
              </w:rPr>
              <w:t xml:space="preserve"> כמשמעות</w:t>
            </w:r>
            <w:r>
              <w:rPr>
                <w:rFonts w:hint="cs"/>
                <w:rtl/>
              </w:rPr>
              <w:t>ה</w:t>
            </w:r>
            <w:r w:rsidRPr="00EE5228">
              <w:rPr>
                <w:rtl/>
              </w:rPr>
              <w:t xml:space="preserve"> ב</w:t>
            </w:r>
            <w:r w:rsidRPr="00EE5228">
              <w:rPr>
                <w:rFonts w:hint="cs"/>
                <w:rtl/>
              </w:rPr>
              <w:t xml:space="preserve">סעיף 30א לחוק הבחירות לכנסת [נוסח משולב], </w:t>
            </w:r>
            <w:proofErr w:type="spellStart"/>
            <w:r w:rsidRPr="00EE5228">
              <w:rPr>
                <w:rFonts w:hint="cs"/>
                <w:rtl/>
              </w:rPr>
              <w:t>התשכ"ט</w:t>
            </w:r>
            <w:proofErr w:type="spellEnd"/>
            <w:r>
              <w:rPr>
                <w:rFonts w:hint="eastAsia"/>
                <w:rtl/>
              </w:rPr>
              <w:t>–</w:t>
            </w:r>
            <w:r w:rsidRPr="00EE5228">
              <w:rPr>
                <w:rFonts w:hint="cs"/>
                <w:rtl/>
              </w:rPr>
              <w:t xml:space="preserve">1969, </w:t>
            </w:r>
            <w:r w:rsidRPr="00EE5228">
              <w:rPr>
                <w:rtl/>
              </w:rPr>
              <w:t>ככל שנמסרה על כך הודעה</w:t>
            </w:r>
            <w:r w:rsidRPr="00EE5228">
              <w:rPr>
                <w:rFonts w:hint="cs"/>
                <w:rtl/>
              </w:rPr>
              <w:t xml:space="preserve">, </w:t>
            </w:r>
            <w:r>
              <w:rPr>
                <w:rFonts w:hint="cs"/>
                <w:rtl/>
              </w:rPr>
              <w:t>ולתקופת רישומה לפי הוראות הסעיף האמור."</w:t>
            </w:r>
          </w:p>
        </w:tc>
      </w:tr>
      <w:tr w:rsidR="00363AA3" w:rsidRPr="00EE5228" w14:paraId="54153AB6" w14:textId="77777777" w:rsidTr="00237F78">
        <w:trPr>
          <w:cantSplit/>
        </w:trPr>
        <w:tc>
          <w:tcPr>
            <w:tcW w:w="1870" w:type="dxa"/>
          </w:tcPr>
          <w:p w14:paraId="2052BFFE" w14:textId="00D6F5B6" w:rsidR="00363AA3" w:rsidRPr="00EE5228" w:rsidRDefault="00363AA3" w:rsidP="003234EF">
            <w:pPr>
              <w:pStyle w:val="TableSideHeading"/>
              <w:keepLines w:val="0"/>
              <w:rPr>
                <w:rtl/>
              </w:rPr>
            </w:pPr>
            <w:r>
              <w:rPr>
                <w:rFonts w:hint="cs"/>
                <w:rtl/>
              </w:rPr>
              <w:t xml:space="preserve">תחילה </w:t>
            </w:r>
            <w:r>
              <w:rPr>
                <w:rtl/>
              </w:rPr>
              <w:t>–</w:t>
            </w:r>
            <w:r>
              <w:rPr>
                <w:rFonts w:hint="cs"/>
                <w:rtl/>
              </w:rPr>
              <w:t xml:space="preserve"> פרק א'</w:t>
            </w:r>
          </w:p>
        </w:tc>
        <w:tc>
          <w:tcPr>
            <w:tcW w:w="624" w:type="dxa"/>
          </w:tcPr>
          <w:p w14:paraId="219C3D4E" w14:textId="77777777" w:rsidR="00363AA3" w:rsidRPr="00EE5228" w:rsidRDefault="00363AA3" w:rsidP="00237F78">
            <w:pPr>
              <w:pStyle w:val="TableText"/>
              <w:keepLines w:val="0"/>
              <w:tabs>
                <w:tab w:val="clear" w:pos="624"/>
              </w:tabs>
            </w:pPr>
            <w:r>
              <w:rPr>
                <w:rFonts w:hint="cs"/>
                <w:rtl/>
              </w:rPr>
              <w:t>4.</w:t>
            </w:r>
          </w:p>
        </w:tc>
        <w:tc>
          <w:tcPr>
            <w:tcW w:w="7145" w:type="dxa"/>
            <w:gridSpan w:val="5"/>
          </w:tcPr>
          <w:p w14:paraId="01E89E80" w14:textId="77777777" w:rsidR="00363AA3" w:rsidRPr="00EE5228" w:rsidRDefault="00363AA3" w:rsidP="00237F78">
            <w:pPr>
              <w:pStyle w:val="TableBlock"/>
              <w:rPr>
                <w:rtl/>
              </w:rPr>
            </w:pPr>
            <w:r>
              <w:rPr>
                <w:rFonts w:hint="cs"/>
                <w:rtl/>
              </w:rPr>
              <w:t>תחילתו של פרק זה שישה חודשים מיום פרסומו.</w:t>
            </w:r>
          </w:p>
        </w:tc>
      </w:tr>
      <w:tr w:rsidR="00363AA3" w14:paraId="0BBD0630" w14:textId="77777777" w:rsidTr="00237F78">
        <w:trPr>
          <w:cantSplit/>
        </w:trPr>
        <w:tc>
          <w:tcPr>
            <w:tcW w:w="1870" w:type="dxa"/>
          </w:tcPr>
          <w:p w14:paraId="72A845FA" w14:textId="77777777" w:rsidR="00363AA3" w:rsidRDefault="00363AA3" w:rsidP="00237F78">
            <w:pPr>
              <w:pStyle w:val="TableSideHeading"/>
            </w:pPr>
          </w:p>
        </w:tc>
        <w:tc>
          <w:tcPr>
            <w:tcW w:w="624" w:type="dxa"/>
          </w:tcPr>
          <w:p w14:paraId="3C9181F4" w14:textId="77777777" w:rsidR="00363AA3" w:rsidRDefault="00363AA3" w:rsidP="00237F78">
            <w:pPr>
              <w:pStyle w:val="TableText"/>
            </w:pPr>
          </w:p>
        </w:tc>
        <w:tc>
          <w:tcPr>
            <w:tcW w:w="7145" w:type="dxa"/>
            <w:gridSpan w:val="5"/>
          </w:tcPr>
          <w:p w14:paraId="35334A7A" w14:textId="50B80567" w:rsidR="00363AA3" w:rsidRPr="00C34DE2" w:rsidRDefault="00363AA3" w:rsidP="00237F78">
            <w:pPr>
              <w:pStyle w:val="TableHead"/>
            </w:pPr>
            <w:r>
              <w:rPr>
                <w:rFonts w:hint="cs"/>
                <w:rtl/>
              </w:rPr>
              <w:t xml:space="preserve">פרק </w:t>
            </w:r>
            <w:r w:rsidR="00A32458">
              <w:rPr>
                <w:rFonts w:hint="cs"/>
                <w:rtl/>
              </w:rPr>
              <w:t>ב</w:t>
            </w:r>
            <w:r>
              <w:rPr>
                <w:rFonts w:hint="cs"/>
                <w:rtl/>
              </w:rPr>
              <w:t>': הצבעת עובדי ועדות הבחירות</w:t>
            </w:r>
          </w:p>
        </w:tc>
      </w:tr>
      <w:tr w:rsidR="00363AA3" w14:paraId="66E7EA22" w14:textId="77777777" w:rsidTr="00237F78">
        <w:trPr>
          <w:cantSplit/>
        </w:trPr>
        <w:tc>
          <w:tcPr>
            <w:tcW w:w="1870" w:type="dxa"/>
            <w:hideMark/>
          </w:tcPr>
          <w:p w14:paraId="6DA30712" w14:textId="77777777" w:rsidR="00363AA3" w:rsidRDefault="00363AA3" w:rsidP="00237F78">
            <w:pPr>
              <w:pStyle w:val="TableSideHeading"/>
              <w:keepLines w:val="0"/>
              <w:rPr>
                <w:rtl/>
              </w:rPr>
            </w:pPr>
            <w:r>
              <w:rPr>
                <w:rFonts w:hint="cs"/>
                <w:rtl/>
              </w:rPr>
              <w:t xml:space="preserve">תיקון כותרת </w:t>
            </w:r>
            <w:r>
              <w:rPr>
                <w:rtl/>
              </w:rPr>
              <w:br/>
            </w:r>
            <w:r>
              <w:rPr>
                <w:rFonts w:hint="cs"/>
                <w:rtl/>
              </w:rPr>
              <w:t>פרק י'4</w:t>
            </w:r>
          </w:p>
        </w:tc>
        <w:tc>
          <w:tcPr>
            <w:tcW w:w="624" w:type="dxa"/>
          </w:tcPr>
          <w:p w14:paraId="2253411E" w14:textId="3EB4226D" w:rsidR="00363AA3" w:rsidRDefault="002336D0" w:rsidP="00237F78">
            <w:pPr>
              <w:pStyle w:val="TableText"/>
              <w:keepLines w:val="0"/>
              <w:textAlignment w:val="auto"/>
              <w:rPr>
                <w:rtl/>
              </w:rPr>
            </w:pPr>
            <w:r>
              <w:rPr>
                <w:rFonts w:hint="cs"/>
                <w:rtl/>
              </w:rPr>
              <w:t>5</w:t>
            </w:r>
            <w:r w:rsidR="00363AA3">
              <w:rPr>
                <w:rFonts w:hint="cs"/>
                <w:rtl/>
              </w:rPr>
              <w:t>.</w:t>
            </w:r>
          </w:p>
        </w:tc>
        <w:tc>
          <w:tcPr>
            <w:tcW w:w="7145" w:type="dxa"/>
            <w:gridSpan w:val="5"/>
            <w:hideMark/>
          </w:tcPr>
          <w:p w14:paraId="6EF5CDE0" w14:textId="77777777" w:rsidR="00363AA3" w:rsidRDefault="00363AA3" w:rsidP="00237F78">
            <w:pPr>
              <w:pStyle w:val="TableBlock"/>
            </w:pPr>
            <w:r>
              <w:rPr>
                <w:rFonts w:hint="cs"/>
                <w:rtl/>
              </w:rPr>
              <w:t xml:space="preserve">בכותרת פרק י'4 לחוק העיקרי, במקום "וחברי ועדת קלפי" יבוא "חברי ועדת קלפי ועובדי ועדות הבחירות". </w:t>
            </w:r>
          </w:p>
        </w:tc>
      </w:tr>
      <w:tr w:rsidR="00363AA3" w14:paraId="4D12D728" w14:textId="77777777" w:rsidTr="00237F78">
        <w:trPr>
          <w:cantSplit/>
        </w:trPr>
        <w:tc>
          <w:tcPr>
            <w:tcW w:w="1870" w:type="dxa"/>
            <w:hideMark/>
          </w:tcPr>
          <w:p w14:paraId="6A0DF995" w14:textId="77777777" w:rsidR="00363AA3" w:rsidRDefault="00363AA3" w:rsidP="00237F78">
            <w:pPr>
              <w:pStyle w:val="TableSideHeading"/>
              <w:keepLines w:val="0"/>
              <w:rPr>
                <w:rtl/>
              </w:rPr>
            </w:pPr>
            <w:r>
              <w:rPr>
                <w:rFonts w:hint="cs"/>
                <w:rtl/>
              </w:rPr>
              <w:t>הוספת סעיף 116יט1</w:t>
            </w:r>
          </w:p>
        </w:tc>
        <w:tc>
          <w:tcPr>
            <w:tcW w:w="624" w:type="dxa"/>
          </w:tcPr>
          <w:p w14:paraId="352CC42A" w14:textId="1F99798E" w:rsidR="00363AA3" w:rsidRDefault="002336D0" w:rsidP="00237F78">
            <w:pPr>
              <w:pStyle w:val="TableText"/>
              <w:keepLines w:val="0"/>
              <w:textAlignment w:val="auto"/>
              <w:rPr>
                <w:rtl/>
              </w:rPr>
            </w:pPr>
            <w:r>
              <w:rPr>
                <w:rFonts w:hint="cs"/>
                <w:rtl/>
              </w:rPr>
              <w:t>6</w:t>
            </w:r>
            <w:r w:rsidR="00363AA3">
              <w:rPr>
                <w:rFonts w:hint="cs"/>
                <w:rtl/>
              </w:rPr>
              <w:t>.</w:t>
            </w:r>
          </w:p>
        </w:tc>
        <w:tc>
          <w:tcPr>
            <w:tcW w:w="7145" w:type="dxa"/>
            <w:gridSpan w:val="5"/>
            <w:hideMark/>
          </w:tcPr>
          <w:p w14:paraId="116E3C7A" w14:textId="77777777" w:rsidR="00363AA3" w:rsidRDefault="00363AA3" w:rsidP="00237F78">
            <w:pPr>
              <w:pStyle w:val="TableBlock"/>
              <w:rPr>
                <w:rtl/>
              </w:rPr>
            </w:pPr>
            <w:r>
              <w:rPr>
                <w:rFonts w:hint="cs"/>
                <w:rtl/>
              </w:rPr>
              <w:t>אחרי סעיף 116יח לחוק העיקרי יבוא:</w:t>
            </w:r>
          </w:p>
        </w:tc>
      </w:tr>
      <w:tr w:rsidR="00363AA3" w14:paraId="61982AD4" w14:textId="77777777" w:rsidTr="00237F78">
        <w:trPr>
          <w:cantSplit/>
        </w:trPr>
        <w:tc>
          <w:tcPr>
            <w:tcW w:w="1870" w:type="dxa"/>
          </w:tcPr>
          <w:p w14:paraId="66D4F444" w14:textId="06157E0D" w:rsidR="00363AA3" w:rsidRPr="00032F5F" w:rsidRDefault="00032F5F" w:rsidP="00032F5F">
            <w:pPr>
              <w:pStyle w:val="TableSideHeading"/>
              <w:keepLines w:val="0"/>
              <w:rPr>
                <w:b/>
                <w:bCs/>
                <w:color w:val="FF0000"/>
                <w:rtl/>
              </w:rPr>
            </w:pPr>
            <w:r w:rsidRPr="00032F5F">
              <w:rPr>
                <w:rFonts w:hint="cs"/>
                <w:b/>
                <w:bCs/>
                <w:rtl/>
              </w:rPr>
              <w:lastRenderedPageBreak/>
              <w:t xml:space="preserve">[לדיון: החלת הסעיף על חברי ועדת הבחירות, או על </w:t>
            </w:r>
            <w:r>
              <w:rPr>
                <w:rFonts w:hint="cs"/>
                <w:b/>
                <w:bCs/>
                <w:rtl/>
              </w:rPr>
              <w:t>סגני היושב ראש</w:t>
            </w:r>
            <w:r w:rsidRPr="00032F5F">
              <w:rPr>
                <w:rFonts w:hint="cs"/>
                <w:b/>
                <w:bCs/>
                <w:rtl/>
              </w:rPr>
              <w:t>]</w:t>
            </w:r>
          </w:p>
        </w:tc>
        <w:tc>
          <w:tcPr>
            <w:tcW w:w="624" w:type="dxa"/>
          </w:tcPr>
          <w:p w14:paraId="12ABD3A2" w14:textId="77777777" w:rsidR="00363AA3" w:rsidRDefault="00363AA3" w:rsidP="00237F78">
            <w:pPr>
              <w:pStyle w:val="TableText"/>
              <w:keepLines w:val="0"/>
            </w:pPr>
          </w:p>
        </w:tc>
        <w:tc>
          <w:tcPr>
            <w:tcW w:w="1872" w:type="dxa"/>
            <w:gridSpan w:val="3"/>
            <w:hideMark/>
          </w:tcPr>
          <w:p w14:paraId="64E2BC26" w14:textId="77777777" w:rsidR="00363AA3" w:rsidRDefault="00363AA3" w:rsidP="00237F78">
            <w:pPr>
              <w:pStyle w:val="TableInnerSideHeading"/>
            </w:pPr>
            <w:r>
              <w:rPr>
                <w:rFonts w:hint="cs"/>
                <w:rtl/>
              </w:rPr>
              <w:t>"הצבעת עובדי ועדות הבחירות</w:t>
            </w:r>
          </w:p>
        </w:tc>
        <w:tc>
          <w:tcPr>
            <w:tcW w:w="624" w:type="dxa"/>
            <w:hideMark/>
          </w:tcPr>
          <w:p w14:paraId="6958F6E3" w14:textId="77777777" w:rsidR="00363AA3" w:rsidRPr="00650739" w:rsidRDefault="00363AA3" w:rsidP="00237F78">
            <w:pPr>
              <w:pStyle w:val="TableText"/>
              <w:ind w:right="0"/>
              <w:rPr>
                <w:spacing w:val="-12"/>
                <w:w w:val="92"/>
                <w:rtl/>
              </w:rPr>
            </w:pPr>
            <w:r w:rsidRPr="00650739">
              <w:rPr>
                <w:spacing w:val="-12"/>
                <w:w w:val="92"/>
                <w:rtl/>
              </w:rPr>
              <w:t>116י</w:t>
            </w:r>
            <w:r w:rsidRPr="00650739">
              <w:rPr>
                <w:rFonts w:hint="eastAsia"/>
                <w:spacing w:val="-12"/>
                <w:w w:val="92"/>
                <w:rtl/>
              </w:rPr>
              <w:t>ט</w:t>
            </w:r>
            <w:r w:rsidRPr="00650739">
              <w:rPr>
                <w:spacing w:val="-12"/>
                <w:w w:val="92"/>
                <w:rtl/>
              </w:rPr>
              <w:t>1.</w:t>
            </w:r>
          </w:p>
        </w:tc>
        <w:tc>
          <w:tcPr>
            <w:tcW w:w="4649" w:type="dxa"/>
            <w:hideMark/>
          </w:tcPr>
          <w:p w14:paraId="150450B0" w14:textId="77777777" w:rsidR="00363AA3" w:rsidRDefault="00363AA3" w:rsidP="00237F78">
            <w:pPr>
              <w:pStyle w:val="TableBlock"/>
              <w:numPr>
                <w:ilvl w:val="0"/>
                <w:numId w:val="3"/>
              </w:numPr>
              <w:tabs>
                <w:tab w:val="left" w:pos="624"/>
              </w:tabs>
              <w:textAlignment w:val="auto"/>
              <w:rPr>
                <w:rtl/>
              </w:rPr>
            </w:pPr>
            <w:r>
              <w:rPr>
                <w:rFonts w:hint="cs"/>
                <w:rtl/>
              </w:rPr>
              <w:t>עובד של הוועדה המרכזית או של ועדה אזורית רשאי להצביע בקלפי שבאזור הבחירות שבו הוא עובד ביום הבחירות, בדרך שבה מצביע בקלפי מזכיר ועדת הקלפי לפי סעיף 116יח, ובלבד ש</w:t>
            </w:r>
            <w:r w:rsidRPr="006D34BF">
              <w:rPr>
                <w:rFonts w:hint="cs"/>
                <w:rtl/>
              </w:rPr>
              <w:t xml:space="preserve">יושב ראש </w:t>
            </w:r>
            <w:r>
              <w:rPr>
                <w:rFonts w:hint="cs"/>
                <w:rtl/>
              </w:rPr>
              <w:t>הו</w:t>
            </w:r>
            <w:r w:rsidRPr="006D34BF">
              <w:rPr>
                <w:rFonts w:hint="cs"/>
                <w:rtl/>
              </w:rPr>
              <w:t>ועד</w:t>
            </w:r>
            <w:r>
              <w:rPr>
                <w:rFonts w:hint="cs"/>
                <w:rtl/>
              </w:rPr>
              <w:t>ה</w:t>
            </w:r>
            <w:r w:rsidRPr="006D34BF">
              <w:rPr>
                <w:rFonts w:hint="cs"/>
                <w:rtl/>
              </w:rPr>
              <w:t xml:space="preserve"> המרכזית, </w:t>
            </w:r>
            <w:r>
              <w:rPr>
                <w:rFonts w:hint="cs"/>
                <w:rtl/>
              </w:rPr>
              <w:t>או עובד הוועדה שהוא הסמיך לכך</w:t>
            </w:r>
            <w:r w:rsidRPr="006D34BF">
              <w:rPr>
                <w:rFonts w:hint="cs"/>
                <w:rtl/>
              </w:rPr>
              <w:t xml:space="preserve">, נוכח כי קיימות נסיבות הקשורות למילוי תפקידו של </w:t>
            </w:r>
            <w:r>
              <w:rPr>
                <w:rFonts w:hint="cs"/>
                <w:rtl/>
              </w:rPr>
              <w:t>העובד</w:t>
            </w:r>
            <w:r w:rsidRPr="006D34BF">
              <w:rPr>
                <w:rFonts w:hint="cs"/>
                <w:rtl/>
              </w:rPr>
              <w:t xml:space="preserve"> אשר בשלהן נבצר ממנו להצביע בקלפי באזור מגוריו</w:t>
            </w:r>
            <w:r>
              <w:rPr>
                <w:rFonts w:hint="cs"/>
                <w:rtl/>
              </w:rPr>
              <w:t xml:space="preserve">, והוא הציג תעודה שהנפיקה לו הוועדה המרכזית ובה צוין כי הוא רשאי להצביע כאמור בסעיף זה. </w:t>
            </w:r>
          </w:p>
        </w:tc>
      </w:tr>
      <w:tr w:rsidR="00363AA3" w14:paraId="45050F50" w14:textId="77777777" w:rsidTr="00237F78">
        <w:trPr>
          <w:cantSplit/>
        </w:trPr>
        <w:tc>
          <w:tcPr>
            <w:tcW w:w="1870" w:type="dxa"/>
          </w:tcPr>
          <w:p w14:paraId="25AFFE61" w14:textId="60E32650" w:rsidR="00363AA3" w:rsidRPr="003B2520" w:rsidRDefault="00363AA3" w:rsidP="000A0DBD">
            <w:pPr>
              <w:pStyle w:val="TableSideHeading"/>
              <w:rPr>
                <w:rtl/>
              </w:rPr>
            </w:pPr>
          </w:p>
        </w:tc>
        <w:tc>
          <w:tcPr>
            <w:tcW w:w="624" w:type="dxa"/>
          </w:tcPr>
          <w:p w14:paraId="6BBE9046" w14:textId="77777777" w:rsidR="00363AA3" w:rsidRDefault="00363AA3" w:rsidP="00237F78">
            <w:pPr>
              <w:pStyle w:val="TableText"/>
            </w:pPr>
          </w:p>
        </w:tc>
        <w:tc>
          <w:tcPr>
            <w:tcW w:w="624" w:type="dxa"/>
          </w:tcPr>
          <w:p w14:paraId="08B1C0BF" w14:textId="77777777" w:rsidR="00363AA3" w:rsidRDefault="00363AA3" w:rsidP="00237F78">
            <w:pPr>
              <w:pStyle w:val="TableText"/>
            </w:pPr>
          </w:p>
        </w:tc>
        <w:tc>
          <w:tcPr>
            <w:tcW w:w="624" w:type="dxa"/>
          </w:tcPr>
          <w:p w14:paraId="263C27D8" w14:textId="77777777" w:rsidR="00363AA3" w:rsidRDefault="00363AA3" w:rsidP="00237F78">
            <w:pPr>
              <w:pStyle w:val="TableText"/>
            </w:pPr>
          </w:p>
        </w:tc>
        <w:tc>
          <w:tcPr>
            <w:tcW w:w="624" w:type="dxa"/>
          </w:tcPr>
          <w:p w14:paraId="6CD155BE" w14:textId="77777777" w:rsidR="00363AA3" w:rsidRDefault="00363AA3" w:rsidP="00237F78">
            <w:pPr>
              <w:pStyle w:val="TableText"/>
            </w:pPr>
          </w:p>
        </w:tc>
        <w:tc>
          <w:tcPr>
            <w:tcW w:w="624" w:type="dxa"/>
          </w:tcPr>
          <w:p w14:paraId="35D356C8" w14:textId="77777777" w:rsidR="00363AA3" w:rsidRPr="00663B70" w:rsidRDefault="00363AA3" w:rsidP="00237F78">
            <w:pPr>
              <w:pStyle w:val="TableText"/>
            </w:pPr>
          </w:p>
        </w:tc>
        <w:tc>
          <w:tcPr>
            <w:tcW w:w="4649" w:type="dxa"/>
            <w:hideMark/>
          </w:tcPr>
          <w:p w14:paraId="07B4FAC5" w14:textId="77777777" w:rsidR="00363AA3" w:rsidRPr="002D0FE0" w:rsidRDefault="00363AA3" w:rsidP="00237F78">
            <w:pPr>
              <w:pStyle w:val="TableBlock"/>
              <w:numPr>
                <w:ilvl w:val="0"/>
                <w:numId w:val="3"/>
              </w:numPr>
              <w:tabs>
                <w:tab w:val="left" w:pos="624"/>
              </w:tabs>
              <w:textAlignment w:val="auto"/>
            </w:pPr>
            <w:r w:rsidRPr="002D0FE0">
              <w:rPr>
                <w:rFonts w:hint="cs"/>
                <w:rtl/>
              </w:rPr>
              <w:t>יושב ראש הוועדה המרכזית רשאי לקבוע מקומות קלפי מיוחדים במקום מושבה של הוועדה המרכזית או של ועדה אזורית לשם הצבעה לפי סעיף זה.</w:t>
            </w:r>
          </w:p>
        </w:tc>
      </w:tr>
      <w:tr w:rsidR="00363AA3" w14:paraId="476F4F1D" w14:textId="77777777" w:rsidTr="00237F78">
        <w:trPr>
          <w:cantSplit/>
        </w:trPr>
        <w:tc>
          <w:tcPr>
            <w:tcW w:w="1870" w:type="dxa"/>
          </w:tcPr>
          <w:p w14:paraId="6E294F4B" w14:textId="77777777" w:rsidR="00363AA3" w:rsidRDefault="00363AA3" w:rsidP="00237F78">
            <w:pPr>
              <w:pStyle w:val="TableSideHeading"/>
              <w:rPr>
                <w:rtl/>
              </w:rPr>
            </w:pPr>
          </w:p>
        </w:tc>
        <w:tc>
          <w:tcPr>
            <w:tcW w:w="624" w:type="dxa"/>
          </w:tcPr>
          <w:p w14:paraId="41D3EB47" w14:textId="77777777" w:rsidR="00363AA3" w:rsidRDefault="00363AA3" w:rsidP="00237F78">
            <w:pPr>
              <w:pStyle w:val="TableText"/>
            </w:pPr>
          </w:p>
        </w:tc>
        <w:tc>
          <w:tcPr>
            <w:tcW w:w="624" w:type="dxa"/>
          </w:tcPr>
          <w:p w14:paraId="79F5E685" w14:textId="77777777" w:rsidR="00363AA3" w:rsidRDefault="00363AA3" w:rsidP="00237F78">
            <w:pPr>
              <w:pStyle w:val="TableText"/>
            </w:pPr>
          </w:p>
        </w:tc>
        <w:tc>
          <w:tcPr>
            <w:tcW w:w="624" w:type="dxa"/>
          </w:tcPr>
          <w:p w14:paraId="69997373" w14:textId="77777777" w:rsidR="00363AA3" w:rsidRDefault="00363AA3" w:rsidP="00237F78">
            <w:pPr>
              <w:pStyle w:val="TableText"/>
            </w:pPr>
          </w:p>
        </w:tc>
        <w:tc>
          <w:tcPr>
            <w:tcW w:w="624" w:type="dxa"/>
          </w:tcPr>
          <w:p w14:paraId="3EEEFBC9" w14:textId="77777777" w:rsidR="00363AA3" w:rsidRDefault="00363AA3" w:rsidP="00237F78">
            <w:pPr>
              <w:pStyle w:val="TableText"/>
            </w:pPr>
          </w:p>
        </w:tc>
        <w:tc>
          <w:tcPr>
            <w:tcW w:w="624" w:type="dxa"/>
          </w:tcPr>
          <w:p w14:paraId="713E3545" w14:textId="77777777" w:rsidR="00363AA3" w:rsidRPr="00663B70" w:rsidRDefault="00363AA3" w:rsidP="00237F78">
            <w:pPr>
              <w:pStyle w:val="TableText"/>
            </w:pPr>
          </w:p>
        </w:tc>
        <w:tc>
          <w:tcPr>
            <w:tcW w:w="4649" w:type="dxa"/>
          </w:tcPr>
          <w:p w14:paraId="7A8E7D71" w14:textId="77777777" w:rsidR="00363AA3" w:rsidRPr="002D0FE0" w:rsidRDefault="00363AA3" w:rsidP="00237F78">
            <w:pPr>
              <w:pStyle w:val="TableBlock"/>
              <w:numPr>
                <w:ilvl w:val="0"/>
                <w:numId w:val="3"/>
              </w:numPr>
              <w:tabs>
                <w:tab w:val="left" w:pos="624"/>
              </w:tabs>
              <w:textAlignment w:val="auto"/>
              <w:rPr>
                <w:rtl/>
              </w:rPr>
            </w:pPr>
            <w:r w:rsidRPr="002D0FE0">
              <w:rPr>
                <w:rtl/>
              </w:rPr>
              <w:t>יושב רא</w:t>
            </w:r>
            <w:r w:rsidRPr="002D0FE0">
              <w:rPr>
                <w:rFonts w:hint="cs"/>
                <w:rtl/>
              </w:rPr>
              <w:t>ש הועדה המרכזית, יקבע הוראות בד</w:t>
            </w:r>
            <w:r w:rsidRPr="002D0FE0">
              <w:rPr>
                <w:rtl/>
              </w:rPr>
              <w:t>בר ס</w:t>
            </w:r>
            <w:r w:rsidRPr="002D0FE0">
              <w:rPr>
                <w:rFonts w:hint="cs"/>
                <w:rtl/>
              </w:rPr>
              <w:t>דרי הפעלתן ועבודתן של קלפיות כאמור בסעיף קטן (ב), ובכלל זה שעות ההצבעה בקלפיות ב</w:t>
            </w:r>
            <w:r w:rsidRPr="002D0FE0">
              <w:rPr>
                <w:rtl/>
              </w:rPr>
              <w:t>כלל או ב</w:t>
            </w:r>
            <w:r w:rsidRPr="002D0FE0">
              <w:rPr>
                <w:rFonts w:hint="cs"/>
                <w:rtl/>
              </w:rPr>
              <w:t>קלפי מסוימת, הרכב ועדות הקלפי ואופן ההצבעה, בכפוף להוראות סעיף 116יח.</w:t>
            </w:r>
          </w:p>
        </w:tc>
      </w:tr>
      <w:tr w:rsidR="00363AA3" w14:paraId="09EB46E5" w14:textId="77777777" w:rsidTr="00237F78">
        <w:trPr>
          <w:cantSplit/>
        </w:trPr>
        <w:tc>
          <w:tcPr>
            <w:tcW w:w="1870" w:type="dxa"/>
          </w:tcPr>
          <w:p w14:paraId="143AD724" w14:textId="77777777" w:rsidR="00363AA3" w:rsidRDefault="00363AA3" w:rsidP="00237F78">
            <w:pPr>
              <w:pStyle w:val="TableSideHeading"/>
              <w:rPr>
                <w:rtl/>
              </w:rPr>
            </w:pPr>
          </w:p>
        </w:tc>
        <w:tc>
          <w:tcPr>
            <w:tcW w:w="624" w:type="dxa"/>
          </w:tcPr>
          <w:p w14:paraId="305C3E1F" w14:textId="77777777" w:rsidR="00363AA3" w:rsidRDefault="00363AA3" w:rsidP="00237F78">
            <w:pPr>
              <w:pStyle w:val="TableText"/>
            </w:pPr>
          </w:p>
        </w:tc>
        <w:tc>
          <w:tcPr>
            <w:tcW w:w="624" w:type="dxa"/>
          </w:tcPr>
          <w:p w14:paraId="5DC7EE05" w14:textId="77777777" w:rsidR="00363AA3" w:rsidRDefault="00363AA3" w:rsidP="00237F78">
            <w:pPr>
              <w:pStyle w:val="TableText"/>
            </w:pPr>
          </w:p>
        </w:tc>
        <w:tc>
          <w:tcPr>
            <w:tcW w:w="624" w:type="dxa"/>
          </w:tcPr>
          <w:p w14:paraId="5A032FF3" w14:textId="77777777" w:rsidR="00363AA3" w:rsidRDefault="00363AA3" w:rsidP="00237F78">
            <w:pPr>
              <w:pStyle w:val="TableText"/>
            </w:pPr>
          </w:p>
        </w:tc>
        <w:tc>
          <w:tcPr>
            <w:tcW w:w="624" w:type="dxa"/>
          </w:tcPr>
          <w:p w14:paraId="475359F7" w14:textId="77777777" w:rsidR="00363AA3" w:rsidRDefault="00363AA3" w:rsidP="00237F78">
            <w:pPr>
              <w:pStyle w:val="TableText"/>
            </w:pPr>
          </w:p>
        </w:tc>
        <w:tc>
          <w:tcPr>
            <w:tcW w:w="624" w:type="dxa"/>
          </w:tcPr>
          <w:p w14:paraId="63AF26A7" w14:textId="77777777" w:rsidR="00363AA3" w:rsidRDefault="00363AA3" w:rsidP="00237F78">
            <w:pPr>
              <w:pStyle w:val="TableText"/>
            </w:pPr>
          </w:p>
        </w:tc>
        <w:tc>
          <w:tcPr>
            <w:tcW w:w="4649" w:type="dxa"/>
            <w:hideMark/>
          </w:tcPr>
          <w:p w14:paraId="516AD146" w14:textId="77777777" w:rsidR="00363AA3" w:rsidRDefault="00363AA3" w:rsidP="00237F78">
            <w:pPr>
              <w:pStyle w:val="TableBlock"/>
              <w:numPr>
                <w:ilvl w:val="0"/>
                <w:numId w:val="3"/>
              </w:numPr>
              <w:tabs>
                <w:tab w:val="left" w:pos="624"/>
              </w:tabs>
              <w:textAlignment w:val="auto"/>
            </w:pPr>
            <w:r>
              <w:rPr>
                <w:rFonts w:hint="cs"/>
                <w:rtl/>
              </w:rPr>
              <w:t>בסעיף זה, "עובד" – לרבות מי שעובד בוועדה, מבצע בעבורה תפקיד או מעניק לה שירות ביום הבחירות בלבד."</w:t>
            </w:r>
          </w:p>
        </w:tc>
      </w:tr>
      <w:tr w:rsidR="00363AA3" w14:paraId="6CFC3FF1" w14:textId="77777777" w:rsidTr="00237F78">
        <w:trPr>
          <w:cantSplit/>
        </w:trPr>
        <w:tc>
          <w:tcPr>
            <w:tcW w:w="1870" w:type="dxa"/>
          </w:tcPr>
          <w:p w14:paraId="220B7837" w14:textId="77777777" w:rsidR="00363AA3" w:rsidRDefault="00363AA3" w:rsidP="00237F78">
            <w:pPr>
              <w:pStyle w:val="TableSideHeading"/>
            </w:pPr>
          </w:p>
        </w:tc>
        <w:tc>
          <w:tcPr>
            <w:tcW w:w="624" w:type="dxa"/>
          </w:tcPr>
          <w:p w14:paraId="2D0F9239" w14:textId="77777777" w:rsidR="00363AA3" w:rsidRDefault="00363AA3" w:rsidP="00237F78">
            <w:pPr>
              <w:pStyle w:val="TableText"/>
            </w:pPr>
          </w:p>
        </w:tc>
        <w:tc>
          <w:tcPr>
            <w:tcW w:w="7145" w:type="dxa"/>
            <w:gridSpan w:val="5"/>
          </w:tcPr>
          <w:p w14:paraId="4969700B" w14:textId="5DD8FAC6" w:rsidR="00363AA3" w:rsidRPr="00C34DE2" w:rsidRDefault="00363AA3" w:rsidP="00237F78">
            <w:pPr>
              <w:pStyle w:val="TableHead"/>
            </w:pPr>
            <w:r>
              <w:rPr>
                <w:rFonts w:hint="cs"/>
                <w:rtl/>
              </w:rPr>
              <w:t xml:space="preserve">פרק </w:t>
            </w:r>
            <w:r w:rsidR="002336D0">
              <w:rPr>
                <w:rFonts w:hint="cs"/>
                <w:rtl/>
              </w:rPr>
              <w:t>ג</w:t>
            </w:r>
            <w:r>
              <w:rPr>
                <w:rFonts w:hint="cs"/>
                <w:rtl/>
              </w:rPr>
              <w:t xml:space="preserve">': </w:t>
            </w:r>
            <w:proofErr w:type="spellStart"/>
            <w:r>
              <w:rPr>
                <w:rFonts w:hint="cs"/>
                <w:rtl/>
              </w:rPr>
              <w:t>מינהל</w:t>
            </w:r>
            <w:proofErr w:type="spellEnd"/>
            <w:r>
              <w:rPr>
                <w:rFonts w:hint="cs"/>
                <w:rtl/>
              </w:rPr>
              <w:t xml:space="preserve"> הבחירות</w:t>
            </w:r>
          </w:p>
        </w:tc>
      </w:tr>
      <w:tr w:rsidR="00363AA3" w14:paraId="0691C0A3" w14:textId="77777777" w:rsidTr="00237F78">
        <w:trPr>
          <w:cantSplit/>
        </w:trPr>
        <w:tc>
          <w:tcPr>
            <w:tcW w:w="1870" w:type="dxa"/>
          </w:tcPr>
          <w:p w14:paraId="242DFA9C" w14:textId="77777777" w:rsidR="00363AA3" w:rsidRDefault="00363AA3" w:rsidP="00237F78">
            <w:pPr>
              <w:pStyle w:val="TableSideHeading"/>
              <w:keepLines w:val="0"/>
            </w:pPr>
            <w:r>
              <w:rPr>
                <w:rFonts w:hint="cs"/>
                <w:rtl/>
              </w:rPr>
              <w:t>תיקון סעיף 8</w:t>
            </w:r>
          </w:p>
        </w:tc>
        <w:tc>
          <w:tcPr>
            <w:tcW w:w="624" w:type="dxa"/>
          </w:tcPr>
          <w:p w14:paraId="12F40878" w14:textId="681974FD" w:rsidR="00363AA3" w:rsidRDefault="002336D0" w:rsidP="00237F78">
            <w:pPr>
              <w:pStyle w:val="TableText"/>
              <w:keepLines w:val="0"/>
            </w:pPr>
            <w:r>
              <w:rPr>
                <w:rFonts w:hint="cs"/>
                <w:rtl/>
              </w:rPr>
              <w:t>7</w:t>
            </w:r>
            <w:r w:rsidR="00363AA3">
              <w:rPr>
                <w:rFonts w:hint="cs"/>
                <w:rtl/>
              </w:rPr>
              <w:t>.</w:t>
            </w:r>
          </w:p>
        </w:tc>
        <w:tc>
          <w:tcPr>
            <w:tcW w:w="7145" w:type="dxa"/>
            <w:gridSpan w:val="5"/>
          </w:tcPr>
          <w:p w14:paraId="36F5963F" w14:textId="77777777" w:rsidR="00363AA3" w:rsidRPr="00C34DE2" w:rsidRDefault="00363AA3" w:rsidP="00237F78">
            <w:pPr>
              <w:pStyle w:val="TableBlock"/>
              <w:rPr>
                <w:rtl/>
              </w:rPr>
            </w:pPr>
            <w:r>
              <w:rPr>
                <w:rFonts w:hint="cs"/>
                <w:rtl/>
              </w:rPr>
              <w:t>בסעיף 8 לחוק העיקרי, אחרי סעיף קטן (ג) יבוא:</w:t>
            </w:r>
          </w:p>
        </w:tc>
      </w:tr>
      <w:tr w:rsidR="00363AA3" w14:paraId="3D8128B3" w14:textId="77777777" w:rsidTr="00237F78">
        <w:trPr>
          <w:cantSplit/>
        </w:trPr>
        <w:tc>
          <w:tcPr>
            <w:tcW w:w="1870" w:type="dxa"/>
          </w:tcPr>
          <w:p w14:paraId="2097E736" w14:textId="77777777" w:rsidR="00363AA3" w:rsidRDefault="00363AA3" w:rsidP="00237F78">
            <w:pPr>
              <w:pStyle w:val="TableSideHeading"/>
              <w:keepLines w:val="0"/>
              <w:rPr>
                <w:rtl/>
              </w:rPr>
            </w:pPr>
          </w:p>
        </w:tc>
        <w:tc>
          <w:tcPr>
            <w:tcW w:w="624" w:type="dxa"/>
          </w:tcPr>
          <w:p w14:paraId="7E8DCCB8" w14:textId="77777777" w:rsidR="00363AA3" w:rsidRDefault="00363AA3" w:rsidP="00237F78">
            <w:pPr>
              <w:pStyle w:val="TableText"/>
            </w:pPr>
          </w:p>
        </w:tc>
        <w:tc>
          <w:tcPr>
            <w:tcW w:w="7145" w:type="dxa"/>
            <w:gridSpan w:val="5"/>
          </w:tcPr>
          <w:p w14:paraId="20F3A156" w14:textId="77777777" w:rsidR="00363AA3" w:rsidRDefault="00363AA3" w:rsidP="00237F78">
            <w:pPr>
              <w:pStyle w:val="TableBlock"/>
              <w:rPr>
                <w:rtl/>
              </w:rPr>
            </w:pPr>
            <w:r>
              <w:rPr>
                <w:rFonts w:hint="cs"/>
                <w:rtl/>
              </w:rPr>
              <w:t>"(ד)</w:t>
            </w:r>
            <w:r>
              <w:rPr>
                <w:rtl/>
              </w:rPr>
              <w:tab/>
            </w:r>
            <w:r>
              <w:rPr>
                <w:rFonts w:hint="cs"/>
                <w:rtl/>
              </w:rPr>
              <w:t xml:space="preserve">מצאה הוועדה המרכזית, לא יאוחר מהיום ה-42 שלפני יום הבחירות, כי מטעמי </w:t>
            </w:r>
            <w:r w:rsidRPr="00DE67FC">
              <w:rPr>
                <w:rFonts w:hint="eastAsia"/>
                <w:color w:val="auto"/>
                <w:rtl/>
              </w:rPr>
              <w:t>ניהול</w:t>
            </w:r>
            <w:r w:rsidRPr="00DE67FC">
              <w:rPr>
                <w:color w:val="auto"/>
                <w:rtl/>
              </w:rPr>
              <w:t xml:space="preserve"> </w:t>
            </w:r>
            <w:r w:rsidRPr="00DE67FC">
              <w:rPr>
                <w:rFonts w:hint="eastAsia"/>
                <w:color w:val="auto"/>
                <w:rtl/>
              </w:rPr>
              <w:t>הבחירות</w:t>
            </w:r>
            <w:r>
              <w:rPr>
                <w:rFonts w:hint="cs"/>
                <w:rtl/>
              </w:rPr>
              <w:t>, יש הצדקה לכלול יישוב באזור בחירות מסוים, רשאית היא לקבוע את אזור הבחירות שבו ייכלל, ובלבד שאזורי הבחירות יהיו שטחים רצופים."</w:t>
            </w:r>
          </w:p>
        </w:tc>
      </w:tr>
      <w:tr w:rsidR="00363AA3" w14:paraId="188FFF3D" w14:textId="77777777" w:rsidTr="00237F78">
        <w:trPr>
          <w:cantSplit/>
        </w:trPr>
        <w:tc>
          <w:tcPr>
            <w:tcW w:w="1870" w:type="dxa"/>
          </w:tcPr>
          <w:p w14:paraId="1F03274F" w14:textId="77777777" w:rsidR="00363AA3" w:rsidRDefault="00363AA3" w:rsidP="00237F78">
            <w:pPr>
              <w:pStyle w:val="TableSideHeading"/>
              <w:keepLines w:val="0"/>
            </w:pPr>
            <w:r>
              <w:rPr>
                <w:rFonts w:hint="cs"/>
                <w:rtl/>
              </w:rPr>
              <w:t>תיקון סעיף 19</w:t>
            </w:r>
          </w:p>
        </w:tc>
        <w:tc>
          <w:tcPr>
            <w:tcW w:w="624" w:type="dxa"/>
          </w:tcPr>
          <w:p w14:paraId="5707B1BA" w14:textId="33A9FFCD" w:rsidR="00363AA3" w:rsidRDefault="002336D0" w:rsidP="00237F78">
            <w:pPr>
              <w:pStyle w:val="TableText"/>
              <w:keepLines w:val="0"/>
            </w:pPr>
            <w:r>
              <w:rPr>
                <w:rFonts w:hint="cs"/>
                <w:rtl/>
              </w:rPr>
              <w:t>8</w:t>
            </w:r>
            <w:r w:rsidR="00363AA3">
              <w:rPr>
                <w:rFonts w:hint="cs"/>
                <w:rtl/>
              </w:rPr>
              <w:t>.</w:t>
            </w:r>
          </w:p>
        </w:tc>
        <w:tc>
          <w:tcPr>
            <w:tcW w:w="7145" w:type="dxa"/>
            <w:gridSpan w:val="5"/>
          </w:tcPr>
          <w:p w14:paraId="5D3A16F8" w14:textId="77777777" w:rsidR="00363AA3" w:rsidRPr="00C34DE2" w:rsidRDefault="00363AA3" w:rsidP="00237F78">
            <w:pPr>
              <w:pStyle w:val="TableBlock"/>
            </w:pPr>
            <w:r>
              <w:rPr>
                <w:rFonts w:hint="cs"/>
                <w:rtl/>
              </w:rPr>
              <w:t>בסעיף 19(א) לחוק העיקרי, במקום "ה-38" יבוא "ה-52".</w:t>
            </w:r>
          </w:p>
        </w:tc>
      </w:tr>
      <w:tr w:rsidR="00363AA3" w14:paraId="4D6EC289" w14:textId="77777777" w:rsidTr="00237F78">
        <w:trPr>
          <w:cantSplit/>
        </w:trPr>
        <w:tc>
          <w:tcPr>
            <w:tcW w:w="1870" w:type="dxa"/>
          </w:tcPr>
          <w:p w14:paraId="673F8426" w14:textId="77777777" w:rsidR="00363AA3" w:rsidRDefault="00363AA3" w:rsidP="00237F78">
            <w:pPr>
              <w:pStyle w:val="TableSideHeading"/>
              <w:keepLines w:val="0"/>
            </w:pPr>
            <w:r>
              <w:rPr>
                <w:rFonts w:hint="cs"/>
                <w:rtl/>
              </w:rPr>
              <w:t>תיקון סעיף 20</w:t>
            </w:r>
          </w:p>
        </w:tc>
        <w:tc>
          <w:tcPr>
            <w:tcW w:w="624" w:type="dxa"/>
          </w:tcPr>
          <w:p w14:paraId="0ABDA077" w14:textId="1BC738E9" w:rsidR="00363AA3" w:rsidRDefault="002336D0" w:rsidP="00237F78">
            <w:pPr>
              <w:pStyle w:val="TableText"/>
              <w:keepLines w:val="0"/>
            </w:pPr>
            <w:r>
              <w:rPr>
                <w:rFonts w:hint="cs"/>
                <w:rtl/>
              </w:rPr>
              <w:t>9</w:t>
            </w:r>
            <w:r w:rsidR="00363AA3">
              <w:rPr>
                <w:rFonts w:hint="cs"/>
                <w:rtl/>
              </w:rPr>
              <w:t>.</w:t>
            </w:r>
          </w:p>
        </w:tc>
        <w:tc>
          <w:tcPr>
            <w:tcW w:w="7145" w:type="dxa"/>
            <w:gridSpan w:val="5"/>
          </w:tcPr>
          <w:p w14:paraId="27C1B5F8" w14:textId="77777777" w:rsidR="00363AA3" w:rsidRPr="00C34DE2" w:rsidRDefault="00363AA3" w:rsidP="00237F78">
            <w:pPr>
              <w:pStyle w:val="TableBlock"/>
            </w:pPr>
            <w:r>
              <w:rPr>
                <w:rFonts w:hint="cs"/>
                <w:rtl/>
              </w:rPr>
              <w:t xml:space="preserve">בסעיף 20(ב) לחוק העיקרי, בסופו יבוא "שימונו בהתחשב במספר החברים של כל סיעה בוועדה המרכזית ביחס למספר החברים הכולל בוועדה המרכזית, למעט היושב ראש; יושב ראש הוועדה המרכזית רשאי </w:t>
            </w:r>
            <w:r w:rsidRPr="005A497F">
              <w:rPr>
                <w:rFonts w:hint="cs"/>
                <w:rtl/>
              </w:rPr>
              <w:t>לקבוע בכללים</w:t>
            </w:r>
            <w:r>
              <w:rPr>
                <w:rFonts w:hint="cs"/>
                <w:rtl/>
              </w:rPr>
              <w:t xml:space="preserve"> את האופן והמועדים למינוי סגנים כאמור".</w:t>
            </w:r>
          </w:p>
        </w:tc>
      </w:tr>
      <w:tr w:rsidR="00363AA3" w14:paraId="12445304" w14:textId="77777777" w:rsidTr="00237F78">
        <w:trPr>
          <w:cantSplit/>
        </w:trPr>
        <w:tc>
          <w:tcPr>
            <w:tcW w:w="1870" w:type="dxa"/>
          </w:tcPr>
          <w:p w14:paraId="2D29DAA3" w14:textId="77777777" w:rsidR="00363AA3" w:rsidRPr="003B2520" w:rsidRDefault="00363AA3" w:rsidP="00237F78">
            <w:pPr>
              <w:pStyle w:val="TableSideHeading"/>
              <w:keepLines w:val="0"/>
            </w:pPr>
            <w:r w:rsidRPr="003B2520">
              <w:rPr>
                <w:rFonts w:hint="cs"/>
                <w:rtl/>
              </w:rPr>
              <w:lastRenderedPageBreak/>
              <w:t>תיקון סעיף 39</w:t>
            </w:r>
            <w:r w:rsidRPr="003B2520">
              <w:t xml:space="preserve"> </w:t>
            </w:r>
          </w:p>
        </w:tc>
        <w:tc>
          <w:tcPr>
            <w:tcW w:w="624" w:type="dxa"/>
          </w:tcPr>
          <w:p w14:paraId="39B56307" w14:textId="44DF0987" w:rsidR="00363AA3" w:rsidRPr="003B2520" w:rsidRDefault="002336D0" w:rsidP="00237F78">
            <w:pPr>
              <w:pStyle w:val="TableText"/>
              <w:keepLines w:val="0"/>
            </w:pPr>
            <w:r>
              <w:rPr>
                <w:rFonts w:hint="cs"/>
                <w:rtl/>
              </w:rPr>
              <w:t>10</w:t>
            </w:r>
            <w:r w:rsidR="00363AA3" w:rsidRPr="003B2520">
              <w:rPr>
                <w:rFonts w:hint="cs"/>
                <w:rtl/>
              </w:rPr>
              <w:t>.</w:t>
            </w:r>
          </w:p>
        </w:tc>
        <w:tc>
          <w:tcPr>
            <w:tcW w:w="7145" w:type="dxa"/>
            <w:gridSpan w:val="5"/>
          </w:tcPr>
          <w:p w14:paraId="7EA4C5C7" w14:textId="34DAB7E8" w:rsidR="00363AA3" w:rsidRPr="003B2520" w:rsidRDefault="0052049D" w:rsidP="0052049D">
            <w:pPr>
              <w:pStyle w:val="TableBlock"/>
            </w:pPr>
            <w:r w:rsidRPr="003B2520">
              <w:rPr>
                <w:rFonts w:hint="cs"/>
                <w:rtl/>
              </w:rPr>
              <w:t xml:space="preserve">אחרי </w:t>
            </w:r>
            <w:r w:rsidR="00363AA3" w:rsidRPr="003B2520">
              <w:rPr>
                <w:rFonts w:hint="cs"/>
                <w:rtl/>
              </w:rPr>
              <w:t>סעיף 39(ו) לחוק העיקרי</w:t>
            </w:r>
            <w:r w:rsidRPr="003B2520">
              <w:rPr>
                <w:rFonts w:hint="cs"/>
                <w:rtl/>
              </w:rPr>
              <w:t xml:space="preserve"> יבוא:</w:t>
            </w:r>
          </w:p>
        </w:tc>
      </w:tr>
      <w:tr w:rsidR="0052049D" w14:paraId="1A441F33" w14:textId="77777777" w:rsidTr="00237F78">
        <w:trPr>
          <w:cantSplit/>
        </w:trPr>
        <w:tc>
          <w:tcPr>
            <w:tcW w:w="1870" w:type="dxa"/>
          </w:tcPr>
          <w:p w14:paraId="37DA1A2F" w14:textId="77777777" w:rsidR="0052049D" w:rsidRPr="003B2520" w:rsidRDefault="0052049D" w:rsidP="00237F78">
            <w:pPr>
              <w:pStyle w:val="TableSideHeading"/>
              <w:keepLines w:val="0"/>
              <w:rPr>
                <w:rtl/>
              </w:rPr>
            </w:pPr>
          </w:p>
        </w:tc>
        <w:tc>
          <w:tcPr>
            <w:tcW w:w="624" w:type="dxa"/>
          </w:tcPr>
          <w:p w14:paraId="452B5D5B" w14:textId="77777777" w:rsidR="0052049D" w:rsidRPr="003B2520" w:rsidRDefault="0052049D" w:rsidP="0052049D">
            <w:pPr>
              <w:pStyle w:val="TableText"/>
              <w:rPr>
                <w:rtl/>
              </w:rPr>
            </w:pPr>
          </w:p>
        </w:tc>
        <w:tc>
          <w:tcPr>
            <w:tcW w:w="7145" w:type="dxa"/>
            <w:gridSpan w:val="5"/>
          </w:tcPr>
          <w:p w14:paraId="2BA9558F" w14:textId="69B77A98" w:rsidR="0052049D" w:rsidRPr="003B2520" w:rsidRDefault="0052049D" w:rsidP="00832DE8">
            <w:pPr>
              <w:pStyle w:val="TableBlock"/>
              <w:rPr>
                <w:rtl/>
              </w:rPr>
            </w:pPr>
            <w:r w:rsidRPr="003B2520">
              <w:rPr>
                <w:rFonts w:hint="cs"/>
                <w:rtl/>
              </w:rPr>
              <w:t>"(ז)</w:t>
            </w:r>
            <w:r w:rsidRPr="003B2520">
              <w:rPr>
                <w:rtl/>
              </w:rPr>
              <w:tab/>
            </w:r>
            <w:r w:rsidRPr="003B2520">
              <w:rPr>
                <w:rFonts w:hint="cs"/>
                <w:rtl/>
              </w:rPr>
              <w:t>ביום ה-</w:t>
            </w:r>
            <w:r w:rsidR="00832DE8" w:rsidRPr="003B2520">
              <w:rPr>
                <w:rFonts w:hint="cs"/>
                <w:rtl/>
              </w:rPr>
              <w:t>5</w:t>
            </w:r>
            <w:r w:rsidRPr="003B2520">
              <w:rPr>
                <w:rFonts w:hint="cs"/>
                <w:rtl/>
              </w:rPr>
              <w:t xml:space="preserve"> שלפני יום הבחירות, ימסור שר הפנים לוועדה המרכזית לצורך מילוי תפקידיה, באמצעי אלקטרוני או מגנטי, מידע על פטירה של אדם הרשום בפנקס הבוחרים ורשימה של בוחרים שיצאו מישראל לפני למעלה </w:t>
            </w:r>
            <w:r w:rsidR="000858F1" w:rsidRPr="003B2520">
              <w:rPr>
                <w:rFonts w:hint="cs"/>
                <w:rtl/>
              </w:rPr>
              <w:t>משמונה</w:t>
            </w:r>
            <w:r w:rsidRPr="003B2520">
              <w:rPr>
                <w:rFonts w:hint="cs"/>
                <w:rtl/>
              </w:rPr>
              <w:t xml:space="preserve"> שנים ולא נכנסו בחזרה לישראל נכון ליום מסירת המידע."</w:t>
            </w:r>
          </w:p>
        </w:tc>
      </w:tr>
      <w:tr w:rsidR="00363AA3" w14:paraId="76A4DD67" w14:textId="77777777" w:rsidTr="00237F78">
        <w:trPr>
          <w:cantSplit/>
        </w:trPr>
        <w:tc>
          <w:tcPr>
            <w:tcW w:w="1870" w:type="dxa"/>
          </w:tcPr>
          <w:p w14:paraId="62316D55" w14:textId="77777777" w:rsidR="00363AA3" w:rsidRDefault="00363AA3" w:rsidP="00237F78">
            <w:pPr>
              <w:pStyle w:val="TableSideHeading"/>
              <w:keepLines w:val="0"/>
            </w:pPr>
            <w:r>
              <w:rPr>
                <w:rFonts w:hint="cs"/>
                <w:rtl/>
              </w:rPr>
              <w:t>תיקון סעיף 71</w:t>
            </w:r>
          </w:p>
        </w:tc>
        <w:tc>
          <w:tcPr>
            <w:tcW w:w="624" w:type="dxa"/>
          </w:tcPr>
          <w:p w14:paraId="1D3C4E84" w14:textId="3B7D5370" w:rsidR="00363AA3" w:rsidRDefault="002336D0" w:rsidP="00237F78">
            <w:pPr>
              <w:pStyle w:val="TableText"/>
              <w:keepLines w:val="0"/>
            </w:pPr>
            <w:r>
              <w:rPr>
                <w:rFonts w:hint="cs"/>
                <w:rtl/>
              </w:rPr>
              <w:t>11</w:t>
            </w:r>
            <w:r w:rsidR="00363AA3">
              <w:rPr>
                <w:rFonts w:hint="cs"/>
                <w:rtl/>
              </w:rPr>
              <w:t>.</w:t>
            </w:r>
          </w:p>
        </w:tc>
        <w:tc>
          <w:tcPr>
            <w:tcW w:w="7145" w:type="dxa"/>
            <w:gridSpan w:val="5"/>
          </w:tcPr>
          <w:p w14:paraId="2D9CE25D" w14:textId="77777777" w:rsidR="00363AA3" w:rsidRPr="00C34DE2" w:rsidRDefault="00363AA3" w:rsidP="00237F78">
            <w:pPr>
              <w:pStyle w:val="TableBlock"/>
            </w:pPr>
            <w:r>
              <w:rPr>
                <w:rFonts w:hint="cs"/>
                <w:rtl/>
              </w:rPr>
              <w:t xml:space="preserve">בסעיף 71(ב) לחוק העיקרי, במקום </w:t>
            </w:r>
            <w:proofErr w:type="spellStart"/>
            <w:r>
              <w:rPr>
                <w:rFonts w:hint="cs"/>
                <w:rtl/>
              </w:rPr>
              <w:t>הסיפה</w:t>
            </w:r>
            <w:proofErr w:type="spellEnd"/>
            <w:r>
              <w:rPr>
                <w:rFonts w:hint="cs"/>
                <w:rtl/>
              </w:rPr>
              <w:t xml:space="preserve"> החל במילים "יושב ראש ועדת הקלפי" יבוא "מזכיר ועדת הקלפי".</w:t>
            </w:r>
          </w:p>
        </w:tc>
      </w:tr>
      <w:tr w:rsidR="00363AA3" w14:paraId="60A81ABC" w14:textId="77777777" w:rsidTr="00237F78">
        <w:trPr>
          <w:cantSplit/>
        </w:trPr>
        <w:tc>
          <w:tcPr>
            <w:tcW w:w="1870" w:type="dxa"/>
          </w:tcPr>
          <w:p w14:paraId="2DCEAD88" w14:textId="77777777" w:rsidR="00363AA3" w:rsidRDefault="00363AA3" w:rsidP="00237F78">
            <w:pPr>
              <w:pStyle w:val="TableSideHeading"/>
              <w:keepLines w:val="0"/>
            </w:pPr>
            <w:r>
              <w:rPr>
                <w:rFonts w:hint="cs"/>
                <w:rtl/>
              </w:rPr>
              <w:t>תיקון סעיף 73</w:t>
            </w:r>
            <w:r>
              <w:t xml:space="preserve"> </w:t>
            </w:r>
          </w:p>
        </w:tc>
        <w:tc>
          <w:tcPr>
            <w:tcW w:w="624" w:type="dxa"/>
          </w:tcPr>
          <w:p w14:paraId="6CE410A5" w14:textId="51F6CFE5" w:rsidR="00363AA3" w:rsidRDefault="002336D0" w:rsidP="00237F78">
            <w:pPr>
              <w:pStyle w:val="TableText"/>
              <w:keepLines w:val="0"/>
            </w:pPr>
            <w:r>
              <w:rPr>
                <w:rFonts w:hint="cs"/>
                <w:rtl/>
              </w:rPr>
              <w:t>12</w:t>
            </w:r>
            <w:r w:rsidR="00363AA3">
              <w:rPr>
                <w:rFonts w:hint="cs"/>
                <w:rtl/>
              </w:rPr>
              <w:t>.</w:t>
            </w:r>
          </w:p>
        </w:tc>
        <w:tc>
          <w:tcPr>
            <w:tcW w:w="7145" w:type="dxa"/>
            <w:gridSpan w:val="5"/>
          </w:tcPr>
          <w:p w14:paraId="045F8CC5" w14:textId="77777777" w:rsidR="00363AA3" w:rsidRPr="00C34DE2" w:rsidRDefault="00363AA3" w:rsidP="00237F78">
            <w:pPr>
              <w:pStyle w:val="TableBlock"/>
            </w:pPr>
            <w:r>
              <w:rPr>
                <w:rFonts w:hint="cs"/>
                <w:rtl/>
              </w:rPr>
              <w:t>בסעיף 73 לחוק העיקרי, אחרי "והועדה האזורית," יבוא "עובדי הוועדה המרכזית והוועדה האזורית,".</w:t>
            </w:r>
          </w:p>
        </w:tc>
      </w:tr>
      <w:tr w:rsidR="00363AA3" w14:paraId="50A4D9B9" w14:textId="77777777" w:rsidTr="00237F78">
        <w:trPr>
          <w:cantSplit/>
        </w:trPr>
        <w:tc>
          <w:tcPr>
            <w:tcW w:w="1870" w:type="dxa"/>
          </w:tcPr>
          <w:p w14:paraId="2C168ED7" w14:textId="77777777" w:rsidR="00363AA3" w:rsidRDefault="00363AA3" w:rsidP="00237F78">
            <w:pPr>
              <w:pStyle w:val="TableSideHeading"/>
              <w:keepLines w:val="0"/>
              <w:rPr>
                <w:rtl/>
              </w:rPr>
            </w:pPr>
            <w:r>
              <w:rPr>
                <w:rFonts w:hint="cs"/>
                <w:rtl/>
              </w:rPr>
              <w:t>תיקון סעיף 90</w:t>
            </w:r>
          </w:p>
        </w:tc>
        <w:tc>
          <w:tcPr>
            <w:tcW w:w="624" w:type="dxa"/>
          </w:tcPr>
          <w:p w14:paraId="7872A133" w14:textId="049266BA" w:rsidR="00363AA3" w:rsidRDefault="002336D0" w:rsidP="00237F78">
            <w:pPr>
              <w:pStyle w:val="TableText"/>
              <w:rPr>
                <w:rtl/>
              </w:rPr>
            </w:pPr>
            <w:r>
              <w:rPr>
                <w:rFonts w:hint="cs"/>
                <w:rtl/>
              </w:rPr>
              <w:t>13</w:t>
            </w:r>
            <w:r w:rsidR="00363AA3">
              <w:rPr>
                <w:rFonts w:hint="cs"/>
                <w:rtl/>
              </w:rPr>
              <w:t>.</w:t>
            </w:r>
          </w:p>
        </w:tc>
        <w:tc>
          <w:tcPr>
            <w:tcW w:w="7145" w:type="dxa"/>
            <w:gridSpan w:val="5"/>
          </w:tcPr>
          <w:p w14:paraId="609F0C39" w14:textId="77777777" w:rsidR="00363AA3" w:rsidRDefault="00363AA3" w:rsidP="00237F78">
            <w:pPr>
              <w:pStyle w:val="TableBlock"/>
              <w:rPr>
                <w:rtl/>
              </w:rPr>
            </w:pPr>
            <w:r>
              <w:rPr>
                <w:rFonts w:hint="cs"/>
                <w:rtl/>
              </w:rPr>
              <w:t>בסעיף 90(ד) לחוק העיקרי, אחרי "חברי הוועדה המרכזית," יבוא "עובדי הוועדה המרכזית,".</w:t>
            </w:r>
          </w:p>
        </w:tc>
      </w:tr>
      <w:tr w:rsidR="00363AA3" w14:paraId="6AE880FA" w14:textId="77777777" w:rsidTr="00237F78">
        <w:trPr>
          <w:cantSplit/>
        </w:trPr>
        <w:tc>
          <w:tcPr>
            <w:tcW w:w="1870" w:type="dxa"/>
          </w:tcPr>
          <w:p w14:paraId="5F416113" w14:textId="77777777" w:rsidR="00363AA3" w:rsidRDefault="00363AA3" w:rsidP="00237F78">
            <w:pPr>
              <w:pStyle w:val="TableSideHeading"/>
              <w:keepLines w:val="0"/>
              <w:rPr>
                <w:rtl/>
              </w:rPr>
            </w:pPr>
            <w:r>
              <w:rPr>
                <w:rFonts w:hint="cs"/>
                <w:rtl/>
              </w:rPr>
              <w:t>תיקון סעיף 116ד</w:t>
            </w:r>
          </w:p>
        </w:tc>
        <w:tc>
          <w:tcPr>
            <w:tcW w:w="624" w:type="dxa"/>
          </w:tcPr>
          <w:p w14:paraId="6A36120E" w14:textId="7F7B9B93" w:rsidR="00363AA3" w:rsidRDefault="002336D0" w:rsidP="00237F78">
            <w:pPr>
              <w:pStyle w:val="TableText"/>
              <w:rPr>
                <w:rtl/>
              </w:rPr>
            </w:pPr>
            <w:r>
              <w:rPr>
                <w:rFonts w:hint="cs"/>
                <w:rtl/>
              </w:rPr>
              <w:t>14</w:t>
            </w:r>
            <w:r w:rsidR="00363AA3">
              <w:rPr>
                <w:rFonts w:hint="cs"/>
                <w:rtl/>
              </w:rPr>
              <w:t>.</w:t>
            </w:r>
          </w:p>
        </w:tc>
        <w:tc>
          <w:tcPr>
            <w:tcW w:w="7145" w:type="dxa"/>
            <w:gridSpan w:val="5"/>
          </w:tcPr>
          <w:p w14:paraId="375FA277" w14:textId="77777777" w:rsidR="00363AA3" w:rsidRDefault="00363AA3" w:rsidP="00237F78">
            <w:pPr>
              <w:pStyle w:val="TableBlock"/>
              <w:rPr>
                <w:rtl/>
              </w:rPr>
            </w:pPr>
            <w:r>
              <w:rPr>
                <w:rFonts w:hint="cs"/>
                <w:rtl/>
              </w:rPr>
              <w:t>בסעיף 116ד(ה) לחוק העיקרי, אחרי "חברי הוועדה המרכזית," יבוא "עובדי הוועדה המרכזית,".</w:t>
            </w:r>
          </w:p>
        </w:tc>
      </w:tr>
      <w:tr w:rsidR="00363AA3" w14:paraId="63474C31" w14:textId="77777777" w:rsidTr="00237F78">
        <w:trPr>
          <w:cantSplit/>
        </w:trPr>
        <w:tc>
          <w:tcPr>
            <w:tcW w:w="1870" w:type="dxa"/>
          </w:tcPr>
          <w:p w14:paraId="74A8D72D" w14:textId="77777777" w:rsidR="00363AA3" w:rsidRDefault="00363AA3" w:rsidP="00237F78">
            <w:pPr>
              <w:pStyle w:val="TableSideHeading"/>
            </w:pPr>
          </w:p>
        </w:tc>
        <w:tc>
          <w:tcPr>
            <w:tcW w:w="624" w:type="dxa"/>
          </w:tcPr>
          <w:p w14:paraId="0C53C9F8" w14:textId="77777777" w:rsidR="00363AA3" w:rsidRDefault="00363AA3" w:rsidP="00237F78">
            <w:pPr>
              <w:pStyle w:val="TableText"/>
            </w:pPr>
          </w:p>
        </w:tc>
        <w:tc>
          <w:tcPr>
            <w:tcW w:w="7145" w:type="dxa"/>
            <w:gridSpan w:val="5"/>
          </w:tcPr>
          <w:p w14:paraId="0577E2E0" w14:textId="440C4479" w:rsidR="00363AA3" w:rsidRPr="00C34DE2" w:rsidRDefault="00363AA3" w:rsidP="00237F78">
            <w:pPr>
              <w:pStyle w:val="TableHead"/>
            </w:pPr>
            <w:r>
              <w:rPr>
                <w:rFonts w:hint="cs"/>
                <w:rtl/>
              </w:rPr>
              <w:t xml:space="preserve">פרק </w:t>
            </w:r>
            <w:r w:rsidR="002336D0">
              <w:rPr>
                <w:rFonts w:hint="cs"/>
                <w:rtl/>
              </w:rPr>
              <w:t>ד</w:t>
            </w:r>
            <w:r>
              <w:rPr>
                <w:rFonts w:hint="cs"/>
                <w:rtl/>
              </w:rPr>
              <w:t>': תיקונים שונים</w:t>
            </w:r>
          </w:p>
        </w:tc>
      </w:tr>
      <w:tr w:rsidR="00363AA3" w14:paraId="2A90F9CC" w14:textId="77777777" w:rsidTr="00237F78">
        <w:trPr>
          <w:cantSplit/>
        </w:trPr>
        <w:tc>
          <w:tcPr>
            <w:tcW w:w="1870" w:type="dxa"/>
          </w:tcPr>
          <w:p w14:paraId="4142E312" w14:textId="77777777" w:rsidR="00363AA3" w:rsidRDefault="00363AA3" w:rsidP="00237F78">
            <w:pPr>
              <w:pStyle w:val="TableSideHeading"/>
              <w:keepLines w:val="0"/>
            </w:pPr>
            <w:r>
              <w:rPr>
                <w:rFonts w:hint="cs"/>
                <w:rtl/>
              </w:rPr>
              <w:t>תיקון סעיף 68</w:t>
            </w:r>
          </w:p>
        </w:tc>
        <w:tc>
          <w:tcPr>
            <w:tcW w:w="624" w:type="dxa"/>
          </w:tcPr>
          <w:p w14:paraId="3E0DF943" w14:textId="25ABA95B" w:rsidR="00363AA3" w:rsidRDefault="002336D0" w:rsidP="00237F78">
            <w:pPr>
              <w:pStyle w:val="TableText"/>
              <w:keepLines w:val="0"/>
            </w:pPr>
            <w:r>
              <w:rPr>
                <w:rFonts w:hint="cs"/>
                <w:rtl/>
              </w:rPr>
              <w:t>15</w:t>
            </w:r>
            <w:r w:rsidR="00363AA3">
              <w:rPr>
                <w:rFonts w:hint="cs"/>
                <w:rtl/>
              </w:rPr>
              <w:t>.</w:t>
            </w:r>
          </w:p>
        </w:tc>
        <w:tc>
          <w:tcPr>
            <w:tcW w:w="7145" w:type="dxa"/>
            <w:gridSpan w:val="5"/>
          </w:tcPr>
          <w:p w14:paraId="3920635F" w14:textId="77777777" w:rsidR="00363AA3" w:rsidRPr="00C34DE2" w:rsidRDefault="00363AA3" w:rsidP="00237F78">
            <w:pPr>
              <w:pStyle w:val="TableBlock"/>
            </w:pPr>
            <w:r>
              <w:rPr>
                <w:rFonts w:hint="cs"/>
                <w:rtl/>
              </w:rPr>
              <w:t>בסעיף 68 לחוק העיקרי, אחרי סעיף קטן (ג) יבוא:</w:t>
            </w:r>
          </w:p>
        </w:tc>
      </w:tr>
      <w:tr w:rsidR="00363AA3" w14:paraId="685D32BE" w14:textId="77777777" w:rsidTr="00237F78">
        <w:trPr>
          <w:cantSplit/>
        </w:trPr>
        <w:tc>
          <w:tcPr>
            <w:tcW w:w="1870" w:type="dxa"/>
          </w:tcPr>
          <w:p w14:paraId="16CBC920" w14:textId="77777777" w:rsidR="00363AA3" w:rsidRDefault="00363AA3" w:rsidP="00237F78">
            <w:pPr>
              <w:pStyle w:val="TableSideHeading"/>
            </w:pPr>
          </w:p>
        </w:tc>
        <w:tc>
          <w:tcPr>
            <w:tcW w:w="624" w:type="dxa"/>
          </w:tcPr>
          <w:p w14:paraId="22EF8514" w14:textId="77777777" w:rsidR="00363AA3" w:rsidRDefault="00363AA3" w:rsidP="00237F78">
            <w:pPr>
              <w:pStyle w:val="TableText"/>
            </w:pPr>
          </w:p>
        </w:tc>
        <w:tc>
          <w:tcPr>
            <w:tcW w:w="624" w:type="dxa"/>
          </w:tcPr>
          <w:p w14:paraId="59D1096F" w14:textId="77777777" w:rsidR="00363AA3" w:rsidRDefault="00363AA3" w:rsidP="00237F78">
            <w:pPr>
              <w:pStyle w:val="TableText"/>
            </w:pPr>
            <w:r>
              <w:rPr>
                <w:rFonts w:hint="cs"/>
                <w:rtl/>
              </w:rPr>
              <w:t>"(ג1)</w:t>
            </w:r>
          </w:p>
        </w:tc>
        <w:tc>
          <w:tcPr>
            <w:tcW w:w="6521" w:type="dxa"/>
            <w:gridSpan w:val="4"/>
          </w:tcPr>
          <w:p w14:paraId="4363D7DE" w14:textId="77777777" w:rsidR="00363AA3" w:rsidRDefault="00363AA3" w:rsidP="00237F78">
            <w:pPr>
              <w:pStyle w:val="TableBlock"/>
              <w:numPr>
                <w:ilvl w:val="0"/>
                <w:numId w:val="4"/>
              </w:numPr>
              <w:tabs>
                <w:tab w:val="left" w:pos="624"/>
              </w:tabs>
            </w:pPr>
            <w:r>
              <w:rPr>
                <w:rFonts w:hint="cs"/>
                <w:rtl/>
              </w:rPr>
              <w:t xml:space="preserve">נוכחו יושב ראש הוועדה המרכזית </w:t>
            </w:r>
            <w:proofErr w:type="spellStart"/>
            <w:r>
              <w:rPr>
                <w:rFonts w:hint="cs"/>
                <w:rtl/>
              </w:rPr>
              <w:t>וסגניו</w:t>
            </w:r>
            <w:proofErr w:type="spellEnd"/>
            <w:r>
              <w:rPr>
                <w:rFonts w:hint="cs"/>
                <w:rtl/>
              </w:rPr>
              <w:t xml:space="preserve"> כי במתחם אחד יוצבו כמה מקומות קלפי </w:t>
            </w:r>
            <w:r w:rsidRPr="00626733">
              <w:rPr>
                <w:rFonts w:hint="cs"/>
                <w:color w:val="auto"/>
                <w:rtl/>
              </w:rPr>
              <w:t xml:space="preserve">ומספר הבוחרים הרשומים ברשימת הבוחרים הקשורה </w:t>
            </w:r>
            <w:r w:rsidRPr="00626733">
              <w:rPr>
                <w:rFonts w:hint="eastAsia"/>
                <w:color w:val="auto"/>
                <w:rtl/>
              </w:rPr>
              <w:t>לאזור</w:t>
            </w:r>
            <w:r w:rsidRPr="00626733">
              <w:rPr>
                <w:color w:val="auto"/>
                <w:rtl/>
              </w:rPr>
              <w:t xml:space="preserve"> </w:t>
            </w:r>
            <w:r w:rsidRPr="00626733">
              <w:rPr>
                <w:rFonts w:hint="eastAsia"/>
                <w:color w:val="auto"/>
                <w:rtl/>
              </w:rPr>
              <w:t>קלפי</w:t>
            </w:r>
            <w:r w:rsidRPr="00626733">
              <w:rPr>
                <w:color w:val="auto"/>
                <w:rtl/>
              </w:rPr>
              <w:t xml:space="preserve"> </w:t>
            </w:r>
            <w:r w:rsidRPr="00626733">
              <w:rPr>
                <w:rFonts w:hint="eastAsia"/>
                <w:color w:val="auto"/>
                <w:rtl/>
              </w:rPr>
              <w:t>אחד</w:t>
            </w:r>
            <w:r w:rsidRPr="00626733">
              <w:rPr>
                <w:rFonts w:hint="cs"/>
                <w:color w:val="auto"/>
                <w:rtl/>
              </w:rPr>
              <w:t xml:space="preserve"> שונה באופן מהותי ממספר הבוחרים ברשימת בוחרים הקשורה</w:t>
            </w:r>
            <w:r w:rsidRPr="00626733">
              <w:rPr>
                <w:color w:val="auto"/>
                <w:rtl/>
              </w:rPr>
              <w:t xml:space="preserve"> </w:t>
            </w:r>
            <w:r w:rsidRPr="00626733">
              <w:rPr>
                <w:rFonts w:hint="eastAsia"/>
                <w:color w:val="auto"/>
                <w:rtl/>
              </w:rPr>
              <w:t>לאזור</w:t>
            </w:r>
            <w:r w:rsidRPr="00626733">
              <w:rPr>
                <w:color w:val="auto"/>
                <w:rtl/>
              </w:rPr>
              <w:t xml:space="preserve"> </w:t>
            </w:r>
            <w:r w:rsidRPr="00626733">
              <w:rPr>
                <w:rFonts w:hint="eastAsia"/>
                <w:color w:val="auto"/>
                <w:rtl/>
              </w:rPr>
              <w:t>קלפי</w:t>
            </w:r>
            <w:r w:rsidRPr="00626733">
              <w:rPr>
                <w:color w:val="auto"/>
                <w:rtl/>
              </w:rPr>
              <w:t xml:space="preserve"> </w:t>
            </w:r>
            <w:r w:rsidRPr="00626733">
              <w:rPr>
                <w:rFonts w:hint="eastAsia"/>
                <w:color w:val="auto"/>
                <w:rtl/>
              </w:rPr>
              <w:t>אחר</w:t>
            </w:r>
            <w:r w:rsidRPr="00626733">
              <w:rPr>
                <w:rFonts w:hint="cs"/>
                <w:color w:val="auto"/>
                <w:rtl/>
              </w:rPr>
              <w:t xml:space="preserve"> באותו </w:t>
            </w:r>
            <w:r>
              <w:rPr>
                <w:rFonts w:hint="cs"/>
                <w:rtl/>
              </w:rPr>
              <w:t xml:space="preserve">מתחם, רשאים הם, לא יאוחר מיום לפני כניסת פנקס הבוחרים לתוקף לפי סעיף 26, להורות על עריכת איזון בין רשימות הבוחרים הצמודות לאזורי הקלפי שבאותו מתחם, ובלבד שהפער במספר הבוחרים בין רשימות כאמור עולה על 100; לעניין זה "מתחם" </w:t>
            </w:r>
            <w:r>
              <w:rPr>
                <w:rtl/>
              </w:rPr>
              <w:t>–</w:t>
            </w:r>
            <w:r>
              <w:rPr>
                <w:rFonts w:hint="cs"/>
                <w:rtl/>
              </w:rPr>
              <w:t xml:space="preserve"> כהגדרתו בסעיף 68א(ג2).</w:t>
            </w:r>
          </w:p>
        </w:tc>
      </w:tr>
      <w:tr w:rsidR="00363AA3" w14:paraId="4DE47426" w14:textId="77777777" w:rsidTr="00237F78">
        <w:trPr>
          <w:cantSplit/>
        </w:trPr>
        <w:tc>
          <w:tcPr>
            <w:tcW w:w="1870" w:type="dxa"/>
          </w:tcPr>
          <w:p w14:paraId="5A708DB8" w14:textId="77777777" w:rsidR="00363AA3" w:rsidRDefault="00363AA3" w:rsidP="00237F78">
            <w:pPr>
              <w:pStyle w:val="TableSideHeading"/>
            </w:pPr>
          </w:p>
        </w:tc>
        <w:tc>
          <w:tcPr>
            <w:tcW w:w="624" w:type="dxa"/>
          </w:tcPr>
          <w:p w14:paraId="2AF9BEDC" w14:textId="77777777" w:rsidR="00363AA3" w:rsidRDefault="00363AA3" w:rsidP="00237F78">
            <w:pPr>
              <w:pStyle w:val="TableText"/>
            </w:pPr>
          </w:p>
        </w:tc>
        <w:tc>
          <w:tcPr>
            <w:tcW w:w="624" w:type="dxa"/>
          </w:tcPr>
          <w:p w14:paraId="4A1BD0CB" w14:textId="77777777" w:rsidR="00363AA3" w:rsidRDefault="00363AA3" w:rsidP="00237F78">
            <w:pPr>
              <w:pStyle w:val="TableText"/>
              <w:rPr>
                <w:rtl/>
              </w:rPr>
            </w:pPr>
          </w:p>
        </w:tc>
        <w:tc>
          <w:tcPr>
            <w:tcW w:w="6521" w:type="dxa"/>
            <w:gridSpan w:val="4"/>
          </w:tcPr>
          <w:p w14:paraId="2825D18A" w14:textId="77777777" w:rsidR="00363AA3" w:rsidRDefault="00363AA3" w:rsidP="00237F78">
            <w:pPr>
              <w:pStyle w:val="TableBlock"/>
              <w:numPr>
                <w:ilvl w:val="0"/>
                <w:numId w:val="4"/>
              </w:numPr>
              <w:tabs>
                <w:tab w:val="left" w:pos="624"/>
              </w:tabs>
              <w:rPr>
                <w:rtl/>
              </w:rPr>
            </w:pPr>
            <w:r>
              <w:rPr>
                <w:rFonts w:hint="cs"/>
                <w:rtl/>
              </w:rPr>
              <w:t xml:space="preserve">החליטו יושב ראש הוועדה המרכזית </w:t>
            </w:r>
            <w:proofErr w:type="spellStart"/>
            <w:r>
              <w:rPr>
                <w:rFonts w:hint="cs"/>
                <w:rtl/>
              </w:rPr>
              <w:t>וסגניו</w:t>
            </w:r>
            <w:proofErr w:type="spellEnd"/>
            <w:r>
              <w:rPr>
                <w:rFonts w:hint="cs"/>
                <w:rtl/>
              </w:rPr>
              <w:t xml:space="preserve"> כאמור בפסקה (1), יעביר יושב ראש הוועדה המרכזית או עובד הוועדה שהוא הסמיך לכך בוחרים מרשימת בוחרים שבאזור קלפי אחד לרשימת בוחרים שבאזור קלפי אחר באותו מתחם, בהתאם למספרם הסידורי ברשימת הבוחרים, ורשאי הוא לקבוע כי עקב העברה זו יבוטלו מקומות קלפי, ובלבד שמספר הבוחרים הרשום לאחר האיזון בכל רשימת בוחרים כאמור לא יעלה על 700."</w:t>
            </w:r>
          </w:p>
        </w:tc>
      </w:tr>
      <w:tr w:rsidR="00363AA3" w14:paraId="4D9EBBEC" w14:textId="77777777" w:rsidTr="00237F78">
        <w:trPr>
          <w:cantSplit/>
        </w:trPr>
        <w:tc>
          <w:tcPr>
            <w:tcW w:w="1870" w:type="dxa"/>
          </w:tcPr>
          <w:p w14:paraId="5048A78D" w14:textId="77777777" w:rsidR="00363AA3" w:rsidRPr="00032F5F" w:rsidRDefault="00363AA3" w:rsidP="00237F78">
            <w:pPr>
              <w:pStyle w:val="TableSideHeading"/>
              <w:keepLines w:val="0"/>
            </w:pPr>
            <w:r w:rsidRPr="00032F5F">
              <w:rPr>
                <w:rFonts w:hint="cs"/>
                <w:rtl/>
              </w:rPr>
              <w:t>תיקון סעיף 78</w:t>
            </w:r>
          </w:p>
        </w:tc>
        <w:tc>
          <w:tcPr>
            <w:tcW w:w="624" w:type="dxa"/>
          </w:tcPr>
          <w:p w14:paraId="0E50AC95" w14:textId="458CC1E7" w:rsidR="00363AA3" w:rsidRPr="00032F5F" w:rsidRDefault="002336D0" w:rsidP="00237F78">
            <w:pPr>
              <w:pStyle w:val="TableText"/>
              <w:keepLines w:val="0"/>
            </w:pPr>
            <w:r>
              <w:rPr>
                <w:rFonts w:hint="cs"/>
                <w:rtl/>
              </w:rPr>
              <w:t>16</w:t>
            </w:r>
            <w:r w:rsidR="00363AA3" w:rsidRPr="00032F5F">
              <w:rPr>
                <w:rFonts w:hint="cs"/>
                <w:rtl/>
              </w:rPr>
              <w:t>.</w:t>
            </w:r>
          </w:p>
        </w:tc>
        <w:tc>
          <w:tcPr>
            <w:tcW w:w="7145" w:type="dxa"/>
            <w:gridSpan w:val="5"/>
          </w:tcPr>
          <w:p w14:paraId="47F99A3C" w14:textId="77777777" w:rsidR="00363AA3" w:rsidRPr="00032F5F" w:rsidRDefault="00363AA3" w:rsidP="00237F78">
            <w:pPr>
              <w:pStyle w:val="TableBlock"/>
            </w:pPr>
            <w:r w:rsidRPr="00032F5F">
              <w:rPr>
                <w:rFonts w:hint="cs"/>
                <w:rtl/>
              </w:rPr>
              <w:t>בסעיף 78(א)(4) לחוק העיקרי, במקום "משני" יבוא "משלושה" ובמקום "אך הפתק השני לא יובא בחשבון" יבוא "אך הפתקים הנוספים לא יובאו בחשבון".</w:t>
            </w:r>
          </w:p>
        </w:tc>
      </w:tr>
      <w:tr w:rsidR="00363AA3" w14:paraId="72FD8D3E" w14:textId="77777777" w:rsidTr="00237F78">
        <w:trPr>
          <w:cantSplit/>
        </w:trPr>
        <w:tc>
          <w:tcPr>
            <w:tcW w:w="1870" w:type="dxa"/>
          </w:tcPr>
          <w:p w14:paraId="5D9C3B8D" w14:textId="77777777" w:rsidR="00363AA3" w:rsidRPr="00032F5F" w:rsidRDefault="00363AA3" w:rsidP="00237F78">
            <w:pPr>
              <w:pStyle w:val="TableSideHeading"/>
              <w:keepLines w:val="0"/>
            </w:pPr>
            <w:r w:rsidRPr="00032F5F">
              <w:rPr>
                <w:rFonts w:hint="cs"/>
                <w:rtl/>
              </w:rPr>
              <w:t>תיקון סעיף 79</w:t>
            </w:r>
          </w:p>
        </w:tc>
        <w:tc>
          <w:tcPr>
            <w:tcW w:w="624" w:type="dxa"/>
          </w:tcPr>
          <w:p w14:paraId="4DA582DD" w14:textId="43F79D73" w:rsidR="00363AA3" w:rsidRPr="00032F5F" w:rsidRDefault="002336D0" w:rsidP="00237F78">
            <w:pPr>
              <w:pStyle w:val="TableText"/>
              <w:keepLines w:val="0"/>
            </w:pPr>
            <w:r>
              <w:rPr>
                <w:rFonts w:hint="cs"/>
                <w:rtl/>
              </w:rPr>
              <w:t>17</w:t>
            </w:r>
            <w:r w:rsidR="00363AA3" w:rsidRPr="00032F5F">
              <w:rPr>
                <w:rFonts w:hint="cs"/>
                <w:rtl/>
              </w:rPr>
              <w:t>.</w:t>
            </w:r>
          </w:p>
        </w:tc>
        <w:tc>
          <w:tcPr>
            <w:tcW w:w="7145" w:type="dxa"/>
            <w:gridSpan w:val="5"/>
          </w:tcPr>
          <w:p w14:paraId="619A2EAD" w14:textId="77777777" w:rsidR="00363AA3" w:rsidRPr="00032F5F" w:rsidRDefault="00363AA3" w:rsidP="00237F78">
            <w:pPr>
              <w:pStyle w:val="TableBlock"/>
            </w:pPr>
            <w:r w:rsidRPr="00032F5F">
              <w:rPr>
                <w:rFonts w:hint="cs"/>
                <w:rtl/>
              </w:rPr>
              <w:t>בסעיף 79 לחוק העיקרי, אחרי סעיף קטן (ז) יבוא:</w:t>
            </w:r>
          </w:p>
        </w:tc>
      </w:tr>
      <w:tr w:rsidR="00363AA3" w14:paraId="6CD37648" w14:textId="77777777" w:rsidTr="00237F78">
        <w:trPr>
          <w:cantSplit/>
        </w:trPr>
        <w:tc>
          <w:tcPr>
            <w:tcW w:w="1870" w:type="dxa"/>
          </w:tcPr>
          <w:p w14:paraId="04208108" w14:textId="77777777" w:rsidR="00363AA3" w:rsidRPr="00032F5F" w:rsidRDefault="00363AA3" w:rsidP="00237F78">
            <w:pPr>
              <w:pStyle w:val="TableSideHeading"/>
            </w:pPr>
          </w:p>
        </w:tc>
        <w:tc>
          <w:tcPr>
            <w:tcW w:w="624" w:type="dxa"/>
          </w:tcPr>
          <w:p w14:paraId="6E02CCF8" w14:textId="77777777" w:rsidR="00363AA3" w:rsidRPr="00032F5F" w:rsidRDefault="00363AA3" w:rsidP="00237F78">
            <w:pPr>
              <w:pStyle w:val="TableText"/>
            </w:pPr>
          </w:p>
        </w:tc>
        <w:tc>
          <w:tcPr>
            <w:tcW w:w="624" w:type="dxa"/>
          </w:tcPr>
          <w:p w14:paraId="7C7E47B7" w14:textId="77777777" w:rsidR="00363AA3" w:rsidRPr="00032F5F" w:rsidRDefault="00363AA3" w:rsidP="00237F78">
            <w:pPr>
              <w:pStyle w:val="TableText"/>
            </w:pPr>
            <w:r w:rsidRPr="00032F5F">
              <w:rPr>
                <w:rFonts w:hint="cs"/>
                <w:rtl/>
              </w:rPr>
              <w:t>"(ח)</w:t>
            </w:r>
          </w:p>
        </w:tc>
        <w:tc>
          <w:tcPr>
            <w:tcW w:w="6521" w:type="dxa"/>
            <w:gridSpan w:val="4"/>
          </w:tcPr>
          <w:p w14:paraId="139240FA" w14:textId="2D707CA3" w:rsidR="00363AA3" w:rsidRPr="00032F5F" w:rsidRDefault="00363AA3" w:rsidP="00032F5F">
            <w:pPr>
              <w:pStyle w:val="TableBlock"/>
              <w:numPr>
                <w:ilvl w:val="0"/>
                <w:numId w:val="5"/>
              </w:numPr>
              <w:tabs>
                <w:tab w:val="left" w:pos="624"/>
              </w:tabs>
            </w:pPr>
            <w:r w:rsidRPr="00032F5F">
              <w:rPr>
                <w:rFonts w:hint="cs"/>
                <w:rtl/>
              </w:rPr>
              <w:t xml:space="preserve">מצא יושב ראש הוועדה המרכזית </w:t>
            </w:r>
            <w:r w:rsidR="00E702B1" w:rsidRPr="00032F5F">
              <w:rPr>
                <w:rFonts w:hint="cs"/>
                <w:rtl/>
              </w:rPr>
              <w:t xml:space="preserve">כי </w:t>
            </w:r>
            <w:r w:rsidRPr="00032F5F">
              <w:rPr>
                <w:rFonts w:hint="cs"/>
                <w:rtl/>
              </w:rPr>
              <w:t>בקלפי פלונית</w:t>
            </w:r>
            <w:r w:rsidR="00E702B1" w:rsidRPr="00032F5F">
              <w:rPr>
                <w:rFonts w:hint="cs"/>
                <w:rtl/>
              </w:rPr>
              <w:t xml:space="preserve"> מספר קולות המצביעים עלה על מספר </w:t>
            </w:r>
            <w:r w:rsidR="00032F5F" w:rsidRPr="00032F5F">
              <w:rPr>
                <w:rFonts w:hint="cs"/>
                <w:rtl/>
              </w:rPr>
              <w:t>הבוחרים שהצביעו באותה קלפי</w:t>
            </w:r>
            <w:r w:rsidRPr="00032F5F">
              <w:rPr>
                <w:rFonts w:hint="cs"/>
                <w:rtl/>
              </w:rPr>
              <w:t>, כך שתוצאות הבחירות בה אינן משקפות על פניהן את הצבעת הבוחרים, רשאי הוא לקבוע כי</w:t>
            </w:r>
            <w:r w:rsidR="00E702B1" w:rsidRPr="00032F5F">
              <w:rPr>
                <w:rFonts w:hint="cs"/>
                <w:rtl/>
              </w:rPr>
              <w:t xml:space="preserve"> הקולות באותה קלפי הם קולות פסולים ודינם כדין קולות פסולים לפי סעיף 78</w:t>
            </w:r>
            <w:r w:rsidRPr="00032F5F">
              <w:rPr>
                <w:rFonts w:hint="cs"/>
                <w:rtl/>
              </w:rPr>
              <w:t>.</w:t>
            </w:r>
          </w:p>
        </w:tc>
      </w:tr>
      <w:tr w:rsidR="00363AA3" w14:paraId="314F9ECD" w14:textId="77777777" w:rsidTr="00237F78">
        <w:trPr>
          <w:cantSplit/>
        </w:trPr>
        <w:tc>
          <w:tcPr>
            <w:tcW w:w="1870" w:type="dxa"/>
          </w:tcPr>
          <w:p w14:paraId="076DA298" w14:textId="77777777" w:rsidR="00363AA3" w:rsidRPr="006650D7" w:rsidRDefault="00363AA3" w:rsidP="00237F78">
            <w:pPr>
              <w:pStyle w:val="TableSideHeading"/>
            </w:pPr>
          </w:p>
        </w:tc>
        <w:tc>
          <w:tcPr>
            <w:tcW w:w="624" w:type="dxa"/>
          </w:tcPr>
          <w:p w14:paraId="14034D34" w14:textId="77777777" w:rsidR="00363AA3" w:rsidRPr="006650D7" w:rsidRDefault="00363AA3" w:rsidP="00237F78">
            <w:pPr>
              <w:pStyle w:val="TableText"/>
            </w:pPr>
          </w:p>
        </w:tc>
        <w:tc>
          <w:tcPr>
            <w:tcW w:w="624" w:type="dxa"/>
          </w:tcPr>
          <w:p w14:paraId="5DB58F44" w14:textId="77777777" w:rsidR="00363AA3" w:rsidRPr="006650D7" w:rsidRDefault="00363AA3" w:rsidP="00237F78">
            <w:pPr>
              <w:pStyle w:val="TableText"/>
              <w:rPr>
                <w:rtl/>
              </w:rPr>
            </w:pPr>
          </w:p>
        </w:tc>
        <w:tc>
          <w:tcPr>
            <w:tcW w:w="6521" w:type="dxa"/>
            <w:gridSpan w:val="4"/>
          </w:tcPr>
          <w:p w14:paraId="19461991" w14:textId="77777777" w:rsidR="00363AA3" w:rsidRPr="006650D7" w:rsidRDefault="00363AA3" w:rsidP="00237F78">
            <w:pPr>
              <w:pStyle w:val="TableBlock"/>
              <w:numPr>
                <w:ilvl w:val="0"/>
                <w:numId w:val="5"/>
              </w:numPr>
              <w:tabs>
                <w:tab w:val="left" w:pos="624"/>
              </w:tabs>
              <w:rPr>
                <w:rtl/>
              </w:rPr>
            </w:pPr>
            <w:r w:rsidRPr="006650D7">
              <w:rPr>
                <w:rFonts w:hint="cs"/>
                <w:rtl/>
              </w:rPr>
              <w:t>החלטת יושב ראש הוועדה המרכזית תהיה מנומקת, ותינתן על סמך הרישומים של ועדת הקלפי ומזכיר ועדת הקלפי, גיליונות ספירת הקולות וג</w:t>
            </w:r>
            <w:r>
              <w:rPr>
                <w:rFonts w:hint="cs"/>
                <w:rtl/>
              </w:rPr>
              <w:t>י</w:t>
            </w:r>
            <w:r w:rsidRPr="006650D7">
              <w:rPr>
                <w:rFonts w:hint="cs"/>
                <w:rtl/>
              </w:rPr>
              <w:t xml:space="preserve">ליונות פסילת הקולות, </w:t>
            </w:r>
            <w:r>
              <w:rPr>
                <w:rFonts w:hint="cs"/>
                <w:rtl/>
              </w:rPr>
              <w:t>ו</w:t>
            </w:r>
            <w:r w:rsidRPr="006650D7">
              <w:rPr>
                <w:rFonts w:hint="cs"/>
                <w:rtl/>
              </w:rPr>
              <w:t>ראיות נוספות שי</w:t>
            </w:r>
            <w:r>
              <w:rPr>
                <w:rFonts w:hint="cs"/>
                <w:rtl/>
              </w:rPr>
              <w:t>י</w:t>
            </w:r>
            <w:r w:rsidRPr="006650D7">
              <w:rPr>
                <w:rFonts w:hint="cs"/>
                <w:rtl/>
              </w:rPr>
              <w:t>מסרו בתצהירים</w:t>
            </w:r>
            <w:r>
              <w:rPr>
                <w:rFonts w:hint="cs"/>
                <w:rtl/>
              </w:rPr>
              <w:t>.</w:t>
            </w:r>
          </w:p>
        </w:tc>
      </w:tr>
      <w:tr w:rsidR="00363AA3" w14:paraId="4F317496" w14:textId="77777777" w:rsidTr="00237F78">
        <w:trPr>
          <w:cantSplit/>
        </w:trPr>
        <w:tc>
          <w:tcPr>
            <w:tcW w:w="1870" w:type="dxa"/>
          </w:tcPr>
          <w:p w14:paraId="568BF11E" w14:textId="77777777" w:rsidR="00363AA3" w:rsidRPr="006650D7" w:rsidRDefault="00363AA3" w:rsidP="00237F78">
            <w:pPr>
              <w:pStyle w:val="TableSideHeading"/>
            </w:pPr>
          </w:p>
        </w:tc>
        <w:tc>
          <w:tcPr>
            <w:tcW w:w="624" w:type="dxa"/>
          </w:tcPr>
          <w:p w14:paraId="51ADF326" w14:textId="77777777" w:rsidR="00363AA3" w:rsidRPr="006650D7" w:rsidRDefault="00363AA3" w:rsidP="00237F78">
            <w:pPr>
              <w:pStyle w:val="TableText"/>
            </w:pPr>
          </w:p>
        </w:tc>
        <w:tc>
          <w:tcPr>
            <w:tcW w:w="624" w:type="dxa"/>
          </w:tcPr>
          <w:p w14:paraId="1955DE2F" w14:textId="77777777" w:rsidR="00363AA3" w:rsidRPr="006650D7" w:rsidRDefault="00363AA3" w:rsidP="00237F78">
            <w:pPr>
              <w:pStyle w:val="TableText"/>
              <w:rPr>
                <w:rtl/>
              </w:rPr>
            </w:pPr>
          </w:p>
        </w:tc>
        <w:tc>
          <w:tcPr>
            <w:tcW w:w="6521" w:type="dxa"/>
            <w:gridSpan w:val="4"/>
          </w:tcPr>
          <w:p w14:paraId="0E3981B3" w14:textId="77777777" w:rsidR="00363AA3" w:rsidRPr="006650D7" w:rsidRDefault="00363AA3" w:rsidP="00237F78">
            <w:pPr>
              <w:pStyle w:val="TableBlock"/>
              <w:numPr>
                <w:ilvl w:val="0"/>
                <w:numId w:val="5"/>
              </w:numPr>
              <w:tabs>
                <w:tab w:val="left" w:pos="624"/>
              </w:tabs>
              <w:rPr>
                <w:rtl/>
              </w:rPr>
            </w:pPr>
            <w:r w:rsidRPr="006650D7">
              <w:rPr>
                <w:rFonts w:hint="cs"/>
                <w:rtl/>
              </w:rPr>
              <w:t>החלטה כאמור בפסקה (1) תינתן לא יאוחר משלושה ימים לפני המועד האחרון לפרסום תוצאות הבחירות לפי סעיף 11 לחוק-יסוד: הכנסת."</w:t>
            </w:r>
          </w:p>
        </w:tc>
      </w:tr>
      <w:tr w:rsidR="00363AA3" w14:paraId="568F4225" w14:textId="77777777" w:rsidTr="00237F78">
        <w:trPr>
          <w:cantSplit/>
        </w:trPr>
        <w:tc>
          <w:tcPr>
            <w:tcW w:w="1870" w:type="dxa"/>
          </w:tcPr>
          <w:p w14:paraId="3752800D" w14:textId="77777777" w:rsidR="00363AA3" w:rsidRDefault="00363AA3" w:rsidP="00237F78">
            <w:pPr>
              <w:pStyle w:val="TableSideHeading"/>
              <w:keepLines w:val="0"/>
            </w:pPr>
            <w:r>
              <w:rPr>
                <w:rFonts w:hint="cs"/>
                <w:rtl/>
              </w:rPr>
              <w:t>תיקון סעיף 79א</w:t>
            </w:r>
          </w:p>
        </w:tc>
        <w:tc>
          <w:tcPr>
            <w:tcW w:w="624" w:type="dxa"/>
          </w:tcPr>
          <w:p w14:paraId="7307393A" w14:textId="0D601926" w:rsidR="00363AA3" w:rsidRDefault="002336D0" w:rsidP="00237F78">
            <w:pPr>
              <w:pStyle w:val="TableText"/>
              <w:keepLines w:val="0"/>
            </w:pPr>
            <w:r>
              <w:rPr>
                <w:rFonts w:hint="cs"/>
                <w:rtl/>
              </w:rPr>
              <w:t>18</w:t>
            </w:r>
            <w:r w:rsidR="00363AA3">
              <w:rPr>
                <w:rFonts w:hint="cs"/>
                <w:rtl/>
              </w:rPr>
              <w:t>.</w:t>
            </w:r>
          </w:p>
        </w:tc>
        <w:tc>
          <w:tcPr>
            <w:tcW w:w="7145" w:type="dxa"/>
            <w:gridSpan w:val="5"/>
          </w:tcPr>
          <w:p w14:paraId="772B6359" w14:textId="77777777" w:rsidR="00363AA3" w:rsidRPr="00C34DE2" w:rsidRDefault="00363AA3" w:rsidP="00237F78">
            <w:pPr>
              <w:pStyle w:val="TableBlock"/>
            </w:pPr>
            <w:r>
              <w:rPr>
                <w:rFonts w:hint="cs"/>
                <w:rtl/>
              </w:rPr>
              <w:t>בסעיף 79א לחוק העיקרי, אחרי סעיף קטן (א) יבוא:</w:t>
            </w:r>
          </w:p>
        </w:tc>
      </w:tr>
      <w:tr w:rsidR="00363AA3" w14:paraId="54F12AA9" w14:textId="77777777" w:rsidTr="00237F78">
        <w:trPr>
          <w:cantSplit/>
        </w:trPr>
        <w:tc>
          <w:tcPr>
            <w:tcW w:w="1870" w:type="dxa"/>
          </w:tcPr>
          <w:p w14:paraId="50E9662C" w14:textId="77777777" w:rsidR="00363AA3" w:rsidRDefault="00363AA3" w:rsidP="00237F78">
            <w:pPr>
              <w:pStyle w:val="TableSideHeading"/>
              <w:keepLines w:val="0"/>
              <w:rPr>
                <w:rtl/>
              </w:rPr>
            </w:pPr>
          </w:p>
        </w:tc>
        <w:tc>
          <w:tcPr>
            <w:tcW w:w="624" w:type="dxa"/>
          </w:tcPr>
          <w:p w14:paraId="250192EF" w14:textId="77777777" w:rsidR="00363AA3" w:rsidRDefault="00363AA3" w:rsidP="00237F78">
            <w:pPr>
              <w:pStyle w:val="TableText"/>
            </w:pPr>
          </w:p>
        </w:tc>
        <w:tc>
          <w:tcPr>
            <w:tcW w:w="7145" w:type="dxa"/>
            <w:gridSpan w:val="5"/>
          </w:tcPr>
          <w:p w14:paraId="486E9259" w14:textId="77777777" w:rsidR="00363AA3" w:rsidRDefault="00363AA3" w:rsidP="00237F78">
            <w:pPr>
              <w:pStyle w:val="TableBlock"/>
              <w:rPr>
                <w:rtl/>
              </w:rPr>
            </w:pPr>
            <w:r>
              <w:rPr>
                <w:rFonts w:hint="cs"/>
                <w:rtl/>
              </w:rPr>
              <w:t>"(א1)</w:t>
            </w:r>
            <w:r>
              <w:rPr>
                <w:rtl/>
              </w:rPr>
              <w:tab/>
            </w:r>
            <w:r>
              <w:rPr>
                <w:rFonts w:hint="cs"/>
                <w:rtl/>
              </w:rPr>
              <w:t xml:space="preserve">על אף האמור בסעיף קטן (א), יושב ראש הוועדה המרכזית רשאי להורות, מטעמים מיוחדים שיירשמו </w:t>
            </w:r>
            <w:r w:rsidRPr="006650D7">
              <w:rPr>
                <w:rFonts w:hint="cs"/>
                <w:rtl/>
              </w:rPr>
              <w:t>ול</w:t>
            </w:r>
            <w:r>
              <w:rPr>
                <w:rFonts w:hint="cs"/>
                <w:rtl/>
              </w:rPr>
              <w:t>שם</w:t>
            </w:r>
            <w:r w:rsidRPr="006650D7">
              <w:rPr>
                <w:rFonts w:hint="cs"/>
                <w:rtl/>
              </w:rPr>
              <w:t xml:space="preserve"> חקירת עבירות לפי חוק זה</w:t>
            </w:r>
            <w:r>
              <w:rPr>
                <w:rFonts w:hint="cs"/>
                <w:rtl/>
              </w:rPr>
              <w:t xml:space="preserve">, כי חומר הבחירות הנוגע לקלפי פלונית, כולו או חלקו, לא יושמד, או יושמד במועד אחר, כפי שיחליט." </w:t>
            </w:r>
          </w:p>
        </w:tc>
      </w:tr>
      <w:tr w:rsidR="00363AA3" w14:paraId="271E5B3D" w14:textId="77777777" w:rsidTr="00237F78">
        <w:trPr>
          <w:cantSplit/>
        </w:trPr>
        <w:tc>
          <w:tcPr>
            <w:tcW w:w="1870" w:type="dxa"/>
          </w:tcPr>
          <w:p w14:paraId="42FE766D" w14:textId="77777777" w:rsidR="00363AA3" w:rsidRDefault="00363AA3" w:rsidP="00237F78">
            <w:pPr>
              <w:pStyle w:val="TableSideHeading"/>
              <w:keepLines w:val="0"/>
            </w:pPr>
            <w:r>
              <w:rPr>
                <w:rFonts w:hint="cs"/>
                <w:rtl/>
              </w:rPr>
              <w:t>תיקון חוק מימון מפלגות</w:t>
            </w:r>
          </w:p>
        </w:tc>
        <w:tc>
          <w:tcPr>
            <w:tcW w:w="624" w:type="dxa"/>
          </w:tcPr>
          <w:p w14:paraId="3712160E" w14:textId="3AB18E83" w:rsidR="00363AA3" w:rsidRDefault="002336D0" w:rsidP="00237F78">
            <w:pPr>
              <w:pStyle w:val="TableText"/>
              <w:keepLines w:val="0"/>
            </w:pPr>
            <w:r>
              <w:rPr>
                <w:rFonts w:hint="cs"/>
                <w:rtl/>
              </w:rPr>
              <w:t>19</w:t>
            </w:r>
            <w:r w:rsidR="00363AA3">
              <w:rPr>
                <w:rFonts w:hint="cs"/>
                <w:rtl/>
              </w:rPr>
              <w:t>.</w:t>
            </w:r>
          </w:p>
        </w:tc>
        <w:tc>
          <w:tcPr>
            <w:tcW w:w="7145" w:type="dxa"/>
            <w:gridSpan w:val="5"/>
          </w:tcPr>
          <w:p w14:paraId="4BE4E47D" w14:textId="77777777" w:rsidR="00363AA3" w:rsidRPr="00C34DE2" w:rsidRDefault="00363AA3" w:rsidP="00237F78">
            <w:pPr>
              <w:pStyle w:val="TableBlock"/>
            </w:pPr>
            <w:r>
              <w:rPr>
                <w:rFonts w:hint="cs"/>
                <w:rtl/>
              </w:rPr>
              <w:t xml:space="preserve">בחוק מימון מפלגות, </w:t>
            </w:r>
            <w:proofErr w:type="spellStart"/>
            <w:r>
              <w:rPr>
                <w:rFonts w:hint="cs"/>
                <w:rtl/>
              </w:rPr>
              <w:t>התשל"ג</w:t>
            </w:r>
            <w:proofErr w:type="spellEnd"/>
            <w:r>
              <w:rPr>
                <w:rFonts w:hint="cs"/>
                <w:rtl/>
              </w:rPr>
              <w:t>–1973</w:t>
            </w:r>
            <w:r>
              <w:rPr>
                <w:rStyle w:val="a8"/>
                <w:rtl/>
              </w:rPr>
              <w:footnoteReference w:id="4"/>
            </w:r>
            <w:r>
              <w:rPr>
                <w:rFonts w:hint="cs"/>
                <w:rtl/>
              </w:rPr>
              <w:t xml:space="preserve">, בסעיף 18, המילים "בגלל מרחק רב בין ישוב למשנהו" </w:t>
            </w:r>
            <w:r>
              <w:rPr>
                <w:rtl/>
              </w:rPr>
              <w:t>–</w:t>
            </w:r>
            <w:r>
              <w:rPr>
                <w:rFonts w:hint="cs"/>
                <w:rtl/>
              </w:rPr>
              <w:t xml:space="preserve"> יימחקו".</w:t>
            </w:r>
          </w:p>
        </w:tc>
      </w:tr>
      <w:tr w:rsidR="00363AA3" w14:paraId="3D03A9F2" w14:textId="77777777" w:rsidTr="00237F78">
        <w:trPr>
          <w:cantSplit/>
        </w:trPr>
        <w:tc>
          <w:tcPr>
            <w:tcW w:w="1870" w:type="dxa"/>
          </w:tcPr>
          <w:p w14:paraId="529F061B" w14:textId="77777777" w:rsidR="00363AA3" w:rsidRDefault="00363AA3" w:rsidP="00237F78">
            <w:pPr>
              <w:pStyle w:val="TableSideHeading"/>
              <w:keepLines w:val="0"/>
              <w:rPr>
                <w:rtl/>
              </w:rPr>
            </w:pPr>
            <w:r>
              <w:rPr>
                <w:rFonts w:hint="cs"/>
                <w:rtl/>
              </w:rPr>
              <w:t>תיקון חוק המפלגות</w:t>
            </w:r>
          </w:p>
        </w:tc>
        <w:tc>
          <w:tcPr>
            <w:tcW w:w="624" w:type="dxa"/>
          </w:tcPr>
          <w:p w14:paraId="39BA1692" w14:textId="48B50AE9" w:rsidR="00363AA3" w:rsidRDefault="002336D0" w:rsidP="00237F78">
            <w:pPr>
              <w:pStyle w:val="TableText"/>
              <w:rPr>
                <w:rtl/>
              </w:rPr>
            </w:pPr>
            <w:r>
              <w:rPr>
                <w:rFonts w:hint="cs"/>
                <w:rtl/>
              </w:rPr>
              <w:t>20</w:t>
            </w:r>
            <w:r w:rsidR="00363AA3">
              <w:rPr>
                <w:rFonts w:hint="cs"/>
                <w:rtl/>
              </w:rPr>
              <w:t>.</w:t>
            </w:r>
          </w:p>
        </w:tc>
        <w:tc>
          <w:tcPr>
            <w:tcW w:w="7145" w:type="dxa"/>
            <w:gridSpan w:val="5"/>
          </w:tcPr>
          <w:p w14:paraId="3300B3EF" w14:textId="77777777" w:rsidR="00363AA3" w:rsidRDefault="00363AA3" w:rsidP="00237F78">
            <w:pPr>
              <w:pStyle w:val="TableBlock"/>
            </w:pPr>
            <w:r>
              <w:rPr>
                <w:rFonts w:hint="cs"/>
                <w:rtl/>
              </w:rPr>
              <w:t xml:space="preserve">בחוק המפלגות, </w:t>
            </w:r>
            <w:proofErr w:type="spellStart"/>
            <w:r>
              <w:rPr>
                <w:rFonts w:hint="cs"/>
                <w:rtl/>
              </w:rPr>
              <w:t>התשנ"ב</w:t>
            </w:r>
            <w:proofErr w:type="spellEnd"/>
            <w:r>
              <w:rPr>
                <w:rtl/>
              </w:rPr>
              <w:softHyphen/>
            </w:r>
            <w:r>
              <w:rPr>
                <w:rtl/>
              </w:rPr>
              <w:softHyphen/>
            </w:r>
            <w:r>
              <w:rPr>
                <w:rFonts w:hint="cs"/>
                <w:rtl/>
              </w:rPr>
              <w:t>–1992</w:t>
            </w:r>
            <w:r>
              <w:rPr>
                <w:rStyle w:val="a8"/>
                <w:rtl/>
              </w:rPr>
              <w:footnoteReference w:id="5"/>
            </w:r>
            <w:r>
              <w:rPr>
                <w:rFonts w:hint="cs"/>
                <w:rtl/>
              </w:rPr>
              <w:t>, בסעיף 28כה3, ברישה, אחרי "בכספים" יבוא "או בנכסים מוחשיים או בלתי מוחשיים".</w:t>
            </w:r>
          </w:p>
        </w:tc>
      </w:tr>
      <w:tr w:rsidR="00363AA3" w14:paraId="3C5D198E" w14:textId="77777777" w:rsidTr="00237F78">
        <w:trPr>
          <w:cantSplit/>
        </w:trPr>
        <w:tc>
          <w:tcPr>
            <w:tcW w:w="1870" w:type="dxa"/>
          </w:tcPr>
          <w:p w14:paraId="509B85C0" w14:textId="77777777" w:rsidR="00363AA3" w:rsidRDefault="00363AA3" w:rsidP="00237F78">
            <w:pPr>
              <w:pStyle w:val="TableSideHeading"/>
              <w:keepLines w:val="0"/>
              <w:rPr>
                <w:rtl/>
              </w:rPr>
            </w:pPr>
            <w:r w:rsidRPr="00127AB7">
              <w:rPr>
                <w:rFonts w:hint="eastAsia"/>
                <w:rtl/>
              </w:rPr>
              <w:t>תיקון</w:t>
            </w:r>
            <w:r w:rsidRPr="00127AB7">
              <w:rPr>
                <w:rtl/>
              </w:rPr>
              <w:t xml:space="preserve"> </w:t>
            </w:r>
            <w:r w:rsidRPr="00127AB7">
              <w:rPr>
                <w:rFonts w:hint="eastAsia"/>
                <w:rtl/>
              </w:rPr>
              <w:t>חוק</w:t>
            </w:r>
            <w:r w:rsidRPr="00127AB7">
              <w:rPr>
                <w:rtl/>
              </w:rPr>
              <w:t xml:space="preserve"> סדרי השלטון והמשפט (ביטול החלת המשפט, השיפוט </w:t>
            </w:r>
            <w:proofErr w:type="spellStart"/>
            <w:r w:rsidRPr="00127AB7">
              <w:rPr>
                <w:rtl/>
              </w:rPr>
              <w:t>והמינהל</w:t>
            </w:r>
            <w:proofErr w:type="spellEnd"/>
            <w:r w:rsidRPr="00127AB7">
              <w:rPr>
                <w:rtl/>
              </w:rPr>
              <w:t>)</w:t>
            </w:r>
          </w:p>
        </w:tc>
        <w:tc>
          <w:tcPr>
            <w:tcW w:w="624" w:type="dxa"/>
          </w:tcPr>
          <w:p w14:paraId="7966F29C" w14:textId="647065E2" w:rsidR="00363AA3" w:rsidRPr="00465F3D" w:rsidRDefault="002336D0" w:rsidP="00237F78">
            <w:pPr>
              <w:pStyle w:val="TableText"/>
              <w:rPr>
                <w:rtl/>
              </w:rPr>
            </w:pPr>
            <w:r>
              <w:rPr>
                <w:rFonts w:hint="cs"/>
                <w:rtl/>
              </w:rPr>
              <w:t>21</w:t>
            </w:r>
            <w:r w:rsidR="00363AA3">
              <w:rPr>
                <w:rFonts w:hint="cs"/>
                <w:rtl/>
              </w:rPr>
              <w:t>.</w:t>
            </w:r>
          </w:p>
        </w:tc>
        <w:tc>
          <w:tcPr>
            <w:tcW w:w="7145" w:type="dxa"/>
            <w:gridSpan w:val="5"/>
          </w:tcPr>
          <w:p w14:paraId="7D763F08" w14:textId="77777777" w:rsidR="00363AA3" w:rsidRDefault="00363AA3" w:rsidP="00237F78">
            <w:pPr>
              <w:pStyle w:val="TableBlock"/>
              <w:rPr>
                <w:rtl/>
              </w:rPr>
            </w:pPr>
            <w:r w:rsidRPr="00465F3D">
              <w:rPr>
                <w:rtl/>
              </w:rPr>
              <w:t>בחוק סדרי השלטון והמשפט (ביטול החלת המשפט</w:t>
            </w:r>
            <w:r>
              <w:rPr>
                <w:rtl/>
              </w:rPr>
              <w:t xml:space="preserve">, השיפוט </w:t>
            </w:r>
            <w:proofErr w:type="spellStart"/>
            <w:r>
              <w:rPr>
                <w:rtl/>
              </w:rPr>
              <w:t>והמינהל</w:t>
            </w:r>
            <w:proofErr w:type="spellEnd"/>
            <w:r>
              <w:rPr>
                <w:rtl/>
              </w:rPr>
              <w:t xml:space="preserve">), </w:t>
            </w:r>
            <w:proofErr w:type="spellStart"/>
            <w:r>
              <w:rPr>
                <w:rtl/>
              </w:rPr>
              <w:t>התשנ"ט</w:t>
            </w:r>
            <w:proofErr w:type="spellEnd"/>
            <w:r>
              <w:rPr>
                <w:rFonts w:hint="cs"/>
                <w:rtl/>
              </w:rPr>
              <w:t>–</w:t>
            </w:r>
            <w:r>
              <w:rPr>
                <w:rtl/>
              </w:rPr>
              <w:t>1999</w:t>
            </w:r>
            <w:r>
              <w:rPr>
                <w:rStyle w:val="a8"/>
                <w:rtl/>
              </w:rPr>
              <w:footnoteReference w:id="6"/>
            </w:r>
            <w:r>
              <w:rPr>
                <w:rFonts w:hint="cs"/>
                <w:rtl/>
              </w:rPr>
              <w:t>,</w:t>
            </w:r>
            <w:r w:rsidRPr="00465F3D">
              <w:rPr>
                <w:rtl/>
              </w:rPr>
              <w:t xml:space="preserve"> בסעיף 9(ב), </w:t>
            </w:r>
            <w:r>
              <w:rPr>
                <w:rFonts w:hint="cs"/>
                <w:rtl/>
              </w:rPr>
              <w:t>במקום</w:t>
            </w:r>
            <w:r w:rsidRPr="00465F3D">
              <w:rPr>
                <w:rtl/>
              </w:rPr>
              <w:t xml:space="preserve"> פסקה (1</w:t>
            </w:r>
            <w:r>
              <w:rPr>
                <w:rFonts w:hint="cs"/>
                <w:rtl/>
              </w:rPr>
              <w:t>3</w:t>
            </w:r>
            <w:r w:rsidRPr="00465F3D">
              <w:rPr>
                <w:rtl/>
              </w:rPr>
              <w:t>) יבוא:</w:t>
            </w:r>
          </w:p>
        </w:tc>
      </w:tr>
      <w:tr w:rsidR="00363AA3" w14:paraId="01EBA2BD" w14:textId="77777777" w:rsidTr="00237F78">
        <w:trPr>
          <w:cantSplit/>
        </w:trPr>
        <w:tc>
          <w:tcPr>
            <w:tcW w:w="1870" w:type="dxa"/>
          </w:tcPr>
          <w:p w14:paraId="5AAA3BF8" w14:textId="77777777" w:rsidR="00363AA3" w:rsidRDefault="00363AA3" w:rsidP="00237F78">
            <w:pPr>
              <w:pStyle w:val="TableSideHeading"/>
              <w:keepLines w:val="0"/>
              <w:rPr>
                <w:rtl/>
              </w:rPr>
            </w:pPr>
          </w:p>
        </w:tc>
        <w:tc>
          <w:tcPr>
            <w:tcW w:w="624" w:type="dxa"/>
          </w:tcPr>
          <w:p w14:paraId="4FCB7BB3" w14:textId="77777777" w:rsidR="00363AA3" w:rsidRDefault="00363AA3" w:rsidP="00237F78">
            <w:pPr>
              <w:pStyle w:val="TableText"/>
              <w:rPr>
                <w:rtl/>
              </w:rPr>
            </w:pPr>
          </w:p>
        </w:tc>
        <w:tc>
          <w:tcPr>
            <w:tcW w:w="7145" w:type="dxa"/>
            <w:gridSpan w:val="5"/>
          </w:tcPr>
          <w:p w14:paraId="4C555D5D" w14:textId="77777777" w:rsidR="00363AA3" w:rsidRPr="00465F3D" w:rsidRDefault="00363AA3" w:rsidP="00237F78">
            <w:pPr>
              <w:pStyle w:val="TableBlock"/>
              <w:rPr>
                <w:rtl/>
              </w:rPr>
            </w:pPr>
            <w:r>
              <w:rPr>
                <w:rFonts w:hint="cs"/>
                <w:rtl/>
              </w:rPr>
              <w:t>"(13)</w:t>
            </w:r>
            <w:r>
              <w:rPr>
                <w:rtl/>
              </w:rPr>
              <w:tab/>
            </w:r>
            <w:r>
              <w:rPr>
                <w:rFonts w:hint="cs"/>
                <w:rtl/>
              </w:rPr>
              <w:t xml:space="preserve">בסעיף 68 </w:t>
            </w:r>
            <w:r>
              <w:rPr>
                <w:rFonts w:hint="eastAsia"/>
                <w:rtl/>
              </w:rPr>
              <w:t>–</w:t>
            </w:r>
            <w:r>
              <w:rPr>
                <w:rFonts w:hint="cs"/>
                <w:rtl/>
              </w:rPr>
              <w:t xml:space="preserve"> </w:t>
            </w:r>
          </w:p>
        </w:tc>
      </w:tr>
      <w:tr w:rsidR="00363AA3" w14:paraId="79336072" w14:textId="77777777" w:rsidTr="00237F78">
        <w:trPr>
          <w:cantSplit/>
          <w:trHeight w:val="60"/>
        </w:trPr>
        <w:tc>
          <w:tcPr>
            <w:tcW w:w="1870" w:type="dxa"/>
          </w:tcPr>
          <w:p w14:paraId="47CED9FE" w14:textId="77777777" w:rsidR="00363AA3" w:rsidRDefault="00363AA3" w:rsidP="00237F78">
            <w:pPr>
              <w:pStyle w:val="TableSideHeading"/>
            </w:pPr>
          </w:p>
        </w:tc>
        <w:tc>
          <w:tcPr>
            <w:tcW w:w="624" w:type="dxa"/>
          </w:tcPr>
          <w:p w14:paraId="658DBAFE" w14:textId="77777777" w:rsidR="00363AA3" w:rsidRDefault="00363AA3" w:rsidP="00237F78">
            <w:pPr>
              <w:pStyle w:val="TableText"/>
            </w:pPr>
          </w:p>
        </w:tc>
        <w:tc>
          <w:tcPr>
            <w:tcW w:w="624" w:type="dxa"/>
          </w:tcPr>
          <w:p w14:paraId="094B8B54" w14:textId="77777777" w:rsidR="00363AA3" w:rsidRDefault="00363AA3" w:rsidP="00237F78">
            <w:pPr>
              <w:pStyle w:val="TableText"/>
            </w:pPr>
          </w:p>
        </w:tc>
        <w:tc>
          <w:tcPr>
            <w:tcW w:w="6521" w:type="dxa"/>
            <w:gridSpan w:val="4"/>
          </w:tcPr>
          <w:p w14:paraId="322CBBF4" w14:textId="77777777" w:rsidR="00363AA3" w:rsidRDefault="00363AA3" w:rsidP="00237F78">
            <w:pPr>
              <w:pStyle w:val="TableBlock"/>
            </w:pPr>
            <w:r>
              <w:rPr>
                <w:rFonts w:hint="cs"/>
                <w:rtl/>
              </w:rPr>
              <w:t>(א)</w:t>
            </w:r>
            <w:r>
              <w:rPr>
                <w:rtl/>
              </w:rPr>
              <w:tab/>
            </w:r>
            <w:r>
              <w:rPr>
                <w:rFonts w:hint="cs"/>
                <w:rtl/>
              </w:rPr>
              <w:t>בסעיף קטן (ג1)(2), במקום "700" יקראו "600";</w:t>
            </w:r>
          </w:p>
        </w:tc>
      </w:tr>
      <w:tr w:rsidR="00363AA3" w14:paraId="24A8BE61" w14:textId="77777777" w:rsidTr="00237F78">
        <w:trPr>
          <w:cantSplit/>
          <w:trHeight w:val="60"/>
        </w:trPr>
        <w:tc>
          <w:tcPr>
            <w:tcW w:w="1870" w:type="dxa"/>
          </w:tcPr>
          <w:p w14:paraId="4307E954" w14:textId="77777777" w:rsidR="00363AA3" w:rsidRDefault="00363AA3" w:rsidP="00237F78">
            <w:pPr>
              <w:pStyle w:val="TableSideHeading"/>
            </w:pPr>
          </w:p>
        </w:tc>
        <w:tc>
          <w:tcPr>
            <w:tcW w:w="624" w:type="dxa"/>
          </w:tcPr>
          <w:p w14:paraId="218F155B" w14:textId="77777777" w:rsidR="00363AA3" w:rsidRDefault="00363AA3" w:rsidP="00237F78">
            <w:pPr>
              <w:pStyle w:val="TableText"/>
            </w:pPr>
          </w:p>
        </w:tc>
        <w:tc>
          <w:tcPr>
            <w:tcW w:w="624" w:type="dxa"/>
          </w:tcPr>
          <w:p w14:paraId="093315BC" w14:textId="77777777" w:rsidR="00363AA3" w:rsidRDefault="00363AA3" w:rsidP="00237F78">
            <w:pPr>
              <w:pStyle w:val="TableText"/>
            </w:pPr>
          </w:p>
        </w:tc>
        <w:tc>
          <w:tcPr>
            <w:tcW w:w="6521" w:type="dxa"/>
            <w:gridSpan w:val="4"/>
          </w:tcPr>
          <w:p w14:paraId="07D58054" w14:textId="77777777" w:rsidR="00363AA3" w:rsidRPr="00801659" w:rsidRDefault="00363AA3" w:rsidP="00237F78">
            <w:pPr>
              <w:pStyle w:val="TableBlock"/>
            </w:pPr>
            <w:r w:rsidRPr="007F571A">
              <w:rPr>
                <w:rtl/>
              </w:rPr>
              <w:t>(ב)</w:t>
            </w:r>
            <w:r w:rsidRPr="007F571A">
              <w:rPr>
                <w:rtl/>
              </w:rPr>
              <w:tab/>
            </w:r>
            <w:r w:rsidRPr="007F571A">
              <w:rPr>
                <w:rFonts w:hint="eastAsia"/>
                <w:rtl/>
              </w:rPr>
              <w:t>בסעיף</w:t>
            </w:r>
            <w:r w:rsidRPr="007F571A">
              <w:rPr>
                <w:rtl/>
              </w:rPr>
              <w:t xml:space="preserve"> </w:t>
            </w:r>
            <w:r w:rsidRPr="007F571A">
              <w:rPr>
                <w:rFonts w:hint="eastAsia"/>
                <w:rtl/>
              </w:rPr>
              <w:t>קטן</w:t>
            </w:r>
            <w:r w:rsidRPr="007F571A">
              <w:rPr>
                <w:rtl/>
              </w:rPr>
              <w:t xml:space="preserve"> (ה), המילים "בהתייעצות עם </w:t>
            </w:r>
            <w:proofErr w:type="spellStart"/>
            <w:r w:rsidRPr="007F571A">
              <w:rPr>
                <w:rtl/>
              </w:rPr>
              <w:t>סגניו</w:t>
            </w:r>
            <w:proofErr w:type="spellEnd"/>
            <w:r w:rsidRPr="007F571A">
              <w:rPr>
                <w:rtl/>
              </w:rPr>
              <w:t>" – לא ייקראו, ובמקום "לא יוצבו יותר משני" יקראו "יוצבו כמה";</w:t>
            </w:r>
            <w:r>
              <w:rPr>
                <w:rFonts w:hint="cs"/>
                <w:rtl/>
              </w:rPr>
              <w:t>".</w:t>
            </w:r>
          </w:p>
        </w:tc>
      </w:tr>
    </w:tbl>
    <w:p w14:paraId="789C5AFD" w14:textId="6E653157" w:rsidR="00363AA3" w:rsidRPr="00C64C6C" w:rsidRDefault="00363AA3" w:rsidP="00363AA3">
      <w:pPr>
        <w:pStyle w:val="HeadDivreiHesber"/>
        <w:rPr>
          <w:rtl/>
        </w:rPr>
      </w:pPr>
      <w:r w:rsidRPr="00C64C6C">
        <w:rPr>
          <w:rFonts w:hint="cs"/>
          <w:rtl/>
        </w:rPr>
        <w:lastRenderedPageBreak/>
        <w:t>דברי הסבר</w:t>
      </w:r>
    </w:p>
    <w:p w14:paraId="37D8940D" w14:textId="0191696E" w:rsidR="005E2B57" w:rsidRDefault="005E2B57" w:rsidP="00032F5F">
      <w:pPr>
        <w:pStyle w:val="Hesber"/>
        <w:rPr>
          <w:rtl/>
        </w:rPr>
      </w:pPr>
      <w:r w:rsidRPr="00C64C6C">
        <w:rPr>
          <w:rFonts w:hint="eastAsia"/>
          <w:rtl/>
        </w:rPr>
        <w:t>מוצעים</w:t>
      </w:r>
      <w:r w:rsidRPr="00C64C6C">
        <w:rPr>
          <w:rtl/>
        </w:rPr>
        <w:t xml:space="preserve"> תיקונים הנוגעים לבחירות </w:t>
      </w:r>
      <w:r w:rsidRPr="004733B7">
        <w:rPr>
          <w:rtl/>
        </w:rPr>
        <w:t xml:space="preserve">לכנסת, </w:t>
      </w:r>
      <w:r w:rsidRPr="004733B7">
        <w:rPr>
          <w:rFonts w:hint="cs"/>
          <w:rtl/>
        </w:rPr>
        <w:t xml:space="preserve">ביוזמת ועדת הבחירות המרכזית לכנסת (להלן </w:t>
      </w:r>
      <w:r w:rsidRPr="004733B7">
        <w:rPr>
          <w:rtl/>
        </w:rPr>
        <w:t>–</w:t>
      </w:r>
      <w:r w:rsidRPr="004733B7">
        <w:rPr>
          <w:rFonts w:hint="cs"/>
          <w:rtl/>
        </w:rPr>
        <w:t xml:space="preserve"> הוועדה המרכזית), בנושאים שונים שהם פרי ניסי</w:t>
      </w:r>
      <w:r>
        <w:rPr>
          <w:rFonts w:hint="cs"/>
          <w:rtl/>
        </w:rPr>
        <w:t>ון שהצטבר במערכות הבחירות האחרונות. בין התיקונים הוראות בדבר הצבעה לפי כתובת מיוחדת לצ</w:t>
      </w:r>
      <w:r w:rsidR="001D6D01">
        <w:rPr>
          <w:rFonts w:hint="cs"/>
          <w:rtl/>
        </w:rPr>
        <w:t>ו</w:t>
      </w:r>
      <w:r>
        <w:rPr>
          <w:rFonts w:hint="cs"/>
          <w:rtl/>
        </w:rPr>
        <w:t xml:space="preserve">רכי בחירות, הצבעת עובדי ועדות הבחירות, הוספת פרטי מידע שוועדת הבחירות זכאית לקבל מרשות האוכלוסין, איזון בין מספר הבוחרים בקלפיות סמוכות, והסמכת יושב ראש הוועדה המרכזית </w:t>
      </w:r>
      <w:r w:rsidR="001D6D01">
        <w:rPr>
          <w:rFonts w:hint="cs"/>
          <w:rtl/>
        </w:rPr>
        <w:t>לפסול את הקולות בקלפי מסוימת אם תוצאות הבחירות בה אינן משקפות את רצון הבוחרים</w:t>
      </w:r>
      <w:r>
        <w:rPr>
          <w:rFonts w:hint="cs"/>
          <w:rtl/>
        </w:rPr>
        <w:t>.</w:t>
      </w:r>
    </w:p>
    <w:p w14:paraId="0AB48AB9" w14:textId="77777777" w:rsidR="005E2B57" w:rsidRPr="00C64C6C" w:rsidRDefault="005E2B57" w:rsidP="005E2B57">
      <w:pPr>
        <w:pStyle w:val="Hesber"/>
        <w:rPr>
          <w:rtl/>
        </w:rPr>
      </w:pPr>
    </w:p>
    <w:p w14:paraId="4B3A8012" w14:textId="77777777" w:rsidR="005E2B57" w:rsidRPr="00C64C6C" w:rsidRDefault="005E2B57" w:rsidP="005E2B57">
      <w:pPr>
        <w:pStyle w:val="HesberHeading"/>
        <w:jc w:val="center"/>
        <w:rPr>
          <w:rtl/>
        </w:rPr>
      </w:pPr>
      <w:r w:rsidRPr="00C64C6C">
        <w:rPr>
          <w:rFonts w:hint="cs"/>
          <w:rtl/>
        </w:rPr>
        <w:t xml:space="preserve">פרק א': </w:t>
      </w:r>
      <w:r>
        <w:rPr>
          <w:rFonts w:hint="cs"/>
          <w:rtl/>
        </w:rPr>
        <w:t>כתובת לצורכי בחירות</w:t>
      </w:r>
    </w:p>
    <w:p w14:paraId="1E501A78" w14:textId="0094F03E" w:rsidR="005E2B57" w:rsidRDefault="005E2B57" w:rsidP="007B5E3B">
      <w:pPr>
        <w:pStyle w:val="Hesber1st"/>
        <w:tabs>
          <w:tab w:val="clear" w:pos="680"/>
        </w:tabs>
        <w:rPr>
          <w:rtl/>
        </w:rPr>
      </w:pPr>
      <w:r w:rsidRPr="00C64C6C">
        <w:rPr>
          <w:rFonts w:hint="cs"/>
          <w:b/>
          <w:bCs/>
          <w:rtl/>
        </w:rPr>
        <w:t>כל</w:t>
      </w:r>
      <w:r w:rsidRPr="00C64C6C">
        <w:rPr>
          <w:rFonts w:hint="eastAsia"/>
          <w:b/>
          <w:bCs/>
          <w:rtl/>
        </w:rPr>
        <w:t>לי</w:t>
      </w:r>
      <w:r w:rsidRPr="00C64C6C">
        <w:rPr>
          <w:rtl/>
        </w:rPr>
        <w:tab/>
      </w:r>
      <w:r w:rsidRPr="00C64C6C">
        <w:rPr>
          <w:rFonts w:hint="eastAsia"/>
          <w:rtl/>
        </w:rPr>
        <w:t>מטרת</w:t>
      </w:r>
      <w:r w:rsidRPr="00C64C6C">
        <w:rPr>
          <w:rtl/>
        </w:rPr>
        <w:t xml:space="preserve"> </w:t>
      </w:r>
      <w:r w:rsidRPr="00C64C6C">
        <w:rPr>
          <w:rFonts w:hint="cs"/>
          <w:rtl/>
        </w:rPr>
        <w:t>הפרק המוצע</w:t>
      </w:r>
      <w:r w:rsidRPr="00C64C6C">
        <w:rPr>
          <w:rtl/>
        </w:rPr>
        <w:t xml:space="preserve"> </w:t>
      </w:r>
      <w:r w:rsidRPr="00C64C6C">
        <w:rPr>
          <w:rFonts w:hint="eastAsia"/>
          <w:rtl/>
        </w:rPr>
        <w:t>היא</w:t>
      </w:r>
      <w:r w:rsidRPr="00C64C6C">
        <w:rPr>
          <w:rtl/>
        </w:rPr>
        <w:t xml:space="preserve"> </w:t>
      </w:r>
      <w:r>
        <w:rPr>
          <w:rFonts w:hint="cs"/>
          <w:rtl/>
        </w:rPr>
        <w:t xml:space="preserve">להקל על מימוש זכות הבחירה באמצעות מתן אפשרות לכל בוחר להצביע בקלפי שאינה סמוכה למקום שבו רשום מענו הקבוע במרשם האוכלוסין. הקלפי בה יצביע הבוחר תיקבע לפי כתובת שיודיע עליה הבוחר ושתירשם במרשם האוכלוסין ככתובתו לצורכי בחירות לכנסת. לפי סעיף 7 לחוק הבחירות לכנסת [נוסח משולב], </w:t>
      </w:r>
      <w:proofErr w:type="spellStart"/>
      <w:r>
        <w:rPr>
          <w:rFonts w:hint="cs"/>
          <w:rtl/>
        </w:rPr>
        <w:t>התשכ"ט</w:t>
      </w:r>
      <w:proofErr w:type="spellEnd"/>
      <w:r>
        <w:rPr>
          <w:rtl/>
        </w:rPr>
        <w:softHyphen/>
        <w:t>–</w:t>
      </w:r>
      <w:r>
        <w:rPr>
          <w:rFonts w:hint="cs"/>
          <w:rtl/>
        </w:rPr>
        <w:t xml:space="preserve">1969 (להלן </w:t>
      </w:r>
      <w:r>
        <w:rPr>
          <w:rtl/>
        </w:rPr>
        <w:t>–</w:t>
      </w:r>
      <w:r>
        <w:rPr>
          <w:rFonts w:hint="cs"/>
          <w:rtl/>
        </w:rPr>
        <w:t xml:space="preserve"> חוק הבחירות), בוחר רשאי להצביע רק בקלפי שרשימת הבוחרים הקשורה אליה כוללת את שמו, והדבר נקבע לפי המען הרשום במרשם האוכלוסין. התיקון נועד להקל את ההצבעה ביום הבחירות עבור בוחרים שאינם מתגוררים בדרך קבע במקום בו רשום מענם במרשם האוכלוסין, כגון: בוחרים המתגור</w:t>
      </w:r>
      <w:r w:rsidR="001D6D01">
        <w:rPr>
          <w:rFonts w:hint="cs"/>
          <w:rtl/>
        </w:rPr>
        <w:t>רים בבתי אבות או בדיור מוג</w:t>
      </w:r>
      <w:r>
        <w:rPr>
          <w:rFonts w:hint="cs"/>
          <w:rtl/>
        </w:rPr>
        <w:t xml:space="preserve">ן, סטודנטים, תלמידי ישיבות, משרתים בשירות לאומי ועוד. </w:t>
      </w:r>
    </w:p>
    <w:p w14:paraId="02141E9A" w14:textId="2CD84E4E" w:rsidR="005E2B57" w:rsidRPr="00DB3403" w:rsidRDefault="005E2B57" w:rsidP="001D6D01">
      <w:pPr>
        <w:pStyle w:val="Hesber1st"/>
        <w:tabs>
          <w:tab w:val="clear" w:pos="680"/>
        </w:tabs>
        <w:rPr>
          <w:rtl/>
        </w:rPr>
      </w:pPr>
      <w:r>
        <w:rPr>
          <w:rFonts w:hint="cs"/>
          <w:b/>
          <w:bCs/>
          <w:rtl/>
        </w:rPr>
        <w:t>סעיפים 1</w:t>
      </w:r>
      <w:r w:rsidRPr="00C64C6C">
        <w:rPr>
          <w:rFonts w:hint="cs"/>
          <w:b/>
          <w:bCs/>
          <w:rtl/>
        </w:rPr>
        <w:tab/>
      </w:r>
      <w:r>
        <w:rPr>
          <w:rFonts w:hint="cs"/>
          <w:b/>
          <w:bCs/>
          <w:rtl/>
        </w:rPr>
        <w:t>ו-3</w:t>
      </w:r>
      <w:r>
        <w:rPr>
          <w:b/>
          <w:bCs/>
          <w:rtl/>
        </w:rPr>
        <w:tab/>
      </w:r>
      <w:r>
        <w:rPr>
          <w:rFonts w:hint="cs"/>
          <w:rtl/>
        </w:rPr>
        <w:t>מוצע לקבוע כי בוחר יהיה רשאי להודיע לפקיד הרישום ברשות האוכלוסין וההגירה על כתובת בישראל שתשמש אותו לצורך הצבעה בבחירות, שהיא שונה ממענו הרשום במרשם האוכלוסין. כתובת כאמור תירשם במרשם האוכלוסין ותשמש את הבוחר ככתובתו לצורכי בחירות למשך מערכת בחירות אחת לכנסת, או לתקופה אחרת בהתאם להודעת הבוחר. בתקופה זו ייראו בכתובת האמורה כמען לעניין</w:t>
      </w:r>
      <w:r w:rsidR="001D6D01">
        <w:rPr>
          <w:rFonts w:hint="cs"/>
          <w:rtl/>
        </w:rPr>
        <w:t xml:space="preserve"> פרק ה' לחוק הבחירות, ובין השאר:</w:t>
      </w:r>
      <w:r>
        <w:rPr>
          <w:rFonts w:hint="cs"/>
          <w:rtl/>
        </w:rPr>
        <w:t xml:space="preserve"> מקום הקלפי שבו יצביע הבוחר לפי סעיף 26 לחוק הבחיר</w:t>
      </w:r>
      <w:r w:rsidR="001D6D01">
        <w:rPr>
          <w:rFonts w:hint="cs"/>
          <w:rtl/>
        </w:rPr>
        <w:t>ות ייקבע לפי כתובת זו;</w:t>
      </w:r>
      <w:r>
        <w:rPr>
          <w:rFonts w:hint="cs"/>
          <w:rtl/>
        </w:rPr>
        <w:t xml:space="preserve"> ההודעה לקראת בחירות שנשלחת לכל בוחר לפי סעיף 55ה לחוק הבחירות תישלח לכתובתו לצורכי בחירות</w:t>
      </w:r>
      <w:r w:rsidR="001D6D01">
        <w:rPr>
          <w:rFonts w:hint="cs"/>
          <w:rtl/>
        </w:rPr>
        <w:t>;</w:t>
      </w:r>
      <w:r>
        <w:rPr>
          <w:rFonts w:hint="cs"/>
          <w:rtl/>
        </w:rPr>
        <w:t xml:space="preserve"> ובפרטי רשימת הבוחרים לפי סעיף 29 לחוק הבחירות תפורט הכתובת לצורכי בחירות לצד המען הרשום במרשם האוכלוסין. </w:t>
      </w:r>
      <w:r w:rsidRPr="00936173">
        <w:rPr>
          <w:rFonts w:hint="cs"/>
          <w:snapToGrid/>
          <w:rtl/>
        </w:rPr>
        <w:t>מוצע</w:t>
      </w:r>
      <w:r>
        <w:rPr>
          <w:rFonts w:hint="cs"/>
          <w:rtl/>
        </w:rPr>
        <w:t xml:space="preserve"> </w:t>
      </w:r>
      <w:r w:rsidRPr="00936173">
        <w:rPr>
          <w:rFonts w:hint="cs"/>
          <w:snapToGrid/>
          <w:rtl/>
        </w:rPr>
        <w:t xml:space="preserve">להסמיך את יושב ראש </w:t>
      </w:r>
      <w:r>
        <w:rPr>
          <w:rFonts w:hint="cs"/>
          <w:snapToGrid/>
          <w:rtl/>
        </w:rPr>
        <w:t>הוועדה המרכזית</w:t>
      </w:r>
      <w:r w:rsidRPr="00936173">
        <w:rPr>
          <w:rFonts w:hint="cs"/>
          <w:snapToGrid/>
          <w:rtl/>
        </w:rPr>
        <w:t xml:space="preserve"> או עובד הוועדה שהוא הסמיך לכך, לכלול בוחר שהודיע על כתובת לצורכי בחירות ברשימת בוחרים של אזור קלפי סמוך באותו יישוב, אם אזור הקלפי שבו הוא </w:t>
      </w:r>
      <w:r w:rsidR="001D6D01">
        <w:rPr>
          <w:rFonts w:hint="cs"/>
          <w:snapToGrid/>
          <w:rtl/>
        </w:rPr>
        <w:t>רשום</w:t>
      </w:r>
      <w:r w:rsidRPr="00936173">
        <w:rPr>
          <w:rFonts w:hint="cs"/>
          <w:snapToGrid/>
          <w:rtl/>
        </w:rPr>
        <w:t xml:space="preserve"> לפי הכתובת שהודיע עליה כולל יותר ממספר הבוחרים </w:t>
      </w:r>
      <w:r w:rsidR="001D6D01">
        <w:rPr>
          <w:rFonts w:hint="cs"/>
          <w:snapToGrid/>
          <w:rtl/>
        </w:rPr>
        <w:t>המרבי המותר לפי סעיף 11 לחוק הבחירות.</w:t>
      </w:r>
    </w:p>
    <w:p w14:paraId="58E6A57A" w14:textId="6D13FB7C" w:rsidR="005E2B57" w:rsidRDefault="005E2B57" w:rsidP="00733323">
      <w:pPr>
        <w:snapToGrid w:val="0"/>
        <w:spacing w:before="0" w:line="360" w:lineRule="auto"/>
        <w:rPr>
          <w:rFonts w:ascii="Arial" w:eastAsia="Arial Unicode MS" w:hAnsi="Arial" w:cs="David"/>
          <w:snapToGrid w:val="0"/>
          <w:spacing w:val="0"/>
          <w:sz w:val="20"/>
          <w:szCs w:val="26"/>
          <w:rtl/>
        </w:rPr>
      </w:pPr>
      <w:r w:rsidRPr="00936173">
        <w:rPr>
          <w:rFonts w:ascii="Arial" w:eastAsia="Arial Unicode MS" w:hAnsi="Arial" w:cs="David" w:hint="cs"/>
          <w:snapToGrid w:val="0"/>
          <w:spacing w:val="0"/>
          <w:sz w:val="20"/>
          <w:szCs w:val="26"/>
          <w:rtl/>
        </w:rPr>
        <w:tab/>
        <w:t xml:space="preserve">בוחר ימסור הודעה על כתובת לצורכי בחירות לא יאוחר מהיום ה-74 שלפני יום הבחירות, ולוועדת הבחירות לא תהיה אפשרות להאריך את המועד </w:t>
      </w:r>
      <w:r w:rsidR="00733323">
        <w:rPr>
          <w:rFonts w:ascii="Arial" w:eastAsia="Arial Unicode MS" w:hAnsi="Arial" w:cs="David" w:hint="cs"/>
          <w:snapToGrid w:val="0"/>
          <w:spacing w:val="0"/>
          <w:sz w:val="20"/>
          <w:szCs w:val="26"/>
          <w:rtl/>
        </w:rPr>
        <w:t>למסירתה</w:t>
      </w:r>
      <w:r w:rsidRPr="00936173">
        <w:rPr>
          <w:rFonts w:ascii="Arial" w:eastAsia="Arial Unicode MS" w:hAnsi="Arial" w:cs="David" w:hint="cs"/>
          <w:snapToGrid w:val="0"/>
          <w:spacing w:val="0"/>
          <w:sz w:val="20"/>
          <w:szCs w:val="26"/>
          <w:rtl/>
        </w:rPr>
        <w:t xml:space="preserve">. אופן מסירת ההודעה יהיה כפי שנמסרת הודעה על שינוי מען במרשם האוכלוסין וזאת כדי לפשט את דרך המסירה </w:t>
      </w:r>
      <w:proofErr w:type="spellStart"/>
      <w:r w:rsidRPr="00936173">
        <w:rPr>
          <w:rFonts w:ascii="Arial" w:eastAsia="Arial Unicode MS" w:hAnsi="Arial" w:cs="David" w:hint="cs"/>
          <w:snapToGrid w:val="0"/>
          <w:spacing w:val="0"/>
          <w:sz w:val="20"/>
          <w:szCs w:val="26"/>
          <w:rtl/>
        </w:rPr>
        <w:t>ולהנגיש</w:t>
      </w:r>
      <w:proofErr w:type="spellEnd"/>
      <w:r w:rsidRPr="00936173">
        <w:rPr>
          <w:rFonts w:ascii="Arial" w:eastAsia="Arial Unicode MS" w:hAnsi="Arial" w:cs="David" w:hint="cs"/>
          <w:snapToGrid w:val="0"/>
          <w:spacing w:val="0"/>
          <w:sz w:val="20"/>
          <w:szCs w:val="26"/>
          <w:rtl/>
        </w:rPr>
        <w:t xml:space="preserve"> את השימוש בכתובת לצורכי בחירות לכל בוחר. </w:t>
      </w:r>
      <w:r>
        <w:rPr>
          <w:rFonts w:ascii="Arial" w:eastAsia="Arial Unicode MS" w:hAnsi="Arial" w:cs="David" w:hint="cs"/>
          <w:snapToGrid w:val="0"/>
          <w:spacing w:val="0"/>
          <w:sz w:val="20"/>
          <w:szCs w:val="26"/>
          <w:rtl/>
        </w:rPr>
        <w:t xml:space="preserve">מוצע להסמיך את שר הפנים, בהסכמת הוועדה המרכזית או לפי הצעתה, לקבוע את הפרטים שיכללו בהודעה ואת המועדים להגשתה, שיכול וייקבעו במספר מועדים מרוכזים בכל שנה. </w:t>
      </w:r>
    </w:p>
    <w:p w14:paraId="2367279F" w14:textId="6BD6FF9A" w:rsidR="005E2B57" w:rsidRDefault="005E2B57" w:rsidP="00733323">
      <w:pPr>
        <w:snapToGrid w:val="0"/>
        <w:spacing w:before="0" w:line="360" w:lineRule="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כתובת לצורכי בחירות תירשם כפריט רישום במרשם האוכלוסין וברשימת הבוחרים, אך מוצע לקבוע כי היא לא תימסר ולא ייעשה בה שימוש אלא לעניין פרק ה' לחוק הבחירות שעניינו הכנת פנקס הבוחרים, לרבות העברת המידע למפלגה או לסיעה בהתאם להוראות שבאותו פרק. התיקון נועד לעודד השתתפות בבחירות בלי שהבוחר יושפע משיקולים </w:t>
      </w:r>
      <w:r w:rsidR="00733323">
        <w:rPr>
          <w:rFonts w:ascii="Arial" w:eastAsia="Arial Unicode MS" w:hAnsi="Arial" w:cs="David" w:hint="cs"/>
          <w:snapToGrid w:val="0"/>
          <w:spacing w:val="0"/>
          <w:sz w:val="20"/>
          <w:szCs w:val="26"/>
          <w:rtl/>
        </w:rPr>
        <w:t>שונים</w:t>
      </w:r>
      <w:r>
        <w:rPr>
          <w:rFonts w:ascii="Arial" w:eastAsia="Arial Unicode MS" w:hAnsi="Arial" w:cs="David" w:hint="cs"/>
          <w:snapToGrid w:val="0"/>
          <w:spacing w:val="0"/>
          <w:sz w:val="20"/>
          <w:szCs w:val="26"/>
          <w:rtl/>
        </w:rPr>
        <w:t xml:space="preserve"> המונעים ממנו לשנות את </w:t>
      </w:r>
      <w:r w:rsidR="001D6D01">
        <w:rPr>
          <w:rFonts w:ascii="Arial" w:eastAsia="Arial Unicode MS" w:hAnsi="Arial" w:cs="David" w:hint="cs"/>
          <w:snapToGrid w:val="0"/>
          <w:spacing w:val="0"/>
          <w:sz w:val="20"/>
          <w:szCs w:val="26"/>
          <w:rtl/>
        </w:rPr>
        <w:t>מענו הרשום במרשם האוכלוסין.</w:t>
      </w:r>
    </w:p>
    <w:p w14:paraId="4767B143" w14:textId="1AF13845" w:rsidR="005E2B57" w:rsidRDefault="005E2B57" w:rsidP="001D6D01">
      <w:pPr>
        <w:pStyle w:val="Hesber1st"/>
        <w:tabs>
          <w:tab w:val="clear" w:pos="680"/>
        </w:tabs>
        <w:rPr>
          <w:rtl/>
        </w:rPr>
      </w:pPr>
      <w:r w:rsidRPr="00831D0C">
        <w:rPr>
          <w:rFonts w:hint="cs"/>
          <w:b/>
          <w:bCs/>
          <w:rtl/>
        </w:rPr>
        <w:lastRenderedPageBreak/>
        <w:t>סעיף 2</w:t>
      </w:r>
      <w:r>
        <w:rPr>
          <w:rFonts w:hint="cs"/>
          <w:b/>
          <w:bCs/>
          <w:rtl/>
        </w:rPr>
        <w:tab/>
      </w:r>
      <w:r>
        <w:rPr>
          <w:rFonts w:hint="cs"/>
          <w:rtl/>
        </w:rPr>
        <w:t>סעיף 68א לחוק הבחירות קובע הסדר מיוחד להצבעה של אנשים המוגב</w:t>
      </w:r>
      <w:r w:rsidR="001D6D01">
        <w:rPr>
          <w:rFonts w:hint="cs"/>
          <w:rtl/>
        </w:rPr>
        <w:t>לים בניידות, ועל פיו בכל יישוב ת</w:t>
      </w:r>
      <w:r>
        <w:rPr>
          <w:rFonts w:hint="cs"/>
          <w:rtl/>
        </w:rPr>
        <w:t>היה לפחות קלפי אח</w:t>
      </w:r>
      <w:r w:rsidR="001D6D01">
        <w:rPr>
          <w:rFonts w:hint="cs"/>
          <w:rtl/>
        </w:rPr>
        <w:t>ת שבה</w:t>
      </w:r>
      <w:r>
        <w:rPr>
          <w:rFonts w:hint="cs"/>
          <w:rtl/>
        </w:rPr>
        <w:t xml:space="preserve"> סידורי גישה והצבעה מתאימים לאנשים המוגבלים בניידות, ומספר הקלפיות כאמור נדרש להיות גבוה יותר במקרים שנקבעו בסעיף. אדם מוגבל בניידות רשאי להצביע בכל קלפי המיועדת להצבעת אנשים מוגבלים בניידות, כך שהוא רשאי להצביע בכל יישוב בישראל. במערכות הבחירות האחרונות התרבו המקרים בהם בוחרים שאינם מוגבלים בניידות הצביעו בקלפיות כאמור. תופעה זו יוצרת עומס גדול יותר על אותן קלפיות כך שאנשים מוגבלים בניידות נאלצים להמתין זמן רב יותר בתור לקלפי, והיא יוצרת גם מעמסה רבה יותר על ניהול הבחירות שכן הצבעה לפי סעיף זה נעשית באמצעות מעטפות חיצוניות, המוכרות בכינוי "מעטפות כפולות", שנספרות בנפרד מספירת הקולות הרגילים.</w:t>
      </w:r>
    </w:p>
    <w:p w14:paraId="70084183" w14:textId="7B84EDD2" w:rsidR="005E2B57" w:rsidRPr="00831D0C" w:rsidRDefault="005E2B57" w:rsidP="001D6D01">
      <w:pPr>
        <w:snapToGrid w:val="0"/>
        <w:spacing w:before="0" w:line="360" w:lineRule="auto"/>
        <w:rPr>
          <w:rFonts w:ascii="Arial" w:eastAsia="Arial Unicode MS" w:hAnsi="Arial" w:cs="David"/>
          <w:snapToGrid w:val="0"/>
          <w:spacing w:val="0"/>
          <w:sz w:val="20"/>
          <w:szCs w:val="26"/>
          <w:rtl/>
        </w:rPr>
      </w:pPr>
      <w:r w:rsidRPr="00192A4A">
        <w:rPr>
          <w:rFonts w:ascii="Arial" w:eastAsia="Arial Unicode MS" w:hAnsi="Arial" w:cs="David" w:hint="cs"/>
          <w:snapToGrid w:val="0"/>
          <w:spacing w:val="0"/>
          <w:sz w:val="20"/>
          <w:szCs w:val="26"/>
          <w:rtl/>
        </w:rPr>
        <w:t xml:space="preserve">לפיכך, בד בבד עם התיקון המוצע בסעיף 1 המאפשר לכל בוחר להודיע מראש על כתובת לצורכי הצבעה בבחירות, מוצע לתקן את סעיף 68א(ד) לחוק הבחירות ולקבוע כי בוחר מוגבל בניידות יוכל להצביע בכל קלפי נגישה </w:t>
      </w:r>
      <w:r>
        <w:rPr>
          <w:rFonts w:ascii="Arial" w:eastAsia="Arial Unicode MS" w:hAnsi="Arial" w:cs="David" w:hint="cs"/>
          <w:snapToGrid w:val="0"/>
          <w:spacing w:val="0"/>
          <w:sz w:val="20"/>
          <w:szCs w:val="26"/>
          <w:rtl/>
        </w:rPr>
        <w:t>ב</w:t>
      </w:r>
      <w:r w:rsidRPr="00192A4A">
        <w:rPr>
          <w:rFonts w:ascii="Arial" w:eastAsia="Arial Unicode MS" w:hAnsi="Arial" w:cs="David" w:hint="cs"/>
          <w:snapToGrid w:val="0"/>
          <w:spacing w:val="0"/>
          <w:sz w:val="20"/>
          <w:szCs w:val="26"/>
          <w:rtl/>
        </w:rPr>
        <w:t>יישוב שבו רשום מענו במרשם האוכל</w:t>
      </w:r>
      <w:r>
        <w:rPr>
          <w:rFonts w:ascii="Arial" w:eastAsia="Arial Unicode MS" w:hAnsi="Arial" w:cs="David" w:hint="cs"/>
          <w:snapToGrid w:val="0"/>
          <w:spacing w:val="0"/>
          <w:sz w:val="20"/>
          <w:szCs w:val="26"/>
          <w:rtl/>
        </w:rPr>
        <w:t>וסין או ב</w:t>
      </w:r>
      <w:r w:rsidRPr="00192A4A">
        <w:rPr>
          <w:rFonts w:ascii="Arial" w:eastAsia="Arial Unicode MS" w:hAnsi="Arial" w:cs="David" w:hint="cs"/>
          <w:snapToGrid w:val="0"/>
          <w:spacing w:val="0"/>
          <w:sz w:val="20"/>
          <w:szCs w:val="26"/>
          <w:rtl/>
        </w:rPr>
        <w:t xml:space="preserve">יישוב שבו רשומה כתובתו לצורכי בחירות. התיקון נועד </w:t>
      </w:r>
      <w:r w:rsidR="001D6D01">
        <w:rPr>
          <w:rFonts w:ascii="Arial" w:eastAsia="Arial Unicode MS" w:hAnsi="Arial" w:cs="David" w:hint="cs"/>
          <w:snapToGrid w:val="0"/>
          <w:spacing w:val="0"/>
          <w:sz w:val="20"/>
          <w:szCs w:val="26"/>
          <w:rtl/>
        </w:rPr>
        <w:t>לצמצם</w:t>
      </w:r>
      <w:r w:rsidRPr="00192A4A">
        <w:rPr>
          <w:rFonts w:ascii="Arial" w:eastAsia="Arial Unicode MS" w:hAnsi="Arial" w:cs="David" w:hint="cs"/>
          <w:snapToGrid w:val="0"/>
          <w:spacing w:val="0"/>
          <w:sz w:val="20"/>
          <w:szCs w:val="26"/>
          <w:rtl/>
        </w:rPr>
        <w:t xml:space="preserve"> את האפשרות של בוחרים שאינם זכאים לכך להצביע בקלפיות לאנשים מוגבלים בניידות.</w:t>
      </w:r>
    </w:p>
    <w:p w14:paraId="07C62732" w14:textId="77777777" w:rsidR="005E2B57" w:rsidRDefault="005E2B57" w:rsidP="005E2B57">
      <w:pPr>
        <w:pStyle w:val="Hesber1st"/>
        <w:tabs>
          <w:tab w:val="clear" w:pos="680"/>
        </w:tabs>
        <w:rPr>
          <w:rtl/>
        </w:rPr>
      </w:pPr>
      <w:r w:rsidRPr="00831D0C">
        <w:rPr>
          <w:rFonts w:hint="cs"/>
          <w:b/>
          <w:bCs/>
          <w:rtl/>
        </w:rPr>
        <w:t>סעיף 4</w:t>
      </w:r>
      <w:r>
        <w:rPr>
          <w:rtl/>
        </w:rPr>
        <w:tab/>
      </w:r>
      <w:r w:rsidRPr="00762B82">
        <w:rPr>
          <w:rFonts w:hint="cs"/>
          <w:rtl/>
        </w:rPr>
        <w:t>כדי לאפשר לוועדה המרכזית</w:t>
      </w:r>
      <w:r>
        <w:rPr>
          <w:rFonts w:hint="cs"/>
          <w:rtl/>
        </w:rPr>
        <w:t xml:space="preserve"> ולרשות האוכלוסין וההגירה</w:t>
      </w:r>
      <w:r w:rsidRPr="00762B82">
        <w:rPr>
          <w:rFonts w:hint="cs"/>
          <w:rtl/>
        </w:rPr>
        <w:t xml:space="preserve"> להיערך לתיקון</w:t>
      </w:r>
      <w:r>
        <w:rPr>
          <w:rFonts w:hint="cs"/>
          <w:rtl/>
        </w:rPr>
        <w:t xml:space="preserve"> המוצע בפרק זה</w:t>
      </w:r>
      <w:r w:rsidRPr="00762B82">
        <w:rPr>
          <w:rFonts w:hint="cs"/>
          <w:rtl/>
        </w:rPr>
        <w:t xml:space="preserve">, מוצע לקבוע כי תחילתו </w:t>
      </w:r>
      <w:r>
        <w:rPr>
          <w:rFonts w:hint="cs"/>
          <w:rtl/>
        </w:rPr>
        <w:t xml:space="preserve">של פרק א' לתיקון המוצע </w:t>
      </w:r>
      <w:r w:rsidRPr="00762B82">
        <w:rPr>
          <w:rFonts w:hint="cs"/>
          <w:rtl/>
        </w:rPr>
        <w:t xml:space="preserve">תהיה </w:t>
      </w:r>
      <w:r>
        <w:rPr>
          <w:rFonts w:hint="cs"/>
          <w:rtl/>
        </w:rPr>
        <w:t>שישה חודשים</w:t>
      </w:r>
      <w:r w:rsidRPr="00762B82">
        <w:rPr>
          <w:rFonts w:hint="cs"/>
          <w:rtl/>
        </w:rPr>
        <w:t xml:space="preserve"> מיום פרסומו.</w:t>
      </w:r>
    </w:p>
    <w:p w14:paraId="5EFBF851" w14:textId="77777777" w:rsidR="005E2B57" w:rsidRPr="00936173" w:rsidRDefault="005E2B57" w:rsidP="005E2B57">
      <w:pPr>
        <w:snapToGrid w:val="0"/>
        <w:spacing w:before="0" w:line="360" w:lineRule="auto"/>
        <w:ind w:firstLine="0"/>
        <w:rPr>
          <w:rFonts w:ascii="Arial" w:eastAsia="Arial Unicode MS" w:hAnsi="Arial" w:cs="David"/>
          <w:snapToGrid w:val="0"/>
          <w:spacing w:val="0"/>
          <w:sz w:val="20"/>
          <w:szCs w:val="26"/>
          <w:rtl/>
        </w:rPr>
      </w:pPr>
    </w:p>
    <w:p w14:paraId="037225AE" w14:textId="02F510EF" w:rsidR="005E2B57" w:rsidRPr="00C64C6C" w:rsidRDefault="005E2B57" w:rsidP="00BA42F7">
      <w:pPr>
        <w:pStyle w:val="HesberHeading"/>
        <w:jc w:val="center"/>
        <w:rPr>
          <w:rtl/>
        </w:rPr>
      </w:pPr>
      <w:r>
        <w:rPr>
          <w:rFonts w:hint="cs"/>
          <w:rtl/>
        </w:rPr>
        <w:t xml:space="preserve">פרק </w:t>
      </w:r>
      <w:r w:rsidR="00BA42F7">
        <w:rPr>
          <w:rFonts w:hint="cs"/>
          <w:rtl/>
        </w:rPr>
        <w:t>ב</w:t>
      </w:r>
      <w:r w:rsidR="00BA42F7" w:rsidRPr="00C64C6C">
        <w:rPr>
          <w:rFonts w:hint="cs"/>
          <w:rtl/>
        </w:rPr>
        <w:t>'</w:t>
      </w:r>
      <w:r w:rsidRPr="00C64C6C">
        <w:rPr>
          <w:rFonts w:hint="cs"/>
          <w:rtl/>
        </w:rPr>
        <w:t xml:space="preserve">: </w:t>
      </w:r>
      <w:r>
        <w:rPr>
          <w:rFonts w:hint="cs"/>
          <w:rtl/>
        </w:rPr>
        <w:t>הצבעת עובדי ועדות הבחירות</w:t>
      </w:r>
    </w:p>
    <w:p w14:paraId="4D1C270D" w14:textId="29240117" w:rsidR="005E2B57" w:rsidRDefault="005E2B57" w:rsidP="00BA42F7">
      <w:pPr>
        <w:pStyle w:val="Hesber1st"/>
        <w:tabs>
          <w:tab w:val="clear" w:pos="680"/>
        </w:tabs>
        <w:rPr>
          <w:rtl/>
        </w:rPr>
      </w:pPr>
      <w:r>
        <w:rPr>
          <w:rFonts w:hint="cs"/>
          <w:b/>
          <w:bCs/>
          <w:rtl/>
        </w:rPr>
        <w:t xml:space="preserve">סעיפים </w:t>
      </w:r>
      <w:r w:rsidR="00BA42F7">
        <w:rPr>
          <w:rFonts w:hint="cs"/>
          <w:b/>
          <w:bCs/>
          <w:rtl/>
        </w:rPr>
        <w:t xml:space="preserve">5 </w:t>
      </w:r>
      <w:r>
        <w:rPr>
          <w:rFonts w:hint="cs"/>
          <w:b/>
          <w:bCs/>
          <w:rtl/>
        </w:rPr>
        <w:t>ו-</w:t>
      </w:r>
      <w:r w:rsidR="00BA42F7">
        <w:rPr>
          <w:rFonts w:hint="cs"/>
          <w:b/>
          <w:bCs/>
          <w:rtl/>
        </w:rPr>
        <w:t>6</w:t>
      </w:r>
      <w:r w:rsidR="00BA42F7">
        <w:rPr>
          <w:rFonts w:hint="cs"/>
          <w:rtl/>
        </w:rPr>
        <w:t xml:space="preserve"> </w:t>
      </w:r>
      <w:r w:rsidR="000858F1">
        <w:rPr>
          <w:rtl/>
        </w:rPr>
        <w:tab/>
      </w:r>
      <w:r>
        <w:rPr>
          <w:rFonts w:hint="cs"/>
          <w:rtl/>
        </w:rPr>
        <w:t xml:space="preserve">מוצע לקבוע הסדר הצבעה מיוחד עבור עובדי הוועדה המרכזית ועובדי ועדות הבחירות האזוריות. </w:t>
      </w:r>
      <w:r w:rsidRPr="00C64C6C">
        <w:rPr>
          <w:rFonts w:hint="cs"/>
          <w:rtl/>
        </w:rPr>
        <w:t xml:space="preserve">ביום הבחירות, מועסקים </w:t>
      </w:r>
      <w:r>
        <w:rPr>
          <w:rFonts w:hint="cs"/>
          <w:rtl/>
        </w:rPr>
        <w:t>בוועדות הבחירות</w:t>
      </w:r>
      <w:r w:rsidRPr="00C64C6C">
        <w:rPr>
          <w:rFonts w:hint="cs"/>
          <w:rtl/>
        </w:rPr>
        <w:t xml:space="preserve"> עשרות אלפי עובדים, שממלאים מגוון תפקידים, ובהם מזכירי ועדות קלפי, סדרנים, סופרי קולות ועוד</w:t>
      </w:r>
      <w:r>
        <w:rPr>
          <w:rFonts w:hint="cs"/>
          <w:rtl/>
        </w:rPr>
        <w:t xml:space="preserve">. זאת בנוסף לסגל עובדים קבוע המועסק בוועדה המרכזית וצוות עובדים מורחב שמגויס לעבודה בוועדה המרכזית ובוועדות האזוריות בסמוך לתקופת הבחירות. </w:t>
      </w:r>
      <w:r w:rsidRPr="000D2092">
        <w:rPr>
          <w:rFonts w:hint="cs"/>
          <w:snapToGrid/>
          <w:rtl/>
        </w:rPr>
        <w:t xml:space="preserve">עובדי ועדות הבחירות נדרשים פעמים רבות להתייצב למילוי תפקידם ביום הבחירות משעות הבוקר המוקדמות ועד לסיום הבחירות, באופן שאינו מאפשר להם להצביע בקלפי שבה הם רשומים. לפיכך מוצע כי עובד כאמור יהיה רשאי להצביע בקלפי שבאזור הבחירות שבו הוא עובד ביום הבחירות, אם יושב ראש הוועדה המרכזית או עובד הוועדה שהוא הסמיך לכך נוכח כי קיימות נסיבות הקשורות למילוי תפקידו של העובד שבשלהן נבצר מממנו להצביע באזור מגוריו. עובד כאמור יקבל מהוועדה המרכזית תעודה שבה יצוין כי הוא רשאי להצביע לפי הסעיף המוצע, שאותה יציג בבואו להצביע. ההצבעה תיעשה במעטפות חיצוניות (מעטפות כפולות), בדומה להצבעה של מזכיר ועדת קלפי לפי סעיף 116יח לחוק הבחירות. </w:t>
      </w:r>
    </w:p>
    <w:p w14:paraId="4C130952" w14:textId="77777777" w:rsidR="005E2B57" w:rsidRDefault="005E2B57" w:rsidP="005E2B57">
      <w:pPr>
        <w:snapToGrid w:val="0"/>
        <w:spacing w:before="0" w:line="360" w:lineRule="auto"/>
        <w:rPr>
          <w:rFonts w:ascii="Arial" w:eastAsia="Arial Unicode MS" w:hAnsi="Arial" w:cs="David"/>
          <w:snapToGrid w:val="0"/>
          <w:spacing w:val="0"/>
          <w:sz w:val="20"/>
          <w:szCs w:val="26"/>
          <w:rtl/>
        </w:rPr>
      </w:pPr>
      <w:r w:rsidRPr="000D2092">
        <w:rPr>
          <w:rFonts w:ascii="Arial" w:eastAsia="Arial Unicode MS" w:hAnsi="Arial" w:cs="David" w:hint="cs"/>
          <w:snapToGrid w:val="0"/>
          <w:spacing w:val="0"/>
          <w:sz w:val="20"/>
          <w:szCs w:val="26"/>
          <w:rtl/>
        </w:rPr>
        <w:t xml:space="preserve">לצד זאת מוצע כי יושב ראש הוועדה המרכזית יהיה רשאי לקבוע מקומות קלפי מיוחדים במקום מושבה של הוועדה המרכזית או של ועדה אזורית, כדי שעובדי ועדות הבחירות יוכלו להצביע בהם. </w:t>
      </w:r>
    </w:p>
    <w:p w14:paraId="11596256" w14:textId="77777777" w:rsidR="005E2B57" w:rsidRDefault="005E2B57" w:rsidP="005E2B57">
      <w:pPr>
        <w:snapToGrid w:val="0"/>
        <w:spacing w:before="0" w:line="360" w:lineRule="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מוצע להסמיך את יושב ראש הוועדה המרכזית לקבוע הוראות בדבר סדרי הפעלתן ועבודתן של הקלפיות המיוחדות האמורות, את הרכב ועדות הקלפי ואת אופן ההצבעה בהן.</w:t>
      </w:r>
    </w:p>
    <w:p w14:paraId="2D1E4506" w14:textId="77777777" w:rsidR="005E2B57" w:rsidRDefault="005E2B57" w:rsidP="005E2B57">
      <w:pPr>
        <w:snapToGrid w:val="0"/>
        <w:spacing w:before="0" w:line="360" w:lineRule="auto"/>
        <w:rPr>
          <w:rFonts w:ascii="Arial" w:eastAsia="Arial Unicode MS" w:hAnsi="Arial" w:cs="David"/>
          <w:snapToGrid w:val="0"/>
          <w:spacing w:val="0"/>
          <w:sz w:val="20"/>
          <w:szCs w:val="26"/>
          <w:rtl/>
        </w:rPr>
      </w:pPr>
    </w:p>
    <w:p w14:paraId="7D4AD177" w14:textId="645E9E55" w:rsidR="005E2B57" w:rsidRPr="00C64C6C" w:rsidRDefault="005E2B57" w:rsidP="005E2B57">
      <w:pPr>
        <w:pStyle w:val="HesberHeading"/>
        <w:jc w:val="center"/>
        <w:rPr>
          <w:rtl/>
        </w:rPr>
      </w:pPr>
      <w:r>
        <w:rPr>
          <w:rFonts w:hint="cs"/>
          <w:rtl/>
        </w:rPr>
        <w:t xml:space="preserve">פרק </w:t>
      </w:r>
      <w:r w:rsidR="00BA42F7">
        <w:rPr>
          <w:rFonts w:hint="cs"/>
          <w:rtl/>
        </w:rPr>
        <w:t>ג</w:t>
      </w:r>
      <w:r w:rsidRPr="00C64C6C">
        <w:rPr>
          <w:rFonts w:hint="cs"/>
          <w:rtl/>
        </w:rPr>
        <w:t xml:space="preserve">': </w:t>
      </w:r>
      <w:proofErr w:type="spellStart"/>
      <w:r>
        <w:rPr>
          <w:rFonts w:hint="cs"/>
          <w:rtl/>
        </w:rPr>
        <w:t>מינהל</w:t>
      </w:r>
      <w:proofErr w:type="spellEnd"/>
      <w:r>
        <w:rPr>
          <w:rFonts w:hint="cs"/>
          <w:rtl/>
        </w:rPr>
        <w:t xml:space="preserve"> הבחירות</w:t>
      </w:r>
    </w:p>
    <w:p w14:paraId="3A52BDB7" w14:textId="1CED0364" w:rsidR="005E2B57" w:rsidRDefault="005E2B57" w:rsidP="00BA42F7">
      <w:pPr>
        <w:pStyle w:val="Hesber1st"/>
        <w:tabs>
          <w:tab w:val="clear" w:pos="680"/>
        </w:tabs>
        <w:rPr>
          <w:rtl/>
        </w:rPr>
      </w:pPr>
      <w:r w:rsidRPr="00831D0C">
        <w:rPr>
          <w:rFonts w:hint="cs"/>
          <w:b/>
          <w:bCs/>
          <w:rtl/>
        </w:rPr>
        <w:t xml:space="preserve">סעיף </w:t>
      </w:r>
      <w:r w:rsidR="00BA42F7">
        <w:rPr>
          <w:rFonts w:hint="cs"/>
          <w:b/>
          <w:bCs/>
          <w:rtl/>
        </w:rPr>
        <w:t>7</w:t>
      </w:r>
      <w:r>
        <w:rPr>
          <w:rtl/>
        </w:rPr>
        <w:tab/>
      </w:r>
      <w:r>
        <w:rPr>
          <w:rFonts w:hint="cs"/>
          <w:rtl/>
        </w:rPr>
        <w:t>סעיף 8 לחוק הבחירות קובע את אזורי הבחירות שבהם פועלות ועדות הבחירות האזוריות</w:t>
      </w:r>
      <w:r w:rsidRPr="00762B82">
        <w:rPr>
          <w:rFonts w:hint="cs"/>
          <w:rtl/>
        </w:rPr>
        <w:t>.</w:t>
      </w:r>
      <w:r>
        <w:rPr>
          <w:rFonts w:hint="cs"/>
          <w:rtl/>
        </w:rPr>
        <w:t xml:space="preserve"> </w:t>
      </w:r>
      <w:r>
        <w:rPr>
          <w:rFonts w:hint="cs"/>
          <w:rtl/>
        </w:rPr>
        <w:lastRenderedPageBreak/>
        <w:t xml:space="preserve">אזורי הבחירות נקבעו לפי הנפות שלפיהן מחולק שטחה הגיאוגרפי של המדינה, שקבעה הממשלה עם קום המדינה </w:t>
      </w:r>
      <w:r w:rsidR="000858F1">
        <w:rPr>
          <w:rFonts w:hint="cs"/>
          <w:rtl/>
        </w:rPr>
        <w:t xml:space="preserve">בפקודת סדרי השלטון והמשפט, </w:t>
      </w:r>
      <w:proofErr w:type="spellStart"/>
      <w:r w:rsidR="000858F1">
        <w:rPr>
          <w:rFonts w:hint="cs"/>
          <w:rtl/>
        </w:rPr>
        <w:t>התש"ח</w:t>
      </w:r>
      <w:proofErr w:type="spellEnd"/>
      <w:r w:rsidR="000858F1">
        <w:rPr>
          <w:rtl/>
        </w:rPr>
        <w:t>–</w:t>
      </w:r>
      <w:r>
        <w:rPr>
          <w:rFonts w:hint="cs"/>
          <w:rtl/>
        </w:rPr>
        <w:t>1948.</w:t>
      </w:r>
      <w:r w:rsidR="000858F1">
        <w:rPr>
          <w:rFonts w:hint="cs"/>
          <w:rtl/>
        </w:rPr>
        <w:t xml:space="preserve"> </w:t>
      </w:r>
      <w:r>
        <w:rPr>
          <w:rFonts w:hint="cs"/>
          <w:rtl/>
        </w:rPr>
        <w:t xml:space="preserve">הוועדה המרכזית רשאית לפצל אזורי בחירות לאזורים קטנים יותר, לפי התנאים שנקבעו בסעיף, והיא אכן עשתה זאת מספר פעמים מסיבות של ניהול הבחירות באופן יעיל ומיטבי. בתיקון מוצע להסמיך את הוועדה המרכזית להעביר יישוב מאזור בחירות מסוים לאזור בחירות אחר, אם יש הצדקה לכך מטעמים של ניהול הבחירות. ניתן להעביר בדרך זו רק יישוב שנמצא סמוך לגבול אזור הבחירות האחר, באופן שאזור הבחירות יישאר שטח גיאוגרפי רצוף. להעברה זו אין </w:t>
      </w:r>
      <w:r w:rsidR="000858F1">
        <w:rPr>
          <w:rFonts w:hint="cs"/>
          <w:rtl/>
        </w:rPr>
        <w:t>השלכה על הבוחר ועל מקום הקלפי בה</w:t>
      </w:r>
      <w:r>
        <w:rPr>
          <w:rFonts w:hint="cs"/>
          <w:rtl/>
        </w:rPr>
        <w:t xml:space="preserve"> הוא מצביע, ויש לה משמעות רק בעניינים של ניהול הבחירות, למשל בכך שחומר ההצבעה של הקלפי באותו יישוב יימסר לפי סעיף 79 לחוק הבחירות בתום יום הבחירות לוועדה האזורית שבא</w:t>
      </w:r>
      <w:r w:rsidR="000858F1">
        <w:rPr>
          <w:rFonts w:hint="cs"/>
          <w:rtl/>
        </w:rPr>
        <w:t>זור הבחירות שאליו יועבר היישוב.</w:t>
      </w:r>
    </w:p>
    <w:p w14:paraId="1344D626" w14:textId="4BA7D078" w:rsidR="005E2B57" w:rsidRPr="004263D4" w:rsidRDefault="005E2B57" w:rsidP="00BA42F7">
      <w:pPr>
        <w:pStyle w:val="Hesber1st"/>
        <w:tabs>
          <w:tab w:val="clear" w:pos="680"/>
        </w:tabs>
        <w:rPr>
          <w:rtl/>
        </w:rPr>
      </w:pPr>
      <w:r w:rsidRPr="00831D0C">
        <w:rPr>
          <w:rFonts w:hint="cs"/>
          <w:b/>
          <w:bCs/>
          <w:rtl/>
        </w:rPr>
        <w:t xml:space="preserve">סעיף </w:t>
      </w:r>
      <w:r w:rsidR="00BA42F7">
        <w:rPr>
          <w:rFonts w:hint="cs"/>
          <w:b/>
          <w:bCs/>
          <w:rtl/>
        </w:rPr>
        <w:t>8</w:t>
      </w:r>
      <w:r>
        <w:rPr>
          <w:rtl/>
        </w:rPr>
        <w:tab/>
      </w:r>
      <w:r>
        <w:rPr>
          <w:rFonts w:hint="cs"/>
          <w:rtl/>
        </w:rPr>
        <w:t xml:space="preserve">לפי סעיף 19(א) לחוק הבחירות, הוועדות האזוריות יתמנו על ידי הוועדה המרכזית לא יאוחר מהיום ה-38 שלפני יום הבחירות. </w:t>
      </w:r>
      <w:r w:rsidRPr="00565CE8">
        <w:rPr>
          <w:rtl/>
        </w:rPr>
        <w:t xml:space="preserve">מוצע להקדים את מועד </w:t>
      </w:r>
      <w:r>
        <w:rPr>
          <w:rFonts w:hint="cs"/>
          <w:rtl/>
        </w:rPr>
        <w:t>המינוי כאמור</w:t>
      </w:r>
      <w:r w:rsidRPr="00565CE8">
        <w:rPr>
          <w:rtl/>
        </w:rPr>
        <w:t xml:space="preserve"> ליום ה-52 שלפני יום הבחירות, וזאת </w:t>
      </w:r>
      <w:r>
        <w:rPr>
          <w:rFonts w:hint="cs"/>
          <w:rtl/>
        </w:rPr>
        <w:t>כדי</w:t>
      </w:r>
      <w:r w:rsidRPr="00565CE8">
        <w:rPr>
          <w:rtl/>
        </w:rPr>
        <w:t xml:space="preserve"> לאפשר לוועדות האזוריות להתכנס </w:t>
      </w:r>
      <w:r>
        <w:rPr>
          <w:rFonts w:hint="cs"/>
          <w:rtl/>
        </w:rPr>
        <w:t xml:space="preserve">במועד מוקדם יותר מהקיים היום. </w:t>
      </w:r>
      <w:r w:rsidRPr="004263D4">
        <w:rPr>
          <w:rFonts w:hint="cs"/>
          <w:rtl/>
        </w:rPr>
        <w:t>מהוועדה המרכזית נמסר כי אין לתיקון זה כל עלות כספית.</w:t>
      </w:r>
    </w:p>
    <w:p w14:paraId="52D819EA" w14:textId="7FF56DD2" w:rsidR="005E2B57" w:rsidRPr="004263D4" w:rsidRDefault="005E2B57" w:rsidP="00BA42F7">
      <w:pPr>
        <w:pStyle w:val="Hesber1st"/>
        <w:tabs>
          <w:tab w:val="clear" w:pos="680"/>
        </w:tabs>
        <w:rPr>
          <w:rtl/>
        </w:rPr>
      </w:pPr>
      <w:r w:rsidRPr="004263D4">
        <w:rPr>
          <w:rFonts w:hint="cs"/>
          <w:b/>
          <w:bCs/>
          <w:rtl/>
        </w:rPr>
        <w:t xml:space="preserve">סעיף </w:t>
      </w:r>
      <w:r w:rsidR="00BA42F7">
        <w:rPr>
          <w:rFonts w:hint="cs"/>
          <w:b/>
          <w:bCs/>
          <w:rtl/>
        </w:rPr>
        <w:t>9</w:t>
      </w:r>
      <w:r w:rsidRPr="004263D4">
        <w:rPr>
          <w:rtl/>
        </w:rPr>
        <w:tab/>
      </w:r>
      <w:r w:rsidRPr="004263D4">
        <w:rPr>
          <w:rFonts w:hint="cs"/>
          <w:rtl/>
        </w:rPr>
        <w:t xml:space="preserve">סעיף 20 לחוק הבחירות עוסק במינוי היושב ראש והסגנים בוועדות הבחירות האזוריות. בסעיף נקבע כי הוועדה המרכזית תמנה לכל ועדה אזורית, מבין חברי אותה ועדה, שלושה סגנים ליושב ראש. מוצע לעגן את הכלל הנוהג בוועדת הבחירות לפיו סגני היושב ראש בוועדות האזוריות ממונים בהתחשב במספר החברים של כל סיעה בוועדה המרכזית. מוצע להסמיך את יושב ראש הוועדה המרכזית לקבוע בכללים את האופן והמועדים למינוי סגנים כאמור. מהוועדה המרכזית נמסר כי בכוונתם להציע כי יושב ראש הוועדה המרכזית </w:t>
      </w:r>
      <w:proofErr w:type="spellStart"/>
      <w:r w:rsidRPr="004263D4">
        <w:rPr>
          <w:rFonts w:hint="cs"/>
          <w:rtl/>
        </w:rPr>
        <w:t>וסגניו</w:t>
      </w:r>
      <w:proofErr w:type="spellEnd"/>
      <w:r w:rsidRPr="004263D4">
        <w:rPr>
          <w:rFonts w:hint="cs"/>
          <w:rtl/>
        </w:rPr>
        <w:t xml:space="preserve"> יקבעו את מספר הסגנים לכל סיעה בכל ועדה אזורית בהתאם לכלל המוצע בחוק, ואם לא עלה בידם</w:t>
      </w:r>
      <w:r w:rsidR="000858F1">
        <w:rPr>
          <w:rFonts w:hint="cs"/>
          <w:rtl/>
        </w:rPr>
        <w:t xml:space="preserve"> לעשות כן, תיעשה החלוקה בהגרלה.</w:t>
      </w:r>
    </w:p>
    <w:p w14:paraId="476702FE" w14:textId="05831684" w:rsidR="005E2B57" w:rsidRPr="004263D4" w:rsidRDefault="005E2B57" w:rsidP="00BA42F7">
      <w:pPr>
        <w:pStyle w:val="Hesber1st"/>
        <w:tabs>
          <w:tab w:val="clear" w:pos="680"/>
        </w:tabs>
        <w:rPr>
          <w:rtl/>
        </w:rPr>
      </w:pPr>
      <w:r w:rsidRPr="004263D4">
        <w:rPr>
          <w:rFonts w:hint="cs"/>
          <w:b/>
          <w:bCs/>
          <w:rtl/>
        </w:rPr>
        <w:t xml:space="preserve">סעיף </w:t>
      </w:r>
      <w:r w:rsidR="00BA42F7">
        <w:rPr>
          <w:rFonts w:hint="cs"/>
          <w:b/>
          <w:bCs/>
          <w:rtl/>
        </w:rPr>
        <w:t>10</w:t>
      </w:r>
      <w:r w:rsidRPr="004263D4">
        <w:rPr>
          <w:rtl/>
        </w:rPr>
        <w:tab/>
      </w:r>
      <w:r w:rsidRPr="004263D4">
        <w:rPr>
          <w:rFonts w:hint="cs"/>
          <w:rtl/>
        </w:rPr>
        <w:t xml:space="preserve">סעיף 39(ו) לחוק הבחירות קובע כי שר הפנים ימסור לוועדה המרכזית מידע פנקס לצורך מילוי תפקידיה. מידע פנקס כולל שם פרטי, שם משפחה, שם האב או האם, מען ומספר זהות במרשם האוכלוסין של כל הבוחרים. בדוחות מבקר המדינה ממערכות הבחירות האחרונות לכנסת הוצג כי קיימת תופעה של הצבעה בזהות בדויה בשם נפטרים ובשם ואנשים השוהים </w:t>
      </w:r>
      <w:r w:rsidR="000858F1">
        <w:rPr>
          <w:rFonts w:hint="cs"/>
          <w:rtl/>
        </w:rPr>
        <w:t>מחוץ לישראל</w:t>
      </w:r>
      <w:r w:rsidRPr="004263D4">
        <w:rPr>
          <w:rFonts w:hint="cs"/>
          <w:rtl/>
        </w:rPr>
        <w:t xml:space="preserve"> והמבקר קרא </w:t>
      </w:r>
      <w:r w:rsidR="000858F1">
        <w:rPr>
          <w:rFonts w:hint="cs"/>
          <w:rtl/>
        </w:rPr>
        <w:t>לוועדה המרכזית</w:t>
      </w:r>
      <w:r w:rsidRPr="004263D4">
        <w:rPr>
          <w:rFonts w:hint="cs"/>
          <w:rtl/>
        </w:rPr>
        <w:t xml:space="preserve"> לבחון דרכים שבהן ניתן לצמצם תופעה חמורה זו (</w:t>
      </w:r>
      <w:r w:rsidRPr="004263D4">
        <w:rPr>
          <w:snapToGrid/>
          <w:rtl/>
        </w:rPr>
        <w:t>דוח מבקר המדינה על הבחירות לכנסת ה-19 (דוח ביקורת על ההיערכות לבחירות לכנסת התשע עשרה וניה</w:t>
      </w:r>
      <w:r w:rsidRPr="004263D4">
        <w:rPr>
          <w:rtl/>
        </w:rPr>
        <w:t>ולן</w:t>
      </w:r>
      <w:r w:rsidR="00BA42F7">
        <w:rPr>
          <w:rFonts w:hint="cs"/>
          <w:rtl/>
        </w:rPr>
        <w:t>)</w:t>
      </w:r>
      <w:r w:rsidRPr="004263D4">
        <w:rPr>
          <w:rFonts w:hint="cs"/>
          <w:rtl/>
        </w:rPr>
        <w:t>,</w:t>
      </w:r>
      <w:r w:rsidRPr="004263D4">
        <w:rPr>
          <w:rtl/>
        </w:rPr>
        <w:t xml:space="preserve"> עמ' </w:t>
      </w:r>
      <w:r w:rsidRPr="004263D4">
        <w:rPr>
          <w:rFonts w:hint="cs"/>
          <w:rtl/>
        </w:rPr>
        <w:t xml:space="preserve">79-78; </w:t>
      </w:r>
      <w:r w:rsidRPr="004263D4">
        <w:rPr>
          <w:snapToGrid/>
          <w:rtl/>
        </w:rPr>
        <w:t xml:space="preserve">דוח מבקר המדינה על הבחירות לכנסת ה-20 (דוח שנתי 66ג של מבקר המדינה, פרק היבטים </w:t>
      </w:r>
      <w:proofErr w:type="spellStart"/>
      <w:r w:rsidRPr="004263D4">
        <w:rPr>
          <w:snapToGrid/>
          <w:rtl/>
        </w:rPr>
        <w:t>מינהליים</w:t>
      </w:r>
      <w:proofErr w:type="spellEnd"/>
      <w:r w:rsidRPr="004263D4">
        <w:rPr>
          <w:snapToGrid/>
          <w:rtl/>
        </w:rPr>
        <w:t xml:space="preserve"> בהיערכות לבחירות לכנסת</w:t>
      </w:r>
      <w:r w:rsidR="00BA42F7">
        <w:rPr>
          <w:rFonts w:hint="cs"/>
          <w:snapToGrid/>
          <w:rtl/>
        </w:rPr>
        <w:t>)</w:t>
      </w:r>
      <w:r w:rsidRPr="004263D4">
        <w:rPr>
          <w:rFonts w:hint="cs"/>
          <w:snapToGrid/>
          <w:rtl/>
        </w:rPr>
        <w:t>,</w:t>
      </w:r>
      <w:r w:rsidRPr="004263D4">
        <w:rPr>
          <w:rtl/>
        </w:rPr>
        <w:t xml:space="preserve"> עמ' </w:t>
      </w:r>
      <w:r w:rsidRPr="004263D4">
        <w:rPr>
          <w:rFonts w:hint="cs"/>
          <w:rtl/>
        </w:rPr>
        <w:t xml:space="preserve">1870-1869). </w:t>
      </w:r>
    </w:p>
    <w:p w14:paraId="55EAB412" w14:textId="110377EF" w:rsidR="005E2B57" w:rsidRPr="00724BB0" w:rsidRDefault="005E2B57" w:rsidP="003B2520">
      <w:pPr>
        <w:snapToGrid w:val="0"/>
        <w:spacing w:before="0" w:line="360" w:lineRule="auto"/>
        <w:rPr>
          <w:rFonts w:ascii="Arial" w:eastAsia="Arial Unicode MS" w:hAnsi="Arial" w:cs="David"/>
          <w:spacing w:val="0"/>
          <w:sz w:val="20"/>
          <w:szCs w:val="26"/>
          <w:rtl/>
        </w:rPr>
      </w:pPr>
      <w:r w:rsidRPr="003B2520">
        <w:rPr>
          <w:rFonts w:ascii="Arial" w:eastAsia="Arial Unicode MS" w:hAnsi="Arial" w:cs="David" w:hint="cs"/>
          <w:spacing w:val="0"/>
          <w:sz w:val="20"/>
          <w:szCs w:val="26"/>
          <w:rtl/>
        </w:rPr>
        <w:t xml:space="preserve">מוצע </w:t>
      </w:r>
      <w:r w:rsidR="0052049D" w:rsidRPr="003B2520">
        <w:rPr>
          <w:rFonts w:ascii="Arial" w:eastAsia="Arial Unicode MS" w:hAnsi="Arial" w:cs="David" w:hint="cs"/>
          <w:spacing w:val="0"/>
          <w:sz w:val="20"/>
          <w:szCs w:val="26"/>
          <w:rtl/>
        </w:rPr>
        <w:t xml:space="preserve">לקבוע, כי לוועדה המרכזית יועבר </w:t>
      </w:r>
      <w:r w:rsidRPr="003B2520">
        <w:rPr>
          <w:rFonts w:ascii="Arial" w:eastAsia="Arial Unicode MS" w:hAnsi="Arial" w:cs="David" w:hint="cs"/>
          <w:spacing w:val="0"/>
          <w:sz w:val="20"/>
          <w:szCs w:val="26"/>
          <w:rtl/>
        </w:rPr>
        <w:t xml:space="preserve">מידע על פטירה של אדם הרשום בפנקס הבוחרים, ורשימה של בוחרים שיצאו מישראל לפני למעלה </w:t>
      </w:r>
      <w:r w:rsidR="000858F1" w:rsidRPr="003B2520">
        <w:rPr>
          <w:rFonts w:ascii="Arial" w:eastAsia="Arial Unicode MS" w:hAnsi="Arial" w:cs="David" w:hint="cs"/>
          <w:spacing w:val="0"/>
          <w:sz w:val="20"/>
          <w:szCs w:val="26"/>
          <w:rtl/>
        </w:rPr>
        <w:t>משמונה</w:t>
      </w:r>
      <w:r w:rsidRPr="003B2520">
        <w:rPr>
          <w:rFonts w:ascii="Arial" w:eastAsia="Arial Unicode MS" w:hAnsi="Arial" w:cs="David" w:hint="cs"/>
          <w:spacing w:val="0"/>
          <w:sz w:val="20"/>
          <w:szCs w:val="26"/>
          <w:rtl/>
        </w:rPr>
        <w:t xml:space="preserve"> שנים ולא נכנסו בחזרה לגבול המדינה נכון ליום ה-</w:t>
      </w:r>
      <w:r w:rsidR="003B2520" w:rsidRPr="003B2520">
        <w:rPr>
          <w:rFonts w:ascii="Arial" w:eastAsia="Arial Unicode MS" w:hAnsi="Arial" w:cs="David" w:hint="cs"/>
          <w:spacing w:val="0"/>
          <w:sz w:val="20"/>
          <w:szCs w:val="26"/>
          <w:rtl/>
        </w:rPr>
        <w:t>5</w:t>
      </w:r>
      <w:r w:rsidRPr="003B2520">
        <w:rPr>
          <w:rFonts w:ascii="Arial" w:eastAsia="Arial Unicode MS" w:hAnsi="Arial" w:cs="David" w:hint="cs"/>
          <w:spacing w:val="0"/>
          <w:sz w:val="20"/>
          <w:szCs w:val="26"/>
          <w:rtl/>
        </w:rPr>
        <w:t xml:space="preserve"> שלפני יום הבחירות. לגבי בוחרים כאמור שיצאו מישראל ולא שבו כדי להצביע ב</w:t>
      </w:r>
      <w:r w:rsidR="000858F1" w:rsidRPr="003B2520">
        <w:rPr>
          <w:rFonts w:ascii="Arial" w:eastAsia="Arial Unicode MS" w:hAnsi="Arial" w:cs="David" w:hint="cs"/>
          <w:spacing w:val="0"/>
          <w:sz w:val="20"/>
          <w:szCs w:val="26"/>
          <w:rtl/>
        </w:rPr>
        <w:t>שתי מערכות בחירות לפחות</w:t>
      </w:r>
      <w:r w:rsidRPr="003B2520">
        <w:rPr>
          <w:rFonts w:ascii="Arial" w:eastAsia="Arial Unicode MS" w:hAnsi="Arial" w:cs="David" w:hint="cs"/>
          <w:spacing w:val="0"/>
          <w:sz w:val="20"/>
          <w:szCs w:val="26"/>
          <w:rtl/>
        </w:rPr>
        <w:t>, קיימת סיבה להאמין שלא ישובו להצביע גם בבחירות הבאות.</w:t>
      </w:r>
      <w:r>
        <w:rPr>
          <w:rFonts w:ascii="Arial" w:eastAsia="Arial Unicode MS" w:hAnsi="Arial" w:cs="David" w:hint="cs"/>
          <w:spacing w:val="0"/>
          <w:sz w:val="20"/>
          <w:szCs w:val="26"/>
          <w:rtl/>
        </w:rPr>
        <w:t xml:space="preserve"> לפיכך, </w:t>
      </w:r>
      <w:r w:rsidRPr="00724BB0">
        <w:rPr>
          <w:rFonts w:ascii="Arial" w:eastAsia="Arial Unicode MS" w:hAnsi="Arial" w:cs="David" w:hint="cs"/>
          <w:spacing w:val="0"/>
          <w:sz w:val="20"/>
          <w:szCs w:val="26"/>
          <w:rtl/>
        </w:rPr>
        <w:t xml:space="preserve">רשימה כאמור תועבר לידי מזכירי ועדות הקלפי והם יונחו לבחון ביתר דקדוק את זהותו של אדם </w:t>
      </w:r>
      <w:r w:rsidR="005B4184">
        <w:rPr>
          <w:rFonts w:ascii="Arial" w:eastAsia="Arial Unicode MS" w:hAnsi="Arial" w:cs="David" w:hint="cs"/>
          <w:spacing w:val="0"/>
          <w:sz w:val="20"/>
          <w:szCs w:val="26"/>
          <w:rtl/>
        </w:rPr>
        <w:t xml:space="preserve">ששמו </w:t>
      </w:r>
      <w:r w:rsidRPr="00724BB0">
        <w:rPr>
          <w:rFonts w:ascii="Arial" w:eastAsia="Arial Unicode MS" w:hAnsi="Arial" w:cs="David" w:hint="cs"/>
          <w:spacing w:val="0"/>
          <w:sz w:val="20"/>
          <w:szCs w:val="26"/>
          <w:rtl/>
        </w:rPr>
        <w:t xml:space="preserve">שימצא </w:t>
      </w:r>
      <w:r>
        <w:rPr>
          <w:rFonts w:ascii="Arial" w:eastAsia="Arial Unicode MS" w:hAnsi="Arial" w:cs="David" w:hint="cs"/>
          <w:spacing w:val="0"/>
          <w:sz w:val="20"/>
          <w:szCs w:val="26"/>
          <w:rtl/>
        </w:rPr>
        <w:t>בה</w:t>
      </w:r>
      <w:r w:rsidRPr="00724BB0">
        <w:rPr>
          <w:rFonts w:ascii="Arial" w:eastAsia="Arial Unicode MS" w:hAnsi="Arial" w:cs="David" w:hint="cs"/>
          <w:spacing w:val="0"/>
          <w:sz w:val="20"/>
          <w:szCs w:val="26"/>
          <w:rtl/>
        </w:rPr>
        <w:t xml:space="preserve">, במסגרת סמכותם לזהות את הבוחר לפי סעיף 74 לחוק הבחירות. </w:t>
      </w:r>
      <w:r w:rsidR="003B2520">
        <w:rPr>
          <w:rFonts w:ascii="Arial" w:eastAsia="Arial Unicode MS" w:hAnsi="Arial" w:cs="David" w:hint="cs"/>
          <w:spacing w:val="0"/>
          <w:sz w:val="20"/>
          <w:szCs w:val="26"/>
          <w:rtl/>
        </w:rPr>
        <w:t xml:space="preserve">ברי כי הפעלת סמכותו של מזכיר ועדת הקלפי צריכה להיעשות בדרך מכובדת השומרת על פרטיותו של הבוחר. </w:t>
      </w:r>
      <w:r w:rsidRPr="00724BB0">
        <w:rPr>
          <w:rFonts w:ascii="Arial" w:eastAsia="Arial Unicode MS" w:hAnsi="Arial" w:cs="David" w:hint="cs"/>
          <w:spacing w:val="0"/>
          <w:sz w:val="20"/>
          <w:szCs w:val="26"/>
          <w:rtl/>
        </w:rPr>
        <w:t>המידע שיועבר יושמד יחד עם השמדת יתר חומר הבחירות לפי סעיף 79א לחוק הבחירות.</w:t>
      </w:r>
    </w:p>
    <w:p w14:paraId="280B02AA" w14:textId="4D1CC538" w:rsidR="005E2B57" w:rsidRDefault="005E2B57" w:rsidP="00BA42F7">
      <w:pPr>
        <w:pStyle w:val="Hesber1st"/>
        <w:tabs>
          <w:tab w:val="clear" w:pos="680"/>
        </w:tabs>
        <w:rPr>
          <w:rtl/>
        </w:rPr>
      </w:pPr>
      <w:r w:rsidRPr="00831D0C">
        <w:rPr>
          <w:rFonts w:hint="cs"/>
          <w:b/>
          <w:bCs/>
          <w:rtl/>
        </w:rPr>
        <w:t xml:space="preserve">סעיף </w:t>
      </w:r>
      <w:r w:rsidR="00BA42F7">
        <w:rPr>
          <w:rFonts w:hint="cs"/>
          <w:b/>
          <w:bCs/>
          <w:rtl/>
        </w:rPr>
        <w:t>11</w:t>
      </w:r>
      <w:r>
        <w:rPr>
          <w:rtl/>
        </w:rPr>
        <w:tab/>
      </w:r>
      <w:r>
        <w:rPr>
          <w:rFonts w:hint="cs"/>
          <w:rtl/>
        </w:rPr>
        <w:t xml:space="preserve">לפי סעיף 71 לחוק הבחירות, הוועדה המרכזית תמסור לכל ועדת קלפי את רשימת הבוחרים </w:t>
      </w:r>
      <w:r>
        <w:rPr>
          <w:rFonts w:hint="cs"/>
          <w:rtl/>
        </w:rPr>
        <w:lastRenderedPageBreak/>
        <w:t xml:space="preserve">הרשאים להצביע באותה קלפי. בסעיף נקבע כי הרשימה תימסר לידי יושב ראש ועדת הקלפי, וניתן למסרה למזכיר הוועדה על מנת שיעביר אותה ליושב הראש. מזכיר ועדת הקלפי הוא </w:t>
      </w:r>
      <w:r w:rsidR="005B4184">
        <w:rPr>
          <w:rFonts w:hint="cs"/>
          <w:rtl/>
        </w:rPr>
        <w:t>נציגה של הוועדה המרכזית בקלפי, בעוד ש</w:t>
      </w:r>
      <w:r>
        <w:rPr>
          <w:rFonts w:hint="cs"/>
          <w:rtl/>
        </w:rPr>
        <w:t>זהות יושב הראש לעיתים כלל אינה ידועה לוועדה המרכזית במועד שבו נמסרות רשימות הבוחרים. על כן</w:t>
      </w:r>
      <w:r w:rsidRPr="009A1538">
        <w:rPr>
          <w:rFonts w:hint="cs"/>
          <w:rtl/>
        </w:rPr>
        <w:t xml:space="preserve"> </w:t>
      </w:r>
      <w:r>
        <w:rPr>
          <w:rFonts w:hint="cs"/>
          <w:rtl/>
        </w:rPr>
        <w:t>מוצע כי רשימות הבוחרים יימסרו למזכיר הוועדה ולא ליושב הראש.</w:t>
      </w:r>
    </w:p>
    <w:p w14:paraId="4971EB5B" w14:textId="763E5FC4" w:rsidR="005E2B57" w:rsidRDefault="005E2B57" w:rsidP="00BA42F7">
      <w:pPr>
        <w:pStyle w:val="Hesber1st"/>
        <w:tabs>
          <w:tab w:val="clear" w:pos="680"/>
        </w:tabs>
        <w:rPr>
          <w:rtl/>
        </w:rPr>
      </w:pPr>
      <w:r>
        <w:rPr>
          <w:rFonts w:hint="cs"/>
          <w:b/>
          <w:bCs/>
          <w:rtl/>
        </w:rPr>
        <w:t>סעיפים</w:t>
      </w:r>
      <w:r w:rsidRPr="00831D0C">
        <w:rPr>
          <w:rFonts w:hint="cs"/>
          <w:b/>
          <w:bCs/>
          <w:rtl/>
        </w:rPr>
        <w:t xml:space="preserve"> </w:t>
      </w:r>
      <w:r w:rsidR="00BA42F7">
        <w:rPr>
          <w:rFonts w:hint="cs"/>
          <w:b/>
          <w:bCs/>
          <w:rtl/>
        </w:rPr>
        <w:t>12</w:t>
      </w:r>
      <w:r w:rsidR="00BA42F7">
        <w:rPr>
          <w:rFonts w:hint="cs"/>
          <w:rtl/>
        </w:rPr>
        <w:t xml:space="preserve"> </w:t>
      </w:r>
      <w:r w:rsidRPr="009A1538">
        <w:rPr>
          <w:rFonts w:hint="cs"/>
          <w:b/>
          <w:bCs/>
          <w:rtl/>
        </w:rPr>
        <w:t xml:space="preserve">עד </w:t>
      </w:r>
      <w:r w:rsidR="00BA42F7">
        <w:rPr>
          <w:rFonts w:hint="cs"/>
          <w:b/>
          <w:bCs/>
          <w:rtl/>
        </w:rPr>
        <w:t>14</w:t>
      </w:r>
      <w:r w:rsidR="00A95A07">
        <w:rPr>
          <w:rFonts w:hint="cs"/>
          <w:rtl/>
        </w:rPr>
        <w:t xml:space="preserve"> </w:t>
      </w:r>
      <w:r>
        <w:rPr>
          <w:rFonts w:hint="cs"/>
          <w:rtl/>
        </w:rPr>
        <w:t xml:space="preserve">סעיף 73 לחוק הבחירות קובע הוראות בדבר נוכחות במקום הקלפי בשעות ההצבעה. מוצע להתיר גם </w:t>
      </w:r>
      <w:r w:rsidRPr="00A02ED2">
        <w:rPr>
          <w:rtl/>
        </w:rPr>
        <w:t xml:space="preserve">לעובדי הוועדה המרכזית </w:t>
      </w:r>
      <w:r>
        <w:rPr>
          <w:rFonts w:hint="cs"/>
          <w:rtl/>
        </w:rPr>
        <w:t>והוועדות</w:t>
      </w:r>
      <w:r w:rsidRPr="00A02ED2">
        <w:rPr>
          <w:rtl/>
        </w:rPr>
        <w:t xml:space="preserve"> האזוריות להיות נוכחים במקום קלפי בשעות ההצבעה</w:t>
      </w:r>
      <w:r>
        <w:rPr>
          <w:rFonts w:hint="cs"/>
          <w:rtl/>
        </w:rPr>
        <w:t xml:space="preserve">, שכן נוכחותם בקלפי דרושה לעיתים לצורך מילוי תפקידם כנציגי הוועדה המרכזית (סעיף 19). </w:t>
      </w:r>
    </w:p>
    <w:p w14:paraId="325ED35B" w14:textId="77777777" w:rsidR="005E2B57" w:rsidRPr="003C3827" w:rsidRDefault="005E2B57" w:rsidP="005E2B57">
      <w:pPr>
        <w:snapToGrid w:val="0"/>
        <w:spacing w:before="0" w:line="360" w:lineRule="auto"/>
        <w:rPr>
          <w:rFonts w:ascii="Arial" w:eastAsia="Arial Unicode MS" w:hAnsi="Arial" w:cs="David"/>
          <w:spacing w:val="0"/>
          <w:sz w:val="20"/>
          <w:szCs w:val="26"/>
          <w:rtl/>
        </w:rPr>
      </w:pPr>
      <w:r w:rsidRPr="003C3827">
        <w:rPr>
          <w:rFonts w:ascii="Arial" w:eastAsia="Arial Unicode MS" w:hAnsi="Arial" w:cs="David" w:hint="cs"/>
          <w:spacing w:val="0"/>
          <w:sz w:val="20"/>
          <w:szCs w:val="26"/>
          <w:rtl/>
        </w:rPr>
        <w:t>בדומה לסעיף 73 האמור, נקבעו בסעיפים 90(ד) ו-116ד(ה) לחוק הבחירות הוראות בדבר נוכחות במקום הקלפי בבחירות בקרב חיילים ושוטרים ובבחירות בבתי סוהר ובבתי מעצר</w:t>
      </w:r>
      <w:r>
        <w:rPr>
          <w:rFonts w:ascii="Arial" w:eastAsia="Arial Unicode MS" w:hAnsi="Arial" w:cs="David" w:hint="cs"/>
          <w:spacing w:val="0"/>
          <w:sz w:val="20"/>
          <w:szCs w:val="26"/>
          <w:rtl/>
        </w:rPr>
        <w:t>, בהתאמה</w:t>
      </w:r>
      <w:r w:rsidRPr="003C3827">
        <w:rPr>
          <w:rFonts w:ascii="Arial" w:eastAsia="Arial Unicode MS" w:hAnsi="Arial" w:cs="David" w:hint="cs"/>
          <w:spacing w:val="0"/>
          <w:sz w:val="20"/>
          <w:szCs w:val="26"/>
          <w:rtl/>
        </w:rPr>
        <w:t>. מוצע לקבוע</w:t>
      </w:r>
      <w:r>
        <w:rPr>
          <w:rFonts w:ascii="Arial" w:eastAsia="Arial Unicode MS" w:hAnsi="Arial" w:cs="David" w:hint="cs"/>
          <w:spacing w:val="0"/>
          <w:sz w:val="20"/>
          <w:szCs w:val="26"/>
          <w:rtl/>
        </w:rPr>
        <w:t xml:space="preserve"> כי עובדי הוועדה המרכזית יהיו רשאים לנכוח גם בקלפיות אלה בשעות ההצבעה. בבחירות מיוחדות מסוג זה אין חלוקה לאזורי בחירות ועל כן אין צורך לאפשר נוכחות בהצבעה גם לעובדי הוועדות האזוריות (סעיפים 20 ו-21). </w:t>
      </w:r>
    </w:p>
    <w:p w14:paraId="7ADF26F7" w14:textId="77777777" w:rsidR="005E2B57" w:rsidRDefault="005E2B57" w:rsidP="005E2B57">
      <w:pPr>
        <w:snapToGrid w:val="0"/>
        <w:spacing w:before="0" w:line="360" w:lineRule="auto"/>
        <w:rPr>
          <w:rFonts w:ascii="Arial" w:eastAsia="Arial Unicode MS" w:hAnsi="Arial" w:cs="David"/>
          <w:snapToGrid w:val="0"/>
          <w:spacing w:val="0"/>
          <w:sz w:val="20"/>
          <w:szCs w:val="26"/>
          <w:rtl/>
        </w:rPr>
      </w:pPr>
      <w:bookmarkStart w:id="1" w:name="_GoBack"/>
      <w:bookmarkEnd w:id="1"/>
    </w:p>
    <w:p w14:paraId="5DE6DAEC" w14:textId="7986EDB5" w:rsidR="005E2B57" w:rsidRDefault="005E2B57" w:rsidP="005E2B57">
      <w:pPr>
        <w:pStyle w:val="HesberHeading"/>
        <w:jc w:val="center"/>
        <w:rPr>
          <w:rtl/>
        </w:rPr>
      </w:pPr>
      <w:r>
        <w:rPr>
          <w:rFonts w:hint="cs"/>
          <w:rtl/>
        </w:rPr>
        <w:t xml:space="preserve">פרק </w:t>
      </w:r>
      <w:r w:rsidR="00BA42F7">
        <w:rPr>
          <w:rFonts w:hint="cs"/>
          <w:rtl/>
        </w:rPr>
        <w:t>ד</w:t>
      </w:r>
      <w:r w:rsidRPr="00C64C6C">
        <w:rPr>
          <w:rFonts w:hint="cs"/>
          <w:rtl/>
        </w:rPr>
        <w:t xml:space="preserve">': </w:t>
      </w:r>
      <w:r>
        <w:rPr>
          <w:rFonts w:hint="cs"/>
          <w:rtl/>
        </w:rPr>
        <w:t>תיקונים שונים</w:t>
      </w:r>
    </w:p>
    <w:p w14:paraId="7C69800C" w14:textId="4978930B" w:rsidR="005E2B57" w:rsidRDefault="005E2B57" w:rsidP="00BA42F7">
      <w:pPr>
        <w:pStyle w:val="Hesber1st"/>
        <w:tabs>
          <w:tab w:val="clear" w:pos="680"/>
        </w:tabs>
        <w:rPr>
          <w:rtl/>
        </w:rPr>
      </w:pPr>
      <w:r>
        <w:rPr>
          <w:rFonts w:hint="cs"/>
          <w:b/>
          <w:bCs/>
          <w:rtl/>
        </w:rPr>
        <w:t>סעיפים</w:t>
      </w:r>
      <w:r w:rsidRPr="00831D0C">
        <w:rPr>
          <w:rFonts w:hint="cs"/>
          <w:b/>
          <w:bCs/>
          <w:rtl/>
        </w:rPr>
        <w:t xml:space="preserve"> </w:t>
      </w:r>
      <w:r w:rsidR="00BA42F7">
        <w:rPr>
          <w:rFonts w:hint="cs"/>
          <w:b/>
          <w:bCs/>
          <w:rtl/>
        </w:rPr>
        <w:t>15</w:t>
      </w:r>
      <w:r w:rsidR="00BA42F7" w:rsidRPr="00A841D9">
        <w:rPr>
          <w:rFonts w:hint="cs"/>
          <w:b/>
          <w:bCs/>
          <w:rtl/>
        </w:rPr>
        <w:t xml:space="preserve"> </w:t>
      </w:r>
      <w:r w:rsidRPr="00A841D9">
        <w:rPr>
          <w:rFonts w:hint="cs"/>
          <w:b/>
          <w:bCs/>
          <w:rtl/>
        </w:rPr>
        <w:t>ו-</w:t>
      </w:r>
      <w:r w:rsidR="00BA42F7">
        <w:rPr>
          <w:rFonts w:hint="cs"/>
          <w:b/>
          <w:bCs/>
          <w:rtl/>
        </w:rPr>
        <w:t>21</w:t>
      </w:r>
      <w:r>
        <w:rPr>
          <w:rtl/>
        </w:rPr>
        <w:tab/>
      </w:r>
      <w:r>
        <w:rPr>
          <w:rFonts w:hint="cs"/>
          <w:rtl/>
        </w:rPr>
        <w:t xml:space="preserve">לפי סעיף 68 לחוק הבחירות, לכל אזור קלפי תהיה קלפי אחת ומקום הקלפי ייקבע על ידי הוועדה המרכזית לפי רשימה של מקומות הקלפי שמסר לה שר הפנים. מספר הבוחרים בכל קלפי נקבע לפי כמות בעלי זכות הבחירה שבאזור הקלפי, שחייב להיות שטח גיאוגרפי רצוף לפי סעיף 12 לחוק הבחירות. במערכות הבחירות האחרונות הוצבו במתחם אחד מספר קלפיות שבכל אחת מהן מספר שונה באופן מהותי של בוחרים, כך שבקלפי אחת נוצר עומס רב יותר, באופן משמעותי, מאשר בקלפי אחרת שנמצאת באותו מתחם. </w:t>
      </w:r>
      <w:r w:rsidRPr="008E649E">
        <w:rPr>
          <w:rFonts w:hint="cs"/>
          <w:snapToGrid/>
          <w:rtl/>
        </w:rPr>
        <w:t xml:space="preserve">כדי לווסת את העומס על הקלפיות, מוצע להסמיך את יושב ראש הוועדה המרכזית </w:t>
      </w:r>
      <w:proofErr w:type="spellStart"/>
      <w:r w:rsidRPr="008E649E">
        <w:rPr>
          <w:rFonts w:hint="cs"/>
          <w:snapToGrid/>
          <w:rtl/>
        </w:rPr>
        <w:t>וסגניו</w:t>
      </w:r>
      <w:proofErr w:type="spellEnd"/>
      <w:r w:rsidRPr="008E649E">
        <w:rPr>
          <w:rFonts w:hint="cs"/>
          <w:snapToGrid/>
          <w:rtl/>
        </w:rPr>
        <w:t xml:space="preserve"> להורות על עריכת איזון בין רשימות בוחרים בקלפיות שבאותו מתחם</w:t>
      </w:r>
      <w:r>
        <w:rPr>
          <w:rFonts w:hint="cs"/>
          <w:rtl/>
        </w:rPr>
        <w:t>,</w:t>
      </w:r>
      <w:r w:rsidRPr="008E649E">
        <w:rPr>
          <w:rFonts w:hint="cs"/>
          <w:rtl/>
        </w:rPr>
        <w:t xml:space="preserve"> </w:t>
      </w:r>
      <w:r w:rsidRPr="008E649E">
        <w:rPr>
          <w:rFonts w:hint="cs"/>
          <w:snapToGrid/>
          <w:rtl/>
        </w:rPr>
        <w:t xml:space="preserve">אם הפער במספר הבוחרים בין הקלפיות עולה על 100. יושב ראש הוועדה המרכזית או עובד הוועדה שהוא הסמיך לכך יעביר בוחרים מקלפי אחת לקלפי אחרת באותו מתחם, לפי מספרם הסידורי ברשימת הבוחרים. </w:t>
      </w:r>
      <w:r>
        <w:rPr>
          <w:rFonts w:hint="cs"/>
          <w:rtl/>
        </w:rPr>
        <w:t>יושב ראש הוועדה המרכזית יהיה רשאי לקבוע כי עקב העברה זו יבוטלו קלפיות. ואולם,</w:t>
      </w:r>
      <w:r w:rsidRPr="008E649E">
        <w:rPr>
          <w:rFonts w:hint="cs"/>
          <w:snapToGrid/>
          <w:rtl/>
        </w:rPr>
        <w:t xml:space="preserve"> בשים לב לכך שמספר הבוחרים המקסימלי שמותר לכלול בכל קלפי לפי סעיף 11 לחוק הבחירות הוא 900, מוצע </w:t>
      </w:r>
      <w:r>
        <w:rPr>
          <w:rFonts w:hint="cs"/>
          <w:rtl/>
        </w:rPr>
        <w:t xml:space="preserve">לקבוע </w:t>
      </w:r>
      <w:r w:rsidRPr="008E649E">
        <w:rPr>
          <w:rFonts w:hint="cs"/>
          <w:snapToGrid/>
          <w:rtl/>
        </w:rPr>
        <w:t>כי מספר הבוחרים בכל קלפי לאחר האיזון לא יעלה על 700</w:t>
      </w:r>
      <w:r>
        <w:rPr>
          <w:rFonts w:hint="cs"/>
          <w:snapToGrid/>
          <w:rtl/>
        </w:rPr>
        <w:t xml:space="preserve"> (סעיף 22)</w:t>
      </w:r>
      <w:r w:rsidRPr="008E649E">
        <w:rPr>
          <w:rFonts w:hint="cs"/>
          <w:snapToGrid/>
          <w:rtl/>
        </w:rPr>
        <w:t>.</w:t>
      </w:r>
    </w:p>
    <w:p w14:paraId="76625746" w14:textId="6F23C267" w:rsidR="005E2B57" w:rsidRPr="008E649E" w:rsidRDefault="005E2B57" w:rsidP="00BA42F7">
      <w:pPr>
        <w:snapToGrid w:val="0"/>
        <w:spacing w:before="0" w:line="360" w:lineRule="auto"/>
        <w:rPr>
          <w:rFonts w:ascii="Arial" w:eastAsia="Arial Unicode MS" w:hAnsi="Arial" w:cs="David"/>
          <w:snapToGrid w:val="0"/>
          <w:spacing w:val="0"/>
          <w:sz w:val="20"/>
          <w:szCs w:val="26"/>
          <w:rtl/>
        </w:rPr>
      </w:pPr>
      <w:r w:rsidRPr="00D02E54">
        <w:rPr>
          <w:rFonts w:ascii="Arial" w:eastAsia="Arial Unicode MS" w:hAnsi="Arial" w:cs="David" w:hint="cs"/>
          <w:snapToGrid w:val="0"/>
          <w:spacing w:val="0"/>
          <w:sz w:val="20"/>
          <w:szCs w:val="26"/>
          <w:rtl/>
        </w:rPr>
        <w:t xml:space="preserve">חוק סדרי השלטון והמשפט (ביטול החלת המשפט, השיפוט </w:t>
      </w:r>
      <w:proofErr w:type="spellStart"/>
      <w:r w:rsidRPr="00D02E54">
        <w:rPr>
          <w:rFonts w:ascii="Arial" w:eastAsia="Arial Unicode MS" w:hAnsi="Arial" w:cs="David" w:hint="cs"/>
          <w:snapToGrid w:val="0"/>
          <w:spacing w:val="0"/>
          <w:sz w:val="20"/>
          <w:szCs w:val="26"/>
          <w:rtl/>
        </w:rPr>
        <w:t>והמינהל</w:t>
      </w:r>
      <w:proofErr w:type="spellEnd"/>
      <w:r w:rsidRPr="00D02E54">
        <w:rPr>
          <w:rFonts w:ascii="Arial" w:eastAsia="Arial Unicode MS" w:hAnsi="Arial" w:cs="David" w:hint="cs"/>
          <w:snapToGrid w:val="0"/>
          <w:spacing w:val="0"/>
          <w:sz w:val="20"/>
          <w:szCs w:val="26"/>
          <w:rtl/>
        </w:rPr>
        <w:t xml:space="preserve">), </w:t>
      </w:r>
      <w:proofErr w:type="spellStart"/>
      <w:r w:rsidRPr="00D02E54">
        <w:rPr>
          <w:rFonts w:ascii="Arial" w:eastAsia="Arial Unicode MS" w:hAnsi="Arial" w:cs="David" w:hint="cs"/>
          <w:snapToGrid w:val="0"/>
          <w:spacing w:val="0"/>
          <w:sz w:val="20"/>
          <w:szCs w:val="26"/>
          <w:rtl/>
        </w:rPr>
        <w:t>התשנ"ט</w:t>
      </w:r>
      <w:proofErr w:type="spellEnd"/>
      <w:r w:rsidRPr="00D02E54">
        <w:rPr>
          <w:rFonts w:ascii="Arial" w:eastAsia="Arial Unicode MS" w:hAnsi="Arial" w:cs="David" w:hint="eastAsia"/>
          <w:snapToGrid w:val="0"/>
          <w:spacing w:val="0"/>
          <w:sz w:val="20"/>
          <w:szCs w:val="26"/>
          <w:rtl/>
        </w:rPr>
        <w:t>–</w:t>
      </w:r>
      <w:r w:rsidRPr="00D02E54">
        <w:rPr>
          <w:rFonts w:ascii="Arial" w:eastAsia="Arial Unicode MS" w:hAnsi="Arial" w:cs="David" w:hint="cs"/>
          <w:snapToGrid w:val="0"/>
          <w:spacing w:val="0"/>
          <w:sz w:val="20"/>
          <w:szCs w:val="26"/>
          <w:rtl/>
        </w:rPr>
        <w:t xml:space="preserve">1999, קובע, בין היתר, את סדרי ההצבעה במשאל עם, ומחיל בשינויים את ההוראות מחוק הבחירות על עריכת משאל עם. </w:t>
      </w:r>
      <w:r>
        <w:rPr>
          <w:rFonts w:ascii="Arial" w:eastAsia="Arial Unicode MS" w:hAnsi="Arial" w:cs="David" w:hint="cs"/>
          <w:snapToGrid w:val="0"/>
          <w:spacing w:val="0"/>
          <w:sz w:val="20"/>
          <w:szCs w:val="26"/>
          <w:rtl/>
        </w:rPr>
        <w:t xml:space="preserve">מוצע לקבוע כי בעריכת איזון בין קלפיות במשאל עם, מספר הבוחרים בכל קלפי לאחר האיזון לא יעלה על 600, ולא 700 כפי שמוצע לקבוע בחוק הבחירות. זאת מאחר שלפי סעיף 9(ב)(14)(א) לחוק סדרי השלטון והמשפט, ניתן לפצל קלפיות שמספר הבוחרים בהן עולה על 650, ולא 900 כפי שקבוע בסעיף 70(ב) לחוק הבחירות (סעיף 28). </w:t>
      </w:r>
    </w:p>
    <w:p w14:paraId="35BB0F7E" w14:textId="12186358" w:rsidR="005E2B57" w:rsidRDefault="005E2B57" w:rsidP="001C099D">
      <w:pPr>
        <w:pStyle w:val="Hesber1st"/>
        <w:tabs>
          <w:tab w:val="clear" w:pos="680"/>
        </w:tabs>
        <w:rPr>
          <w:rtl/>
        </w:rPr>
      </w:pPr>
      <w:r w:rsidRPr="00831D0C">
        <w:rPr>
          <w:rFonts w:hint="cs"/>
          <w:b/>
          <w:bCs/>
          <w:rtl/>
        </w:rPr>
        <w:t xml:space="preserve">סעיף </w:t>
      </w:r>
      <w:r w:rsidR="00BA42F7">
        <w:rPr>
          <w:rFonts w:hint="cs"/>
          <w:b/>
          <w:bCs/>
          <w:rtl/>
        </w:rPr>
        <w:t>16</w:t>
      </w:r>
      <w:r>
        <w:rPr>
          <w:rtl/>
        </w:rPr>
        <w:tab/>
      </w:r>
      <w:r>
        <w:rPr>
          <w:rFonts w:hint="cs"/>
          <w:rtl/>
        </w:rPr>
        <w:t xml:space="preserve">סעיף 78 לחוק הבחירות קובע כי מעטפת הצבעה שבתוכה יותר מפתק הצבעה </w:t>
      </w:r>
      <w:r w:rsidR="0047210D">
        <w:rPr>
          <w:rFonts w:hint="cs"/>
          <w:rtl/>
        </w:rPr>
        <w:t xml:space="preserve">אחד </w:t>
      </w:r>
      <w:r>
        <w:rPr>
          <w:rFonts w:hint="cs"/>
          <w:rtl/>
        </w:rPr>
        <w:t xml:space="preserve">תהיה קול פסול. אך אם היו במעטפה שני פתקי הצבעה זהים, לא ייפסל הקול, אך הפתק השני לא יובא בחשבון. </w:t>
      </w:r>
      <w:r w:rsidR="001C099D">
        <w:rPr>
          <w:rFonts w:hint="cs"/>
          <w:rtl/>
        </w:rPr>
        <w:t xml:space="preserve">מנתוני הוועדה המרכזית עולה כי </w:t>
      </w:r>
      <w:r>
        <w:rPr>
          <w:rFonts w:hint="cs"/>
          <w:rtl/>
        </w:rPr>
        <w:t>במערכת הבחירות לכנסת ה-20</w:t>
      </w:r>
      <w:r w:rsidR="001C099D">
        <w:rPr>
          <w:rFonts w:hint="cs"/>
          <w:rtl/>
        </w:rPr>
        <w:t>,</w:t>
      </w:r>
      <w:r>
        <w:rPr>
          <w:rFonts w:hint="cs"/>
          <w:rtl/>
        </w:rPr>
        <w:t xml:space="preserve"> 82% מכלל הקולות הפסולים שניתן לשייך לרשימה (14,637 קולות מתוך 17,830) נפסלו מאחר שנמצאו במעטפה שלושה פתקי הצבעה או יותר לאותה רשימת מועמדים. כדי לצמצם את מספר הקולות הפסולים כאמור, מוצע לקבוע כי שלושה פתקים </w:t>
      </w:r>
      <w:r>
        <w:rPr>
          <w:rFonts w:hint="cs"/>
          <w:rtl/>
        </w:rPr>
        <w:lastRenderedPageBreak/>
        <w:t>זהים באותה מעטפה יהיו כשרים וייספרו כקול אחד.</w:t>
      </w:r>
    </w:p>
    <w:p w14:paraId="644E2060" w14:textId="5D4646AA" w:rsidR="005E2B57" w:rsidRDefault="005E2B57" w:rsidP="001C099D">
      <w:pPr>
        <w:pStyle w:val="HesberHeading"/>
        <w:rPr>
          <w:b w:val="0"/>
          <w:bCs w:val="0"/>
          <w:rtl/>
        </w:rPr>
      </w:pPr>
      <w:r w:rsidRPr="00831D0C">
        <w:rPr>
          <w:rFonts w:hint="cs"/>
          <w:rtl/>
        </w:rPr>
        <w:t xml:space="preserve">סעיף </w:t>
      </w:r>
      <w:r w:rsidR="00BA42F7">
        <w:rPr>
          <w:rFonts w:hint="cs"/>
          <w:b w:val="0"/>
          <w:bCs w:val="0"/>
          <w:rtl/>
        </w:rPr>
        <w:t>17</w:t>
      </w:r>
      <w:r>
        <w:rPr>
          <w:rtl/>
        </w:rPr>
        <w:tab/>
      </w:r>
      <w:r w:rsidRPr="00C70729">
        <w:rPr>
          <w:rFonts w:hint="cs"/>
          <w:b w:val="0"/>
          <w:bCs w:val="0"/>
          <w:rtl/>
        </w:rPr>
        <w:t xml:space="preserve">סעיף </w:t>
      </w:r>
      <w:r>
        <w:rPr>
          <w:rFonts w:hint="cs"/>
          <w:b w:val="0"/>
          <w:bCs w:val="0"/>
          <w:rtl/>
        </w:rPr>
        <w:t>79</w:t>
      </w:r>
      <w:r w:rsidRPr="00C70729">
        <w:rPr>
          <w:rFonts w:hint="cs"/>
          <w:b w:val="0"/>
          <w:bCs w:val="0"/>
          <w:rtl/>
        </w:rPr>
        <w:t xml:space="preserve"> לחוק</w:t>
      </w:r>
      <w:r>
        <w:rPr>
          <w:rFonts w:hint="cs"/>
          <w:b w:val="0"/>
          <w:bCs w:val="0"/>
          <w:rtl/>
        </w:rPr>
        <w:t xml:space="preserve"> הבחירות קובע כיצד תיערך ספירת הקולות בגמר ההצבעה. במערכות בחירות קודמות אירעו מקרים שבקלפי מסוימת מספר הקולות</w:t>
      </w:r>
      <w:r w:rsidR="001C099D">
        <w:rPr>
          <w:rFonts w:hint="cs"/>
          <w:b w:val="0"/>
          <w:bCs w:val="0"/>
          <w:rtl/>
        </w:rPr>
        <w:t xml:space="preserve"> שנספרו</w:t>
      </w:r>
      <w:r>
        <w:rPr>
          <w:rFonts w:hint="cs"/>
          <w:b w:val="0"/>
          <w:bCs w:val="0"/>
          <w:rtl/>
        </w:rPr>
        <w:t xml:space="preserve"> עלה באופן משמעותי על מספר הבוחרים </w:t>
      </w:r>
      <w:r w:rsidR="001C099D">
        <w:rPr>
          <w:rFonts w:hint="cs"/>
          <w:b w:val="0"/>
          <w:bCs w:val="0"/>
          <w:rtl/>
        </w:rPr>
        <w:t xml:space="preserve">שהצביעו </w:t>
      </w:r>
      <w:r>
        <w:rPr>
          <w:rFonts w:hint="cs"/>
          <w:b w:val="0"/>
          <w:bCs w:val="0"/>
          <w:rtl/>
        </w:rPr>
        <w:t xml:space="preserve">באותה קלפי. מוצע לקבוע כי במקרה כאמור, בו ברור כי תוצאות הבחירות אינן משקפות על פניהן את הצבעת הבוחרים, יושב ראש הוועדה המרכזית יהיה רשאי לקבוע כי הקולות באותה קלפי הם פסולים, ודינם יהיה כדין קולות שנפסלו לפי סעיף 78 לחוק הבחירות. </w:t>
      </w:r>
    </w:p>
    <w:p w14:paraId="243CE748" w14:textId="6C11CBDC" w:rsidR="005E2B57" w:rsidRDefault="005E2B57" w:rsidP="00BA42F7">
      <w:pPr>
        <w:pStyle w:val="Hesber1st"/>
        <w:tabs>
          <w:tab w:val="clear" w:pos="680"/>
        </w:tabs>
        <w:rPr>
          <w:rtl/>
        </w:rPr>
      </w:pPr>
      <w:r w:rsidRPr="00831D0C">
        <w:rPr>
          <w:rFonts w:hint="cs"/>
          <w:b/>
          <w:bCs/>
          <w:rtl/>
        </w:rPr>
        <w:t xml:space="preserve">סעיף </w:t>
      </w:r>
      <w:r w:rsidR="00BA42F7">
        <w:rPr>
          <w:rFonts w:hint="cs"/>
          <w:b/>
          <w:bCs/>
          <w:rtl/>
        </w:rPr>
        <w:t>18</w:t>
      </w:r>
      <w:r>
        <w:rPr>
          <w:rtl/>
        </w:rPr>
        <w:tab/>
      </w:r>
      <w:r>
        <w:rPr>
          <w:rFonts w:hint="cs"/>
          <w:rtl/>
        </w:rPr>
        <w:t xml:space="preserve">לפי </w:t>
      </w:r>
      <w:r w:rsidRPr="000F4B5C">
        <w:rPr>
          <w:rFonts w:hint="cs"/>
          <w:rtl/>
        </w:rPr>
        <w:t xml:space="preserve">סעיף </w:t>
      </w:r>
      <w:r>
        <w:rPr>
          <w:rFonts w:hint="cs"/>
          <w:rtl/>
        </w:rPr>
        <w:t>79א</w:t>
      </w:r>
      <w:r w:rsidRPr="000F4B5C">
        <w:rPr>
          <w:rFonts w:hint="cs"/>
          <w:rtl/>
        </w:rPr>
        <w:t xml:space="preserve"> לחוק הבחירות</w:t>
      </w:r>
      <w:r>
        <w:rPr>
          <w:rFonts w:hint="cs"/>
          <w:rtl/>
        </w:rPr>
        <w:t xml:space="preserve"> מוטל על הוועדה המרכזית להשמיד את חומר הבחירות, למעט פרוטוקולים של ועדות הקלפי, בחלוף המועד להגשת ערעורי בחירות או לאחר מתן פסק דין חלוט בערעור בחירות שהוגש. לעיתים עולה צורך לשמור חלק מחומר הבחירות, שכולל בין השאר את פתקי ההצבעה, לשם עריכת חקירות משטרה בעבירות לפי חוק הבחירות. לפיכך מוצע לקבוע כי יושב ראש הוועדה המרכזית יהיה רשאי להורות מטעמים מיוחדים שיירשמו ולשם חקירת עבירות לפי חוק הבחירות, כי חומר הבחירות מקלפי מסוימת, כולו או חלקו, לא יושמד או יושמד במועד אחר. </w:t>
      </w:r>
    </w:p>
    <w:p w14:paraId="4F8177EB" w14:textId="01C6AA8A" w:rsidR="005E2B57" w:rsidRDefault="005E2B57" w:rsidP="00BA42F7">
      <w:pPr>
        <w:pStyle w:val="Hesber1st"/>
        <w:tabs>
          <w:tab w:val="clear" w:pos="680"/>
        </w:tabs>
        <w:rPr>
          <w:rtl/>
        </w:rPr>
      </w:pPr>
      <w:r w:rsidRPr="00831D0C">
        <w:rPr>
          <w:rFonts w:hint="cs"/>
          <w:b/>
          <w:bCs/>
          <w:rtl/>
        </w:rPr>
        <w:t xml:space="preserve">סעיף </w:t>
      </w:r>
      <w:r w:rsidR="00BA42F7">
        <w:rPr>
          <w:rFonts w:hint="cs"/>
          <w:b/>
          <w:bCs/>
          <w:rtl/>
        </w:rPr>
        <w:t>19</w:t>
      </w:r>
      <w:r>
        <w:rPr>
          <w:rtl/>
        </w:rPr>
        <w:tab/>
      </w:r>
      <w:r>
        <w:rPr>
          <w:rFonts w:hint="cs"/>
          <w:rtl/>
        </w:rPr>
        <w:t xml:space="preserve">לפי סעיף 18 </w:t>
      </w:r>
      <w:r w:rsidR="0047210D">
        <w:rPr>
          <w:rFonts w:hint="cs"/>
          <w:rtl/>
        </w:rPr>
        <w:t xml:space="preserve">לחוק מימון מפלגות, </w:t>
      </w:r>
      <w:proofErr w:type="spellStart"/>
      <w:r w:rsidR="0047210D">
        <w:rPr>
          <w:rFonts w:hint="cs"/>
          <w:rtl/>
        </w:rPr>
        <w:t>התשל"ג</w:t>
      </w:r>
      <w:proofErr w:type="spellEnd"/>
      <w:r w:rsidR="0047210D">
        <w:rPr>
          <w:rtl/>
        </w:rPr>
        <w:t>–</w:t>
      </w:r>
      <w:r w:rsidRPr="006501A9">
        <w:rPr>
          <w:rFonts w:hint="cs"/>
          <w:rtl/>
        </w:rPr>
        <w:t>1973</w:t>
      </w:r>
      <w:r>
        <w:rPr>
          <w:rtl/>
        </w:rPr>
        <w:t xml:space="preserve">, </w:t>
      </w:r>
      <w:r>
        <w:rPr>
          <w:rFonts w:hint="cs"/>
          <w:rtl/>
        </w:rPr>
        <w:t>אוצר המדינה מממן, באמצעות הוועדה המרכזית, הסעת בוחרים לשם הצבעה בבחירות מיישוב אחד למשנהו וחזרה.</w:t>
      </w:r>
      <w:r>
        <w:rPr>
          <w:rtl/>
        </w:rPr>
        <w:t xml:space="preserve"> </w:t>
      </w:r>
      <w:r>
        <w:rPr>
          <w:rFonts w:hint="cs"/>
          <w:rtl/>
        </w:rPr>
        <w:t xml:space="preserve">לפי אותו סעיף, המימון יינתן להסעה ביום הבחירות, והוועדה המרכזית רשאית להתיר הסעה במועד סמוך ליום הבחירות, בגלל מרחק רב בין יישוב למשנהו. מוצע לקבוע כי הוועדה המרכזית תוכל להתיר מימון הסעת בוחרים בסמוך ליום הבחירות ללא תלות במרחק בין יישובים. </w:t>
      </w:r>
    </w:p>
    <w:p w14:paraId="674E4C45" w14:textId="3D892E19" w:rsidR="00517F36" w:rsidRPr="00517F36" w:rsidRDefault="005E2B57" w:rsidP="00BA42F7">
      <w:pPr>
        <w:pStyle w:val="Hesber"/>
        <w:ind w:firstLine="0"/>
        <w:rPr>
          <w:b/>
          <w:bCs/>
          <w:rtl/>
        </w:rPr>
      </w:pPr>
      <w:r w:rsidRPr="00831D0C">
        <w:rPr>
          <w:rFonts w:hint="cs"/>
          <w:b/>
          <w:bCs/>
          <w:rtl/>
        </w:rPr>
        <w:t xml:space="preserve">סעיף </w:t>
      </w:r>
      <w:r w:rsidR="00BA42F7">
        <w:rPr>
          <w:rFonts w:hint="cs"/>
          <w:b/>
          <w:bCs/>
          <w:rtl/>
        </w:rPr>
        <w:t>20</w:t>
      </w:r>
      <w:r>
        <w:rPr>
          <w:rtl/>
        </w:rPr>
        <w:tab/>
      </w:r>
      <w:r w:rsidR="0047210D">
        <w:rPr>
          <w:rFonts w:hint="cs"/>
          <w:rtl/>
        </w:rPr>
        <w:t xml:space="preserve">סעיף 28כה3 לחוק המפלגות, </w:t>
      </w:r>
      <w:proofErr w:type="spellStart"/>
      <w:r w:rsidR="0047210D">
        <w:rPr>
          <w:rFonts w:hint="cs"/>
          <w:rtl/>
        </w:rPr>
        <w:t>התשנ"ב</w:t>
      </w:r>
      <w:proofErr w:type="spellEnd"/>
      <w:r w:rsidR="0047210D">
        <w:rPr>
          <w:rtl/>
        </w:rPr>
        <w:t>–</w:t>
      </w:r>
      <w:r>
        <w:rPr>
          <w:rFonts w:hint="cs"/>
          <w:rtl/>
        </w:rPr>
        <w:t xml:space="preserve">1992 אוסר שימוש </w:t>
      </w:r>
      <w:r w:rsidRPr="00C64C6C">
        <w:rPr>
          <w:rFonts w:hint="eastAsia"/>
          <w:rtl/>
        </w:rPr>
        <w:t>בקשר</w:t>
      </w:r>
      <w:r w:rsidRPr="00C64C6C">
        <w:rPr>
          <w:rtl/>
        </w:rPr>
        <w:t xml:space="preserve"> עם </w:t>
      </w:r>
      <w:r>
        <w:rPr>
          <w:rtl/>
        </w:rPr>
        <w:t>תעמול</w:t>
      </w:r>
      <w:r>
        <w:rPr>
          <w:rFonts w:hint="cs"/>
          <w:rtl/>
        </w:rPr>
        <w:t>ה ל</w:t>
      </w:r>
      <w:r w:rsidRPr="00C64C6C">
        <w:rPr>
          <w:rtl/>
        </w:rPr>
        <w:t>בחירות</w:t>
      </w:r>
      <w:r>
        <w:rPr>
          <w:rFonts w:hint="cs"/>
          <w:rtl/>
        </w:rPr>
        <w:t xml:space="preserve"> מקדימות</w:t>
      </w:r>
      <w:r w:rsidRPr="00C64C6C">
        <w:rPr>
          <w:rtl/>
        </w:rPr>
        <w:t xml:space="preserve">, בכספים של </w:t>
      </w:r>
      <w:r w:rsidRPr="00C64C6C">
        <w:rPr>
          <w:rFonts w:hint="eastAsia"/>
          <w:rtl/>
        </w:rPr>
        <w:t>גופים</w:t>
      </w:r>
      <w:r w:rsidRPr="00C64C6C">
        <w:rPr>
          <w:rtl/>
        </w:rPr>
        <w:t xml:space="preserve"> ציבוריים שונים, שהם גופים מבוקרים לפי חוק מבקר המדינה, </w:t>
      </w:r>
      <w:proofErr w:type="spellStart"/>
      <w:r w:rsidRPr="00C64C6C">
        <w:rPr>
          <w:rFonts w:hint="eastAsia"/>
          <w:rtl/>
        </w:rPr>
        <w:t>התשי</w:t>
      </w:r>
      <w:r w:rsidRPr="00C64C6C">
        <w:rPr>
          <w:rtl/>
        </w:rPr>
        <w:t>"ח</w:t>
      </w:r>
      <w:proofErr w:type="spellEnd"/>
      <w:r w:rsidRPr="00C64C6C">
        <w:rPr>
          <w:rFonts w:hint="eastAsia"/>
          <w:rtl/>
        </w:rPr>
        <w:t>–</w:t>
      </w:r>
      <w:r w:rsidRPr="00C64C6C">
        <w:rPr>
          <w:rtl/>
        </w:rPr>
        <w:t xml:space="preserve">1958 [נוסח משולב], </w:t>
      </w:r>
      <w:r w:rsidRPr="00C64C6C">
        <w:rPr>
          <w:rFonts w:hint="cs"/>
          <w:rtl/>
        </w:rPr>
        <w:t xml:space="preserve">ובהם </w:t>
      </w:r>
      <w:r w:rsidRPr="00C64C6C">
        <w:rPr>
          <w:rtl/>
        </w:rPr>
        <w:t>רשו</w:t>
      </w:r>
      <w:r w:rsidRPr="00C64C6C">
        <w:rPr>
          <w:rFonts w:hint="eastAsia"/>
          <w:rtl/>
        </w:rPr>
        <w:t>יו</w:t>
      </w:r>
      <w:r w:rsidRPr="00C64C6C">
        <w:rPr>
          <w:rtl/>
        </w:rPr>
        <w:t>ת מקומי</w:t>
      </w:r>
      <w:r w:rsidRPr="00C64C6C">
        <w:rPr>
          <w:rFonts w:hint="eastAsia"/>
          <w:rtl/>
        </w:rPr>
        <w:t>ו</w:t>
      </w:r>
      <w:r w:rsidRPr="00C64C6C">
        <w:rPr>
          <w:rtl/>
        </w:rPr>
        <w:t xml:space="preserve">ת. </w:t>
      </w:r>
      <w:r w:rsidRPr="00C64C6C">
        <w:rPr>
          <w:rFonts w:hint="eastAsia"/>
          <w:rtl/>
        </w:rPr>
        <w:t>עוד</w:t>
      </w:r>
      <w:r w:rsidRPr="00C64C6C">
        <w:rPr>
          <w:rtl/>
        </w:rPr>
        <w:t xml:space="preserve"> נאסר </w:t>
      </w:r>
      <w:r w:rsidRPr="00C64C6C">
        <w:rPr>
          <w:rFonts w:hint="eastAsia"/>
          <w:rtl/>
        </w:rPr>
        <w:t>שימוש</w:t>
      </w:r>
      <w:r w:rsidRPr="00C64C6C">
        <w:rPr>
          <w:rtl/>
        </w:rPr>
        <w:t xml:space="preserve"> במ</w:t>
      </w:r>
      <w:r w:rsidRPr="00C64C6C">
        <w:rPr>
          <w:rFonts w:hint="cs"/>
          <w:rtl/>
        </w:rPr>
        <w:t>י</w:t>
      </w:r>
      <w:r w:rsidRPr="00C64C6C">
        <w:rPr>
          <w:rtl/>
        </w:rPr>
        <w:t>טלטלין ו</w:t>
      </w:r>
      <w:r w:rsidRPr="00C64C6C">
        <w:rPr>
          <w:rFonts w:hint="eastAsia"/>
          <w:rtl/>
        </w:rPr>
        <w:t>ב</w:t>
      </w:r>
      <w:r w:rsidRPr="00C64C6C">
        <w:rPr>
          <w:rtl/>
        </w:rPr>
        <w:t xml:space="preserve">מקרקעין המוחזקים </w:t>
      </w:r>
      <w:r w:rsidRPr="00C64C6C">
        <w:rPr>
          <w:rFonts w:hint="eastAsia"/>
          <w:rtl/>
        </w:rPr>
        <w:t>בידי</w:t>
      </w:r>
      <w:r w:rsidRPr="00C64C6C">
        <w:rPr>
          <w:rtl/>
        </w:rPr>
        <w:t xml:space="preserve"> </w:t>
      </w:r>
      <w:r w:rsidRPr="00C64C6C">
        <w:rPr>
          <w:rFonts w:hint="eastAsia"/>
          <w:rtl/>
        </w:rPr>
        <w:t>אותו</w:t>
      </w:r>
      <w:r w:rsidRPr="00C64C6C">
        <w:rPr>
          <w:rtl/>
        </w:rPr>
        <w:t xml:space="preserve"> </w:t>
      </w:r>
      <w:r w:rsidRPr="00C64C6C">
        <w:rPr>
          <w:rFonts w:hint="eastAsia"/>
          <w:rtl/>
        </w:rPr>
        <w:t>גוף</w:t>
      </w:r>
      <w:r w:rsidRPr="00C64C6C">
        <w:rPr>
          <w:rtl/>
        </w:rPr>
        <w:t xml:space="preserve"> </w:t>
      </w:r>
      <w:r w:rsidRPr="00C64C6C">
        <w:rPr>
          <w:rFonts w:hint="eastAsia"/>
          <w:rtl/>
        </w:rPr>
        <w:t>מבוקר</w:t>
      </w:r>
      <w:r w:rsidRPr="00C64C6C">
        <w:rPr>
          <w:rtl/>
        </w:rPr>
        <w:t xml:space="preserve">, </w:t>
      </w:r>
      <w:r w:rsidRPr="00C64C6C">
        <w:rPr>
          <w:rFonts w:hint="eastAsia"/>
          <w:rtl/>
        </w:rPr>
        <w:t>למעט</w:t>
      </w:r>
      <w:r w:rsidRPr="00C64C6C">
        <w:rPr>
          <w:rtl/>
        </w:rPr>
        <w:t xml:space="preserve"> </w:t>
      </w:r>
      <w:r w:rsidRPr="00C64C6C">
        <w:rPr>
          <w:rFonts w:hint="eastAsia"/>
          <w:rtl/>
        </w:rPr>
        <w:t>שימוש</w:t>
      </w:r>
      <w:r w:rsidRPr="00C64C6C">
        <w:rPr>
          <w:rtl/>
        </w:rPr>
        <w:t xml:space="preserve"> </w:t>
      </w:r>
      <w:r w:rsidRPr="00C64C6C">
        <w:rPr>
          <w:rFonts w:hint="eastAsia"/>
          <w:rtl/>
        </w:rPr>
        <w:t>כפי</w:t>
      </w:r>
      <w:r w:rsidRPr="00C64C6C">
        <w:rPr>
          <w:rtl/>
        </w:rPr>
        <w:t xml:space="preserve"> </w:t>
      </w:r>
      <w:r w:rsidRPr="00C64C6C">
        <w:rPr>
          <w:rFonts w:hint="eastAsia"/>
          <w:rtl/>
        </w:rPr>
        <w:t>שמפורט</w:t>
      </w:r>
      <w:r w:rsidRPr="00C64C6C">
        <w:rPr>
          <w:rtl/>
        </w:rPr>
        <w:t xml:space="preserve"> </w:t>
      </w:r>
      <w:r w:rsidRPr="00C64C6C">
        <w:rPr>
          <w:rFonts w:hint="eastAsia"/>
          <w:rtl/>
        </w:rPr>
        <w:t>ב</w:t>
      </w:r>
      <w:r w:rsidRPr="00C64C6C">
        <w:rPr>
          <w:rFonts w:hint="cs"/>
          <w:rtl/>
        </w:rPr>
        <w:t>אותו סעיף</w:t>
      </w:r>
      <w:r w:rsidRPr="00C64C6C">
        <w:rPr>
          <w:rtl/>
        </w:rPr>
        <w:t>.</w:t>
      </w:r>
      <w:r>
        <w:rPr>
          <w:rFonts w:hint="cs"/>
          <w:rtl/>
        </w:rPr>
        <w:t xml:space="preserve"> </w:t>
      </w:r>
      <w:r w:rsidR="00517F36">
        <w:rPr>
          <w:rFonts w:hint="cs"/>
          <w:rtl/>
        </w:rPr>
        <w:t>סעיף 2א לחוק הבחירות (</w:t>
      </w:r>
      <w:r w:rsidR="00517F36" w:rsidRPr="00C64C6C">
        <w:rPr>
          <w:rFonts w:hint="cs"/>
          <w:rtl/>
        </w:rPr>
        <w:t>דרכי תעמולה</w:t>
      </w:r>
      <w:r w:rsidR="00517F36">
        <w:rPr>
          <w:rFonts w:hint="cs"/>
          <w:rtl/>
        </w:rPr>
        <w:t xml:space="preserve">), </w:t>
      </w:r>
      <w:proofErr w:type="spellStart"/>
      <w:r w:rsidR="00517F36">
        <w:rPr>
          <w:rFonts w:hint="cs"/>
          <w:rtl/>
        </w:rPr>
        <w:t>התשי"ט</w:t>
      </w:r>
      <w:proofErr w:type="spellEnd"/>
      <w:r w:rsidR="00517F36">
        <w:rPr>
          <w:rtl/>
        </w:rPr>
        <w:t>–</w:t>
      </w:r>
      <w:r w:rsidR="00517F36">
        <w:rPr>
          <w:rFonts w:hint="cs"/>
          <w:rtl/>
        </w:rPr>
        <w:t xml:space="preserve">1959 קובע איסור זהה על שימוש בנכסי ציבור בתעמולת בחירות לכנסת. בתיקון מס' 32 לחוק דרכי תעמולה (ס"ח </w:t>
      </w:r>
      <w:proofErr w:type="spellStart"/>
      <w:r w:rsidR="00517F36">
        <w:rPr>
          <w:rFonts w:hint="cs"/>
          <w:rtl/>
        </w:rPr>
        <w:t>התשע"ה</w:t>
      </w:r>
      <w:proofErr w:type="spellEnd"/>
      <w:r w:rsidR="00517F36">
        <w:rPr>
          <w:rFonts w:hint="cs"/>
          <w:rtl/>
        </w:rPr>
        <w:t xml:space="preserve">, עמ' 108), תוקן סעיף 2א האמור והובהר בו כי </w:t>
      </w:r>
      <w:r w:rsidR="00517F36" w:rsidRPr="00C64C6C">
        <w:rPr>
          <w:rtl/>
        </w:rPr>
        <w:t xml:space="preserve">חל איסור </w:t>
      </w:r>
      <w:r w:rsidR="00517F36" w:rsidRPr="00C64C6C">
        <w:rPr>
          <w:rFonts w:hint="cs"/>
          <w:rtl/>
        </w:rPr>
        <w:t xml:space="preserve">להשתמש </w:t>
      </w:r>
      <w:r w:rsidR="00517F36">
        <w:rPr>
          <w:rFonts w:hint="cs"/>
          <w:rtl/>
        </w:rPr>
        <w:t xml:space="preserve">גם </w:t>
      </w:r>
      <w:r w:rsidR="00517F36" w:rsidRPr="00C64C6C">
        <w:rPr>
          <w:rFonts w:hint="cs"/>
          <w:rtl/>
        </w:rPr>
        <w:t>ב</w:t>
      </w:r>
      <w:r w:rsidR="00517F36" w:rsidRPr="00C64C6C">
        <w:rPr>
          <w:rtl/>
        </w:rPr>
        <w:t>נכס</w:t>
      </w:r>
      <w:r w:rsidR="00517F36" w:rsidRPr="00C64C6C">
        <w:rPr>
          <w:rFonts w:hint="cs"/>
          <w:rtl/>
        </w:rPr>
        <w:t>ים ובנכסים בלתי מוחשיים</w:t>
      </w:r>
      <w:r w:rsidR="00517F36" w:rsidRPr="00C64C6C">
        <w:rPr>
          <w:rtl/>
        </w:rPr>
        <w:t xml:space="preserve"> של הגופים המבוקרים המנויים </w:t>
      </w:r>
      <w:r w:rsidR="00517F36">
        <w:rPr>
          <w:rFonts w:hint="cs"/>
          <w:rtl/>
        </w:rPr>
        <w:t>באותו סעיף. זאת לאחר ש</w:t>
      </w:r>
      <w:r w:rsidR="00517F36" w:rsidRPr="00C64C6C">
        <w:rPr>
          <w:rFonts w:hint="cs"/>
          <w:rtl/>
        </w:rPr>
        <w:t>בבחירות קודמות שנערכו ברשויות המקומיות התגלה כי לצורך תעמולת בחירות של מועמד נ</w:t>
      </w:r>
      <w:r w:rsidR="00517F36">
        <w:rPr>
          <w:rFonts w:hint="cs"/>
          <w:rtl/>
        </w:rPr>
        <w:t xml:space="preserve">עשה שימוש בסמל של הרשות המקומית. מוצע לתקן את סעיף 28כה3 </w:t>
      </w:r>
      <w:r w:rsidR="00B72A93">
        <w:rPr>
          <w:rFonts w:hint="cs"/>
          <w:rtl/>
        </w:rPr>
        <w:t xml:space="preserve">לחוק המפלגות כדי להתאימו לתיקון הנזכר בסעיף </w:t>
      </w:r>
      <w:r w:rsidR="00517F36">
        <w:rPr>
          <w:rFonts w:hint="cs"/>
          <w:rtl/>
        </w:rPr>
        <w:t>2א לחוק דרכי תעמולה.</w:t>
      </w:r>
    </w:p>
    <w:p w14:paraId="6C3F1E39" w14:textId="77777777" w:rsidR="005E2B57" w:rsidRPr="00691A99" w:rsidRDefault="005E2B57" w:rsidP="005E2B57">
      <w:pPr>
        <w:pStyle w:val="HesberHeading"/>
        <w:rPr>
          <w:rtl/>
        </w:rPr>
      </w:pPr>
    </w:p>
    <w:p w14:paraId="4C775316" w14:textId="77777777" w:rsidR="005E2B57" w:rsidRDefault="005E2B57" w:rsidP="005E2B57">
      <w:pPr>
        <w:pStyle w:val="HesberHeading"/>
      </w:pPr>
    </w:p>
    <w:p w14:paraId="215B8E41" w14:textId="77777777" w:rsidR="00363AA3" w:rsidRPr="005E2B57" w:rsidRDefault="00363AA3" w:rsidP="00363AA3">
      <w:pPr>
        <w:pStyle w:val="Hesber1st"/>
        <w:rPr>
          <w:rtl/>
        </w:rPr>
      </w:pPr>
    </w:p>
    <w:p w14:paraId="17A676CF" w14:textId="77777777" w:rsidR="00AC4CCE" w:rsidRPr="00363AA3" w:rsidRDefault="00AC4CCE" w:rsidP="005E2B57">
      <w:pPr>
        <w:ind w:firstLine="0"/>
        <w:rPr>
          <w:rtl/>
        </w:rPr>
      </w:pPr>
    </w:p>
    <w:sectPr w:rsidR="00AC4CCE" w:rsidRPr="00363AA3"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599FA" w14:textId="77777777" w:rsidR="00F948C9" w:rsidRDefault="00F948C9" w:rsidP="003D61FD">
      <w:pPr>
        <w:pStyle w:val="HeadHatzaotHok"/>
      </w:pPr>
      <w:r>
        <w:separator/>
      </w:r>
    </w:p>
  </w:endnote>
  <w:endnote w:type="continuationSeparator" w:id="0">
    <w:p w14:paraId="381BC6FB" w14:textId="77777777" w:rsidR="00F948C9" w:rsidRDefault="00F948C9"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676D4"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17A676D5" w14:textId="77777777"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676D6"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733323">
      <w:rPr>
        <w:rStyle w:val="ad"/>
        <w:noProof/>
        <w:rtl/>
      </w:rPr>
      <w:t>9</w:t>
    </w:r>
    <w:r>
      <w:rPr>
        <w:rStyle w:val="ad"/>
        <w:rtl/>
      </w:rPr>
      <w:fldChar w:fldCharType="end"/>
    </w:r>
  </w:p>
  <w:p w14:paraId="17A676D7" w14:textId="77777777"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EF0B9" w14:textId="77777777" w:rsidR="00F948C9" w:rsidRDefault="00F948C9" w:rsidP="003D61FD">
      <w:pPr>
        <w:pStyle w:val="HeadHatzaotHok"/>
        <w:jc w:val="both"/>
      </w:pPr>
      <w:r>
        <w:separator/>
      </w:r>
    </w:p>
  </w:footnote>
  <w:footnote w:type="continuationSeparator" w:id="0">
    <w:p w14:paraId="07928BAF" w14:textId="77777777" w:rsidR="00F948C9" w:rsidRDefault="00F948C9" w:rsidP="003D61FD">
      <w:pPr>
        <w:pStyle w:val="HeadHatzaotHok"/>
      </w:pPr>
      <w:r>
        <w:continuationSeparator/>
      </w:r>
    </w:p>
  </w:footnote>
  <w:footnote w:id="1">
    <w:p w14:paraId="02C9C29E" w14:textId="77777777" w:rsidR="00363AA3" w:rsidRDefault="00363AA3" w:rsidP="00363AA3">
      <w:pPr>
        <w:pStyle w:val="a9"/>
      </w:pPr>
      <w:r>
        <w:rPr>
          <w:rStyle w:val="a8"/>
          <w:rtl/>
        </w:rPr>
        <w:t>*</w:t>
      </w:r>
      <w:r>
        <w:rPr>
          <w:rtl/>
        </w:rPr>
        <w:t xml:space="preserve"> </w:t>
      </w:r>
      <w:r>
        <w:rPr>
          <w:rFonts w:hint="cs"/>
          <w:rtl/>
        </w:rPr>
        <w:t>מספר פנימי: 2004708.</w:t>
      </w:r>
    </w:p>
  </w:footnote>
  <w:footnote w:id="2">
    <w:p w14:paraId="113BCE70" w14:textId="77777777" w:rsidR="00363AA3" w:rsidRPr="00F977C3" w:rsidRDefault="00363AA3" w:rsidP="00363AA3">
      <w:pPr>
        <w:pStyle w:val="a9"/>
        <w:rPr>
          <w:rtl/>
        </w:rPr>
      </w:pPr>
      <w:r w:rsidRPr="00F977C3">
        <w:rPr>
          <w:rStyle w:val="a8"/>
        </w:rPr>
        <w:footnoteRef/>
      </w:r>
      <w:r w:rsidRPr="00F977C3">
        <w:rPr>
          <w:rtl/>
        </w:rPr>
        <w:t xml:space="preserve"> </w:t>
      </w:r>
      <w:r w:rsidRPr="00F977C3">
        <w:rPr>
          <w:rFonts w:hint="cs"/>
          <w:rtl/>
        </w:rPr>
        <w:t xml:space="preserve">ס"ח </w:t>
      </w:r>
      <w:proofErr w:type="spellStart"/>
      <w:r w:rsidRPr="00F977C3">
        <w:rPr>
          <w:rFonts w:hint="cs"/>
          <w:rtl/>
        </w:rPr>
        <w:t>התשכ"ט</w:t>
      </w:r>
      <w:proofErr w:type="spellEnd"/>
      <w:r w:rsidRPr="00F977C3">
        <w:rPr>
          <w:rFonts w:hint="cs"/>
          <w:rtl/>
        </w:rPr>
        <w:t>, עמ' 103</w:t>
      </w:r>
      <w:r>
        <w:rPr>
          <w:rFonts w:hint="cs"/>
          <w:rtl/>
        </w:rPr>
        <w:t xml:space="preserve">; </w:t>
      </w:r>
      <w:proofErr w:type="spellStart"/>
      <w:r>
        <w:rPr>
          <w:rFonts w:hint="cs"/>
          <w:rtl/>
        </w:rPr>
        <w:t>התשע"ה</w:t>
      </w:r>
      <w:proofErr w:type="spellEnd"/>
      <w:r>
        <w:rPr>
          <w:rFonts w:hint="cs"/>
          <w:rtl/>
        </w:rPr>
        <w:t>, עמ' 107.</w:t>
      </w:r>
    </w:p>
  </w:footnote>
  <w:footnote w:id="3">
    <w:p w14:paraId="3E6B6A85" w14:textId="77777777" w:rsidR="00363AA3" w:rsidRPr="00F977C3" w:rsidRDefault="00363AA3" w:rsidP="00363AA3">
      <w:pPr>
        <w:pStyle w:val="a9"/>
        <w:rPr>
          <w:rtl/>
        </w:rPr>
      </w:pPr>
      <w:r w:rsidRPr="00F977C3">
        <w:rPr>
          <w:rStyle w:val="a8"/>
        </w:rPr>
        <w:footnoteRef/>
      </w:r>
      <w:r w:rsidRPr="00F977C3">
        <w:rPr>
          <w:rtl/>
        </w:rPr>
        <w:t xml:space="preserve"> </w:t>
      </w:r>
      <w:r w:rsidRPr="00F977C3">
        <w:rPr>
          <w:rFonts w:hint="cs"/>
          <w:rtl/>
        </w:rPr>
        <w:t xml:space="preserve">ס"ח </w:t>
      </w:r>
      <w:proofErr w:type="spellStart"/>
      <w:r w:rsidRPr="00F977C3">
        <w:rPr>
          <w:rFonts w:hint="cs"/>
          <w:rtl/>
        </w:rPr>
        <w:t>התשכ"ה</w:t>
      </w:r>
      <w:proofErr w:type="spellEnd"/>
      <w:r w:rsidRPr="00F977C3">
        <w:rPr>
          <w:rFonts w:hint="cs"/>
          <w:rtl/>
        </w:rPr>
        <w:t>, עמ' 270</w:t>
      </w:r>
      <w:r>
        <w:rPr>
          <w:rFonts w:hint="cs"/>
          <w:rtl/>
        </w:rPr>
        <w:t xml:space="preserve">; </w:t>
      </w:r>
      <w:proofErr w:type="spellStart"/>
      <w:r>
        <w:rPr>
          <w:rFonts w:hint="cs"/>
          <w:rtl/>
        </w:rPr>
        <w:t>התשע"ו</w:t>
      </w:r>
      <w:proofErr w:type="spellEnd"/>
      <w:r>
        <w:rPr>
          <w:rFonts w:hint="cs"/>
          <w:rtl/>
        </w:rPr>
        <w:t>, עמ' 832.</w:t>
      </w:r>
    </w:p>
  </w:footnote>
  <w:footnote w:id="4">
    <w:p w14:paraId="6CF6E228" w14:textId="77777777" w:rsidR="00363AA3" w:rsidRDefault="00363AA3" w:rsidP="00363AA3">
      <w:pPr>
        <w:pStyle w:val="a9"/>
      </w:pPr>
      <w:r>
        <w:rPr>
          <w:rStyle w:val="a8"/>
        </w:rPr>
        <w:footnoteRef/>
      </w:r>
      <w:r>
        <w:rPr>
          <w:rtl/>
        </w:rPr>
        <w:t xml:space="preserve"> </w:t>
      </w:r>
      <w:r>
        <w:rPr>
          <w:rFonts w:hint="cs"/>
          <w:rtl/>
        </w:rPr>
        <w:t xml:space="preserve">ס"ח </w:t>
      </w:r>
      <w:proofErr w:type="spellStart"/>
      <w:r>
        <w:rPr>
          <w:rFonts w:hint="cs"/>
          <w:rtl/>
        </w:rPr>
        <w:t>התשל"ג</w:t>
      </w:r>
      <w:proofErr w:type="spellEnd"/>
      <w:r>
        <w:rPr>
          <w:rFonts w:hint="cs"/>
          <w:rtl/>
        </w:rPr>
        <w:t xml:space="preserve">, עמ' 52; </w:t>
      </w:r>
      <w:proofErr w:type="spellStart"/>
      <w:r>
        <w:rPr>
          <w:rFonts w:hint="cs"/>
          <w:rtl/>
        </w:rPr>
        <w:t>התשע"ה</w:t>
      </w:r>
      <w:proofErr w:type="spellEnd"/>
      <w:r>
        <w:rPr>
          <w:rFonts w:hint="cs"/>
          <w:rtl/>
        </w:rPr>
        <w:t>, עמ' 52.</w:t>
      </w:r>
    </w:p>
  </w:footnote>
  <w:footnote w:id="5">
    <w:p w14:paraId="564F14C3" w14:textId="77777777" w:rsidR="00363AA3" w:rsidRDefault="00363AA3" w:rsidP="00363AA3">
      <w:pPr>
        <w:pStyle w:val="a9"/>
      </w:pPr>
      <w:r>
        <w:rPr>
          <w:rStyle w:val="a8"/>
        </w:rPr>
        <w:footnoteRef/>
      </w:r>
      <w:r>
        <w:rPr>
          <w:rtl/>
        </w:rPr>
        <w:t xml:space="preserve"> </w:t>
      </w:r>
      <w:r>
        <w:rPr>
          <w:rFonts w:hint="cs"/>
          <w:rtl/>
        </w:rPr>
        <w:t xml:space="preserve">ס"ח </w:t>
      </w:r>
      <w:proofErr w:type="spellStart"/>
      <w:r>
        <w:rPr>
          <w:rFonts w:hint="cs"/>
          <w:rtl/>
        </w:rPr>
        <w:t>התשנ"ב</w:t>
      </w:r>
      <w:proofErr w:type="spellEnd"/>
      <w:r>
        <w:rPr>
          <w:rFonts w:hint="cs"/>
          <w:rtl/>
        </w:rPr>
        <w:t xml:space="preserve">, עמ' 190; </w:t>
      </w:r>
      <w:proofErr w:type="spellStart"/>
      <w:r>
        <w:rPr>
          <w:rFonts w:hint="cs"/>
          <w:rtl/>
        </w:rPr>
        <w:t>התשע"ה</w:t>
      </w:r>
      <w:proofErr w:type="spellEnd"/>
      <w:r>
        <w:rPr>
          <w:rFonts w:hint="cs"/>
          <w:rtl/>
        </w:rPr>
        <w:t>, עמ' 251.</w:t>
      </w:r>
    </w:p>
  </w:footnote>
  <w:footnote w:id="6">
    <w:p w14:paraId="32DC5CF9" w14:textId="77777777" w:rsidR="00363AA3" w:rsidRDefault="00363AA3" w:rsidP="00363AA3">
      <w:pPr>
        <w:pStyle w:val="a9"/>
      </w:pPr>
      <w:r>
        <w:rPr>
          <w:rStyle w:val="a8"/>
        </w:rPr>
        <w:footnoteRef/>
      </w:r>
      <w:r>
        <w:rPr>
          <w:rtl/>
        </w:rPr>
        <w:t xml:space="preserve"> </w:t>
      </w:r>
      <w:r w:rsidRPr="00465F3D">
        <w:rPr>
          <w:rtl/>
        </w:rPr>
        <w:t xml:space="preserve">ס"ח </w:t>
      </w:r>
      <w:proofErr w:type="spellStart"/>
      <w:r w:rsidRPr="00465F3D">
        <w:rPr>
          <w:rtl/>
        </w:rPr>
        <w:t>התשנ"ט</w:t>
      </w:r>
      <w:proofErr w:type="spellEnd"/>
      <w:r w:rsidRPr="00465F3D">
        <w:rPr>
          <w:rtl/>
        </w:rPr>
        <w:t xml:space="preserve">, עמ' 86; </w:t>
      </w:r>
      <w:proofErr w:type="spellStart"/>
      <w:r w:rsidRPr="00465F3D">
        <w:rPr>
          <w:rtl/>
        </w:rPr>
        <w:t>התשע"ה</w:t>
      </w:r>
      <w:proofErr w:type="spellEnd"/>
      <w:r w:rsidRPr="00465F3D">
        <w:rPr>
          <w:rtl/>
        </w:rPr>
        <w:t>, עמ' 108</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9C25C7E"/>
    <w:multiLevelType w:val="hybridMultilevel"/>
    <w:tmpl w:val="20F22E34"/>
    <w:lvl w:ilvl="0" w:tplc="097C27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537D9"/>
    <w:multiLevelType w:val="hybridMultilevel"/>
    <w:tmpl w:val="6E58A370"/>
    <w:lvl w:ilvl="0" w:tplc="DDA801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264CC7"/>
    <w:multiLevelType w:val="hybridMultilevel"/>
    <w:tmpl w:val="4A68D8A2"/>
    <w:lvl w:ilvl="0" w:tplc="34B8D5C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34B5"/>
    <w:rsid w:val="0000520E"/>
    <w:rsid w:val="00014CFC"/>
    <w:rsid w:val="00022EBF"/>
    <w:rsid w:val="0002643E"/>
    <w:rsid w:val="0002757A"/>
    <w:rsid w:val="00027E2D"/>
    <w:rsid w:val="000315E6"/>
    <w:rsid w:val="00032F5F"/>
    <w:rsid w:val="00033033"/>
    <w:rsid w:val="00033389"/>
    <w:rsid w:val="000423C1"/>
    <w:rsid w:val="000437B6"/>
    <w:rsid w:val="000470B8"/>
    <w:rsid w:val="00047882"/>
    <w:rsid w:val="0006114F"/>
    <w:rsid w:val="00077AF1"/>
    <w:rsid w:val="000858F1"/>
    <w:rsid w:val="0008653C"/>
    <w:rsid w:val="00097925"/>
    <w:rsid w:val="000A0DBD"/>
    <w:rsid w:val="000B238A"/>
    <w:rsid w:val="000B435D"/>
    <w:rsid w:val="000E3B18"/>
    <w:rsid w:val="000E4563"/>
    <w:rsid w:val="000E7E08"/>
    <w:rsid w:val="000F535A"/>
    <w:rsid w:val="000F6D7C"/>
    <w:rsid w:val="00123F23"/>
    <w:rsid w:val="001253F6"/>
    <w:rsid w:val="00131374"/>
    <w:rsid w:val="00185E46"/>
    <w:rsid w:val="00197090"/>
    <w:rsid w:val="001A6799"/>
    <w:rsid w:val="001B09BF"/>
    <w:rsid w:val="001C099D"/>
    <w:rsid w:val="001C4A6C"/>
    <w:rsid w:val="001D6D01"/>
    <w:rsid w:val="001E46A8"/>
    <w:rsid w:val="001E6F31"/>
    <w:rsid w:val="001F03C7"/>
    <w:rsid w:val="001F7A55"/>
    <w:rsid w:val="002000B0"/>
    <w:rsid w:val="002031AD"/>
    <w:rsid w:val="00205DFF"/>
    <w:rsid w:val="0020793A"/>
    <w:rsid w:val="00222DA1"/>
    <w:rsid w:val="00223153"/>
    <w:rsid w:val="002328D3"/>
    <w:rsid w:val="002336D0"/>
    <w:rsid w:val="00233C51"/>
    <w:rsid w:val="00262D3A"/>
    <w:rsid w:val="00280B87"/>
    <w:rsid w:val="00294114"/>
    <w:rsid w:val="002A6F65"/>
    <w:rsid w:val="002C4285"/>
    <w:rsid w:val="002D0FE0"/>
    <w:rsid w:val="002E1F11"/>
    <w:rsid w:val="002E6458"/>
    <w:rsid w:val="002F16A9"/>
    <w:rsid w:val="0032148F"/>
    <w:rsid w:val="00321EFD"/>
    <w:rsid w:val="003234EF"/>
    <w:rsid w:val="00331786"/>
    <w:rsid w:val="0034385F"/>
    <w:rsid w:val="00352E82"/>
    <w:rsid w:val="003613DD"/>
    <w:rsid w:val="00363AA3"/>
    <w:rsid w:val="00366780"/>
    <w:rsid w:val="00372EAC"/>
    <w:rsid w:val="0037452B"/>
    <w:rsid w:val="0039489D"/>
    <w:rsid w:val="003948C0"/>
    <w:rsid w:val="0039695B"/>
    <w:rsid w:val="00397739"/>
    <w:rsid w:val="003B2520"/>
    <w:rsid w:val="003B4BC6"/>
    <w:rsid w:val="003C03C8"/>
    <w:rsid w:val="003C1215"/>
    <w:rsid w:val="003C7634"/>
    <w:rsid w:val="003D27C5"/>
    <w:rsid w:val="003D58F4"/>
    <w:rsid w:val="003D61FD"/>
    <w:rsid w:val="003F451C"/>
    <w:rsid w:val="004239B4"/>
    <w:rsid w:val="004265E2"/>
    <w:rsid w:val="00426D17"/>
    <w:rsid w:val="00442811"/>
    <w:rsid w:val="00443D7D"/>
    <w:rsid w:val="0047210D"/>
    <w:rsid w:val="00472FCA"/>
    <w:rsid w:val="004B1418"/>
    <w:rsid w:val="004B1FDD"/>
    <w:rsid w:val="004B73AF"/>
    <w:rsid w:val="004C43BF"/>
    <w:rsid w:val="004C68A2"/>
    <w:rsid w:val="004E5E15"/>
    <w:rsid w:val="004E6159"/>
    <w:rsid w:val="004F4E19"/>
    <w:rsid w:val="00517F36"/>
    <w:rsid w:val="0052049D"/>
    <w:rsid w:val="00522598"/>
    <w:rsid w:val="0052521E"/>
    <w:rsid w:val="005527D3"/>
    <w:rsid w:val="005652C2"/>
    <w:rsid w:val="0057628C"/>
    <w:rsid w:val="00584313"/>
    <w:rsid w:val="005A247C"/>
    <w:rsid w:val="005A2EB8"/>
    <w:rsid w:val="005B1747"/>
    <w:rsid w:val="005B257C"/>
    <w:rsid w:val="005B4184"/>
    <w:rsid w:val="005B6107"/>
    <w:rsid w:val="005D1A36"/>
    <w:rsid w:val="005E2B57"/>
    <w:rsid w:val="005F20ED"/>
    <w:rsid w:val="00606368"/>
    <w:rsid w:val="00610941"/>
    <w:rsid w:val="0063557D"/>
    <w:rsid w:val="00637DB9"/>
    <w:rsid w:val="0064528F"/>
    <w:rsid w:val="00656301"/>
    <w:rsid w:val="00663BC5"/>
    <w:rsid w:val="0069174C"/>
    <w:rsid w:val="00696BF6"/>
    <w:rsid w:val="006B2680"/>
    <w:rsid w:val="006B4B3F"/>
    <w:rsid w:val="006C2108"/>
    <w:rsid w:val="006D0910"/>
    <w:rsid w:val="006D253B"/>
    <w:rsid w:val="006E4A84"/>
    <w:rsid w:val="006F219C"/>
    <w:rsid w:val="00700F39"/>
    <w:rsid w:val="00720C48"/>
    <w:rsid w:val="00732EFC"/>
    <w:rsid w:val="00733323"/>
    <w:rsid w:val="007428E7"/>
    <w:rsid w:val="00745DA0"/>
    <w:rsid w:val="00747481"/>
    <w:rsid w:val="00765153"/>
    <w:rsid w:val="00784C3C"/>
    <w:rsid w:val="00787D9C"/>
    <w:rsid w:val="007B0ECB"/>
    <w:rsid w:val="007B5E3B"/>
    <w:rsid w:val="007C2914"/>
    <w:rsid w:val="007C4213"/>
    <w:rsid w:val="007E362D"/>
    <w:rsid w:val="00801659"/>
    <w:rsid w:val="008133A3"/>
    <w:rsid w:val="00832DE8"/>
    <w:rsid w:val="00853E72"/>
    <w:rsid w:val="00854E28"/>
    <w:rsid w:val="00855A92"/>
    <w:rsid w:val="008836D8"/>
    <w:rsid w:val="00885A35"/>
    <w:rsid w:val="00890350"/>
    <w:rsid w:val="008A5C70"/>
    <w:rsid w:val="008B79FB"/>
    <w:rsid w:val="008D3386"/>
    <w:rsid w:val="0091716D"/>
    <w:rsid w:val="00917174"/>
    <w:rsid w:val="00946EAD"/>
    <w:rsid w:val="009579F7"/>
    <w:rsid w:val="009636A6"/>
    <w:rsid w:val="009B1679"/>
    <w:rsid w:val="009C37CC"/>
    <w:rsid w:val="009C596E"/>
    <w:rsid w:val="009C70C0"/>
    <w:rsid w:val="009C7FC7"/>
    <w:rsid w:val="009D0269"/>
    <w:rsid w:val="009E19BF"/>
    <w:rsid w:val="009E4059"/>
    <w:rsid w:val="009F0EF8"/>
    <w:rsid w:val="00A15945"/>
    <w:rsid w:val="00A32458"/>
    <w:rsid w:val="00A42EF5"/>
    <w:rsid w:val="00A54DE5"/>
    <w:rsid w:val="00A76B77"/>
    <w:rsid w:val="00A9474C"/>
    <w:rsid w:val="00A95A07"/>
    <w:rsid w:val="00AA1665"/>
    <w:rsid w:val="00AA5399"/>
    <w:rsid w:val="00AC134D"/>
    <w:rsid w:val="00AC4CCE"/>
    <w:rsid w:val="00AD65CC"/>
    <w:rsid w:val="00AD7837"/>
    <w:rsid w:val="00AE6893"/>
    <w:rsid w:val="00B1314D"/>
    <w:rsid w:val="00B22D2E"/>
    <w:rsid w:val="00B449FB"/>
    <w:rsid w:val="00B47F53"/>
    <w:rsid w:val="00B72A93"/>
    <w:rsid w:val="00B75756"/>
    <w:rsid w:val="00B93F34"/>
    <w:rsid w:val="00B96386"/>
    <w:rsid w:val="00B97F97"/>
    <w:rsid w:val="00BA09A3"/>
    <w:rsid w:val="00BA2FCA"/>
    <w:rsid w:val="00BA42F7"/>
    <w:rsid w:val="00BB02AD"/>
    <w:rsid w:val="00BC6129"/>
    <w:rsid w:val="00BD0880"/>
    <w:rsid w:val="00BE32F2"/>
    <w:rsid w:val="00BE71CC"/>
    <w:rsid w:val="00C0211F"/>
    <w:rsid w:val="00C35CC5"/>
    <w:rsid w:val="00C61EBB"/>
    <w:rsid w:val="00C63E8C"/>
    <w:rsid w:val="00C72DFC"/>
    <w:rsid w:val="00C90A2A"/>
    <w:rsid w:val="00C92FBF"/>
    <w:rsid w:val="00CA7D8A"/>
    <w:rsid w:val="00CA7E27"/>
    <w:rsid w:val="00CB025F"/>
    <w:rsid w:val="00CC3DA3"/>
    <w:rsid w:val="00CC515F"/>
    <w:rsid w:val="00CD0D98"/>
    <w:rsid w:val="00CD2734"/>
    <w:rsid w:val="00D11073"/>
    <w:rsid w:val="00D24673"/>
    <w:rsid w:val="00D31532"/>
    <w:rsid w:val="00D3253B"/>
    <w:rsid w:val="00D341E2"/>
    <w:rsid w:val="00D347B3"/>
    <w:rsid w:val="00D34DA7"/>
    <w:rsid w:val="00D4588A"/>
    <w:rsid w:val="00D604D0"/>
    <w:rsid w:val="00D62EF1"/>
    <w:rsid w:val="00D82284"/>
    <w:rsid w:val="00D86F30"/>
    <w:rsid w:val="00D925C9"/>
    <w:rsid w:val="00D92FDC"/>
    <w:rsid w:val="00D9552D"/>
    <w:rsid w:val="00DE4310"/>
    <w:rsid w:val="00DF5CB6"/>
    <w:rsid w:val="00E03FF8"/>
    <w:rsid w:val="00E26F3C"/>
    <w:rsid w:val="00E27C22"/>
    <w:rsid w:val="00E36A7E"/>
    <w:rsid w:val="00E449A1"/>
    <w:rsid w:val="00E61062"/>
    <w:rsid w:val="00E65C50"/>
    <w:rsid w:val="00E702B1"/>
    <w:rsid w:val="00E712D4"/>
    <w:rsid w:val="00E81698"/>
    <w:rsid w:val="00E9087B"/>
    <w:rsid w:val="00E9738E"/>
    <w:rsid w:val="00EB5A83"/>
    <w:rsid w:val="00EB5E6E"/>
    <w:rsid w:val="00EC7688"/>
    <w:rsid w:val="00EC7E05"/>
    <w:rsid w:val="00ED16CC"/>
    <w:rsid w:val="00ED5BE1"/>
    <w:rsid w:val="00EE492B"/>
    <w:rsid w:val="00F00026"/>
    <w:rsid w:val="00F05158"/>
    <w:rsid w:val="00F450B0"/>
    <w:rsid w:val="00F50EED"/>
    <w:rsid w:val="00F93ADC"/>
    <w:rsid w:val="00F948C9"/>
    <w:rsid w:val="00F97EE2"/>
    <w:rsid w:val="00FA6BD9"/>
    <w:rsid w:val="00FD7F19"/>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676B6"/>
  <w15:docId w15:val="{3939F396-36D2-46D5-8896-905D7B8FF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BD9"/>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FA6BD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A6BD9"/>
    <w:rPr>
      <w:sz w:val="36"/>
      <w:szCs w:val="52"/>
    </w:rPr>
  </w:style>
  <w:style w:type="paragraph" w:customStyle="1" w:styleId="Cover3-Haknesset">
    <w:name w:val="Cover 3-Haknesset"/>
    <w:basedOn w:val="Cover1-Reshumot"/>
    <w:rsid w:val="00FA6BD9"/>
    <w:rPr>
      <w:b/>
      <w:bCs/>
      <w:spacing w:val="60"/>
    </w:rPr>
  </w:style>
  <w:style w:type="paragraph" w:customStyle="1" w:styleId="Cover4-Date">
    <w:name w:val="Cover 4-Date"/>
    <w:basedOn w:val="a"/>
    <w:rsid w:val="00FA6BD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FA6BD9"/>
    <w:rPr>
      <w:vertAlign w:val="superscript"/>
    </w:rPr>
  </w:style>
  <w:style w:type="paragraph" w:customStyle="1" w:styleId="Ragil">
    <w:name w:val="Ragil"/>
    <w:basedOn w:val="a"/>
    <w:rsid w:val="00FA6BD9"/>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FA6BD9"/>
    <w:pPr>
      <w:ind w:left="227" w:hanging="227"/>
    </w:pPr>
    <w:rPr>
      <w:sz w:val="14"/>
      <w:szCs w:val="22"/>
    </w:rPr>
  </w:style>
  <w:style w:type="paragraph" w:styleId="a7">
    <w:name w:val="footer"/>
    <w:basedOn w:val="a"/>
    <w:rsid w:val="00FA6BD9"/>
    <w:pPr>
      <w:tabs>
        <w:tab w:val="center" w:pos="4153"/>
        <w:tab w:val="right" w:pos="8306"/>
      </w:tabs>
    </w:pPr>
  </w:style>
  <w:style w:type="character" w:styleId="a8">
    <w:name w:val="footnote reference"/>
    <w:aliases w:val="Footnote Reference"/>
    <w:basedOn w:val="a0"/>
    <w:rsid w:val="00FA6BD9"/>
    <w:rPr>
      <w:vertAlign w:val="superscript"/>
    </w:rPr>
  </w:style>
  <w:style w:type="paragraph" w:styleId="a9">
    <w:name w:val="footnote text"/>
    <w:basedOn w:val="a"/>
    <w:link w:val="aa"/>
    <w:autoRedefine/>
    <w:rsid w:val="00FA6BD9"/>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FA6BD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FA6BD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FA6BD9"/>
    <w:pPr>
      <w:spacing w:before="120" w:after="120"/>
    </w:pPr>
    <w:rPr>
      <w:color w:val="FF0000"/>
      <w:w w:val="80"/>
    </w:rPr>
  </w:style>
  <w:style w:type="paragraph" w:customStyle="1" w:styleId="HeadMitparsemetBaze">
    <w:name w:val="Head MitparsemetBaze"/>
    <w:basedOn w:val="a"/>
    <w:rsid w:val="00FA6BD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FA6BD9"/>
    <w:pPr>
      <w:tabs>
        <w:tab w:val="center" w:pos="4153"/>
        <w:tab w:val="right" w:pos="8306"/>
      </w:tabs>
    </w:pPr>
  </w:style>
  <w:style w:type="paragraph" w:customStyle="1" w:styleId="Hesber">
    <w:name w:val="Hesber"/>
    <w:basedOn w:val="a"/>
    <w:rsid w:val="00FA6BD9"/>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FA6BD9"/>
    <w:pPr>
      <w:tabs>
        <w:tab w:val="left" w:pos="680"/>
        <w:tab w:val="left" w:pos="1020"/>
      </w:tabs>
      <w:ind w:firstLine="0"/>
    </w:pPr>
  </w:style>
  <w:style w:type="paragraph" w:customStyle="1" w:styleId="HesberHeading">
    <w:name w:val="Hesber Heading"/>
    <w:basedOn w:val="Hesber"/>
    <w:rsid w:val="00FA6BD9"/>
    <w:pPr>
      <w:tabs>
        <w:tab w:val="left" w:pos="624"/>
        <w:tab w:val="left" w:pos="1247"/>
      </w:tabs>
      <w:ind w:firstLine="0"/>
    </w:pPr>
    <w:rPr>
      <w:b/>
      <w:bCs/>
    </w:rPr>
  </w:style>
  <w:style w:type="paragraph" w:customStyle="1" w:styleId="HesberWriters">
    <w:name w:val="Hesber Writers"/>
    <w:basedOn w:val="Hesber"/>
    <w:rsid w:val="00FA6BD9"/>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FA6BD9"/>
  </w:style>
  <w:style w:type="paragraph" w:customStyle="1" w:styleId="TableText">
    <w:name w:val="Table Text"/>
    <w:basedOn w:val="a"/>
    <w:rsid w:val="00FA6BD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A6BD9"/>
    <w:pPr>
      <w:ind w:right="0"/>
      <w:jc w:val="both"/>
    </w:pPr>
  </w:style>
  <w:style w:type="paragraph" w:customStyle="1" w:styleId="TableBlockOutdent">
    <w:name w:val="Table BlockOutdent"/>
    <w:basedOn w:val="TableBlock"/>
    <w:rsid w:val="00FA6BD9"/>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FA6BD9"/>
    <w:pPr>
      <w:ind w:right="0"/>
      <w:jc w:val="center"/>
    </w:pPr>
    <w:rPr>
      <w:b/>
      <w:bCs/>
    </w:rPr>
  </w:style>
  <w:style w:type="paragraph" w:customStyle="1" w:styleId="TableSideHeading">
    <w:name w:val="Table SideHeading"/>
    <w:basedOn w:val="TableText"/>
    <w:rsid w:val="00FA6BD9"/>
  </w:style>
  <w:style w:type="paragraph" w:customStyle="1" w:styleId="TableInnerSideHeading">
    <w:name w:val="Table InnerSideHeading"/>
    <w:basedOn w:val="TableSideHeading"/>
    <w:rsid w:val="00FA6BD9"/>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801659"/>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94ABA378-0DED-49C6-B769-B9A4CB5850D2}"/>
</file>

<file path=customXml/itemProps2.xml><?xml version="1.0" encoding="utf-8"?>
<ds:datastoreItem xmlns:ds="http://schemas.openxmlformats.org/officeDocument/2006/customXml" ds:itemID="{72B21CBF-A1B2-45BD-915F-075498360E06}"/>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D0159FF1-8D65-4006-8F8A-E23B52243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857DF6-1B56-4023-9835-3B88ADC7832B}"/>
</file>

<file path=customXml/itemProps6.xml><?xml version="1.0" encoding="utf-8"?>
<ds:datastoreItem xmlns:ds="http://schemas.openxmlformats.org/officeDocument/2006/customXml" ds:itemID="{13041D52-23FC-4DB1-B710-B1087D71DA26}"/>
</file>

<file path=docProps/app.xml><?xml version="1.0" encoding="utf-8"?>
<Properties xmlns="http://schemas.openxmlformats.org/officeDocument/2006/extended-properties" xmlns:vt="http://schemas.openxmlformats.org/officeDocument/2006/docPropsVTypes">
  <Template>Normal</Template>
  <TotalTime>2</TotalTime>
  <Pages>10</Pages>
  <Words>3635</Words>
  <Characters>17568</Characters>
  <Application>Microsoft Office Word</Application>
  <DocSecurity>0</DocSecurity>
  <Lines>146</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ניצן רוזנברג</cp:lastModifiedBy>
  <cp:revision>3</cp:revision>
  <cp:lastPrinted>2016-07-12T06:42:00Z</cp:lastPrinted>
  <dcterms:created xsi:type="dcterms:W3CDTF">2016-07-20T13:23:00Z</dcterms:created>
  <dcterms:modified xsi:type="dcterms:W3CDTF">2016-07-20T13:26:00Z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98e6349f-4e73-4e59-8b67-d38f577b4429</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2006161</vt:r8>
  </property>
</Properties>
</file>