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F643F7" w14:textId="279A4235" w:rsidR="00240089" w:rsidRPr="0075592E" w:rsidRDefault="00240089" w:rsidP="00240089">
      <w:pPr>
        <w:pStyle w:val="HeadMitparsemetBaze"/>
        <w:rPr>
          <w:color w:val="auto"/>
        </w:rPr>
      </w:pPr>
      <w:r w:rsidRPr="0075592E">
        <w:rPr>
          <w:rFonts w:hint="cs"/>
          <w:color w:val="auto"/>
          <w:rtl/>
        </w:rPr>
        <w:t>מתפרסמת בזה הצעת חוק</w:t>
      </w:r>
      <w:r>
        <w:rPr>
          <w:rFonts w:hint="cs"/>
          <w:color w:val="auto"/>
          <w:rtl/>
        </w:rPr>
        <w:t xml:space="preserve"> מטעם ועדת החוקה, חוק ומשפט של הכנסת:</w:t>
      </w:r>
    </w:p>
    <w:p w14:paraId="4CDB33E3" w14:textId="77777777" w:rsidR="00240089" w:rsidRPr="00C90A2A" w:rsidRDefault="00240089" w:rsidP="008915CB">
      <w:pPr>
        <w:pStyle w:val="ab"/>
        <w:tabs>
          <w:tab w:val="clear" w:pos="4153"/>
          <w:tab w:val="clear" w:pos="8306"/>
        </w:tabs>
        <w:jc w:val="right"/>
        <w:rPr>
          <w:rFonts w:cs="David"/>
          <w:rtl/>
        </w:rPr>
      </w:pPr>
      <w:r w:rsidRPr="00C90A2A">
        <w:rPr>
          <w:rFonts w:cs="David" w:hint="cs"/>
          <w:rtl/>
        </w:rPr>
        <w:t xml:space="preserve"> </w:t>
      </w:r>
    </w:p>
    <w:p w14:paraId="106272F2" w14:textId="4E460D15" w:rsidR="00240089" w:rsidRDefault="00240089" w:rsidP="00B927F4">
      <w:pPr>
        <w:pStyle w:val="HeadHatzaotHok"/>
        <w:rPr>
          <w:rtl/>
        </w:rPr>
      </w:pPr>
      <w:r>
        <w:rPr>
          <w:rFonts w:hint="cs"/>
          <w:rtl/>
        </w:rPr>
        <w:t xml:space="preserve">הצעת חוק </w:t>
      </w:r>
      <w:r w:rsidRPr="008D5A79">
        <w:rPr>
          <w:rFonts w:hint="cs"/>
          <w:rtl/>
        </w:rPr>
        <w:t>המפלגות (תיקון</w:t>
      </w:r>
      <w:r w:rsidR="008D5A79" w:rsidRPr="008D5A79">
        <w:rPr>
          <w:rFonts w:hint="cs"/>
          <w:rtl/>
        </w:rPr>
        <w:t xml:space="preserve"> מס' 20</w:t>
      </w:r>
      <w:r w:rsidRPr="008D5A79">
        <w:rPr>
          <w:rFonts w:hint="cs"/>
          <w:rtl/>
        </w:rPr>
        <w:t>) (כיסוי</w:t>
      </w:r>
      <w:bookmarkStart w:id="0" w:name="_GoBack"/>
      <w:bookmarkEnd w:id="0"/>
      <w:r>
        <w:rPr>
          <w:rFonts w:hint="cs"/>
          <w:rtl/>
        </w:rPr>
        <w:t xml:space="preserve"> גירעון לאחר תקופת הבחירות המקדימות),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–2016</w:t>
      </w:r>
      <w:r>
        <w:rPr>
          <w:rStyle w:val="a8"/>
          <w:rtl/>
        </w:rPr>
        <w:footnoteReference w:customMarkFollows="1" w:id="1"/>
        <w:t>*</w:t>
      </w: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3"/>
      </w:tblGrid>
      <w:tr w:rsidR="00240089" w14:paraId="6E848288" w14:textId="77777777" w:rsidTr="00D46827">
        <w:trPr>
          <w:cantSplit/>
        </w:trPr>
        <w:tc>
          <w:tcPr>
            <w:tcW w:w="1870" w:type="dxa"/>
          </w:tcPr>
          <w:p w14:paraId="2BE05B79" w14:textId="77777777" w:rsidR="00240089" w:rsidRDefault="00240089" w:rsidP="00B927F4">
            <w:pPr>
              <w:pStyle w:val="TableSideHeading"/>
              <w:keepLines w:val="0"/>
            </w:pPr>
            <w:r w:rsidRPr="00762B82">
              <w:rPr>
                <w:rFonts w:hint="cs"/>
                <w:rtl/>
              </w:rPr>
              <w:t xml:space="preserve">תיקון </w:t>
            </w:r>
            <w:r>
              <w:rPr>
                <w:rFonts w:hint="cs"/>
                <w:rtl/>
              </w:rPr>
              <w:t>סעיף 28ב</w:t>
            </w:r>
          </w:p>
        </w:tc>
        <w:tc>
          <w:tcPr>
            <w:tcW w:w="624" w:type="dxa"/>
            <w:hideMark/>
          </w:tcPr>
          <w:p w14:paraId="5921F537" w14:textId="77777777" w:rsidR="00240089" w:rsidRDefault="00240089" w:rsidP="003A3F3D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</w:tcPr>
          <w:p w14:paraId="06C92B08" w14:textId="77777777" w:rsidR="00240089" w:rsidRDefault="00240089" w:rsidP="00D46827">
            <w:pPr>
              <w:pStyle w:val="TableBlock"/>
            </w:pPr>
            <w:r w:rsidRPr="00762B82">
              <w:rPr>
                <w:rFonts w:hint="cs"/>
                <w:rtl/>
              </w:rPr>
              <w:t xml:space="preserve">בחוק </w:t>
            </w:r>
            <w:r>
              <w:rPr>
                <w:rFonts w:hint="cs"/>
                <w:rtl/>
              </w:rPr>
              <w:t xml:space="preserve">המפלגות, </w:t>
            </w:r>
            <w:proofErr w:type="spellStart"/>
            <w:r>
              <w:rPr>
                <w:rFonts w:hint="cs"/>
                <w:rtl/>
              </w:rPr>
              <w:t>התשנ"ב</w:t>
            </w:r>
            <w:proofErr w:type="spellEnd"/>
            <w:r>
              <w:rPr>
                <w:rtl/>
              </w:rPr>
              <w:softHyphen/>
            </w:r>
            <w:r>
              <w:rPr>
                <w:rFonts w:hint="cs"/>
                <w:rtl/>
              </w:rPr>
              <w:t>–1992</w:t>
            </w:r>
            <w:r w:rsidRPr="00762B82">
              <w:rPr>
                <w:vertAlign w:val="superscript"/>
                <w:rtl/>
              </w:rPr>
              <w:footnoteReference w:id="2"/>
            </w:r>
            <w:r w:rsidRPr="00762B82">
              <w:rPr>
                <w:rFonts w:hint="cs"/>
                <w:rtl/>
              </w:rPr>
              <w:t xml:space="preserve"> (להלן </w:t>
            </w:r>
            <w:r w:rsidRPr="00762B82">
              <w:rPr>
                <w:rtl/>
              </w:rPr>
              <w:t>–</w:t>
            </w:r>
            <w:r w:rsidRPr="00762B8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החוק העיקרי</w:t>
            </w:r>
            <w:r w:rsidRPr="00762B82"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 xml:space="preserve">, בסעיף 28ב(ה) </w:t>
            </w:r>
            <w:r>
              <w:rPr>
                <w:rtl/>
              </w:rPr>
              <w:softHyphen/>
            </w:r>
            <w:r>
              <w:rPr>
                <w:rFonts w:hint="cs"/>
                <w:rtl/>
              </w:rPr>
              <w:t>–</w:t>
            </w:r>
          </w:p>
        </w:tc>
      </w:tr>
      <w:tr w:rsidR="00240089" w14:paraId="3D92898F" w14:textId="77777777" w:rsidTr="00D46827">
        <w:trPr>
          <w:cantSplit/>
        </w:trPr>
        <w:tc>
          <w:tcPr>
            <w:tcW w:w="1870" w:type="dxa"/>
          </w:tcPr>
          <w:p w14:paraId="6C90972F" w14:textId="77777777" w:rsidR="00240089" w:rsidRPr="00762B82" w:rsidRDefault="00240089" w:rsidP="00B927F4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204E8FA" w14:textId="77777777" w:rsidR="00240089" w:rsidRDefault="00240089" w:rsidP="00816045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14:paraId="116A7EE3" w14:textId="77777777" w:rsidR="00240089" w:rsidRPr="00762B82" w:rsidRDefault="00240089" w:rsidP="00D4682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במקום </w:t>
            </w:r>
            <w:r w:rsidRPr="00762B8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"שבשלו לא חרג" יבוא "אף אם בשלו לא חרג";</w:t>
            </w:r>
          </w:p>
        </w:tc>
      </w:tr>
      <w:tr w:rsidR="00240089" w14:paraId="1C1FABE6" w14:textId="77777777" w:rsidTr="00D46827">
        <w:trPr>
          <w:cantSplit/>
        </w:trPr>
        <w:tc>
          <w:tcPr>
            <w:tcW w:w="1870" w:type="dxa"/>
          </w:tcPr>
          <w:p w14:paraId="39B3FB2E" w14:textId="77777777" w:rsidR="00240089" w:rsidRPr="00762B82" w:rsidRDefault="00240089" w:rsidP="00B927F4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8B7F172" w14:textId="77777777" w:rsidR="00240089" w:rsidRDefault="00240089" w:rsidP="00816045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14:paraId="53B6852B" w14:textId="75BAC5F3" w:rsidR="00240089" w:rsidRDefault="00240089" w:rsidP="00D4682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proofErr w:type="spellStart"/>
            <w:r>
              <w:rPr>
                <w:rFonts w:hint="cs"/>
                <w:rtl/>
              </w:rPr>
              <w:t>הסיפה</w:t>
            </w:r>
            <w:proofErr w:type="spellEnd"/>
            <w:r>
              <w:rPr>
                <w:rFonts w:hint="cs"/>
                <w:rtl/>
              </w:rPr>
              <w:t xml:space="preserve"> החל במילים "ויראו שימוש" </w:t>
            </w:r>
            <w:r w:rsidRPr="00762B82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תימחק, ובסופו יבוא "ואולם לעניין סעיף 28ו, יראו תרומות כאמור כתרומ</w:t>
            </w:r>
            <w:r w:rsidR="009B491E">
              <w:rPr>
                <w:rFonts w:hint="cs"/>
                <w:rtl/>
              </w:rPr>
              <w:t>ה במסגרת הבחירות המקדימות הבאות.</w:t>
            </w:r>
            <w:r>
              <w:rPr>
                <w:rFonts w:hint="cs"/>
                <w:rtl/>
              </w:rPr>
              <w:t>".</w:t>
            </w:r>
          </w:p>
        </w:tc>
      </w:tr>
      <w:tr w:rsidR="00240089" w14:paraId="7D43D30B" w14:textId="77777777" w:rsidTr="00D46827">
        <w:trPr>
          <w:cantSplit/>
        </w:trPr>
        <w:tc>
          <w:tcPr>
            <w:tcW w:w="1870" w:type="dxa"/>
          </w:tcPr>
          <w:p w14:paraId="061251E7" w14:textId="77777777" w:rsidR="00240089" w:rsidRDefault="00240089">
            <w:pPr>
              <w:pStyle w:val="TableSideHeading"/>
            </w:pPr>
            <w:r>
              <w:rPr>
                <w:rFonts w:hint="cs"/>
                <w:rtl/>
              </w:rPr>
              <w:t>תיקון סעיף 28כה1</w:t>
            </w:r>
          </w:p>
        </w:tc>
        <w:tc>
          <w:tcPr>
            <w:tcW w:w="624" w:type="dxa"/>
          </w:tcPr>
          <w:p w14:paraId="07DCB901" w14:textId="77777777" w:rsidR="00240089" w:rsidRDefault="00240089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3" w:type="dxa"/>
          </w:tcPr>
          <w:p w14:paraId="39B203AD" w14:textId="01A3139F" w:rsidR="00240089" w:rsidRPr="00C34DE2" w:rsidRDefault="00240089" w:rsidP="00D46827">
            <w:pPr>
              <w:pStyle w:val="TableBlock"/>
            </w:pPr>
            <w:r>
              <w:rPr>
                <w:rFonts w:hint="cs"/>
                <w:rtl/>
              </w:rPr>
              <w:t xml:space="preserve">בסעיף 28כה1(א) לחוק העיקרי, </w:t>
            </w:r>
            <w:r w:rsidR="009B491E">
              <w:rPr>
                <w:rFonts w:hint="cs"/>
                <w:rtl/>
              </w:rPr>
              <w:t>אחרי פסקה (7)</w:t>
            </w:r>
            <w:r>
              <w:rPr>
                <w:rFonts w:hint="cs"/>
                <w:rtl/>
              </w:rPr>
              <w:t xml:space="preserve"> יבוא:</w:t>
            </w:r>
          </w:p>
        </w:tc>
      </w:tr>
      <w:tr w:rsidR="009B491E" w14:paraId="60EA140B" w14:textId="77777777" w:rsidTr="00D46827">
        <w:trPr>
          <w:cantSplit/>
        </w:trPr>
        <w:tc>
          <w:tcPr>
            <w:tcW w:w="1870" w:type="dxa"/>
          </w:tcPr>
          <w:p w14:paraId="2E044CFA" w14:textId="77777777" w:rsidR="009B491E" w:rsidRDefault="009B491E">
            <w:pPr>
              <w:pStyle w:val="TableSideHeading"/>
            </w:pPr>
          </w:p>
        </w:tc>
        <w:tc>
          <w:tcPr>
            <w:tcW w:w="624" w:type="dxa"/>
          </w:tcPr>
          <w:p w14:paraId="7609CF96" w14:textId="77777777" w:rsidR="009B491E" w:rsidRDefault="009B491E">
            <w:pPr>
              <w:pStyle w:val="TableText"/>
            </w:pPr>
          </w:p>
        </w:tc>
        <w:tc>
          <w:tcPr>
            <w:tcW w:w="7143" w:type="dxa"/>
          </w:tcPr>
          <w:p w14:paraId="13B6A524" w14:textId="68346206" w:rsidR="009B491E" w:rsidRDefault="009B491E" w:rsidP="00D46827">
            <w:pPr>
              <w:pStyle w:val="TableBlock"/>
            </w:pPr>
            <w:r>
              <w:rPr>
                <w:rFonts w:hint="cs"/>
                <w:rtl/>
              </w:rPr>
              <w:t>"(8)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לא כיסה גירעון בשל מימון התמודדותו בבחירות מקדימות כאמור בסעיף 28ב(ה)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סכום שגובהו סכום הגירעון."</w:t>
            </w:r>
          </w:p>
        </w:tc>
      </w:tr>
    </w:tbl>
    <w:p w14:paraId="0F0FCC28" w14:textId="77777777" w:rsidR="00240089" w:rsidRDefault="00240089" w:rsidP="00B927F4">
      <w:pPr>
        <w:pStyle w:val="HeadDivreiHesber"/>
        <w:rPr>
          <w:rtl/>
        </w:rPr>
      </w:pPr>
      <w:r>
        <w:rPr>
          <w:rFonts w:hint="cs"/>
          <w:rtl/>
        </w:rPr>
        <w:t>דברי הסבר</w:t>
      </w:r>
    </w:p>
    <w:p w14:paraId="3AF87771" w14:textId="77777777" w:rsidR="00EC25F4" w:rsidRDefault="00240089" w:rsidP="00EC25F4">
      <w:pPr>
        <w:pStyle w:val="Hesber"/>
        <w:rPr>
          <w:rtl/>
        </w:rPr>
      </w:pPr>
      <w:r w:rsidRPr="00816045">
        <w:rPr>
          <w:rFonts w:hint="cs"/>
          <w:rtl/>
        </w:rPr>
        <w:t xml:space="preserve">חוק המפלגות, </w:t>
      </w:r>
      <w:proofErr w:type="spellStart"/>
      <w:r w:rsidRPr="00816045">
        <w:rPr>
          <w:rFonts w:hint="cs"/>
          <w:rtl/>
        </w:rPr>
        <w:t>התשנ"ב</w:t>
      </w:r>
      <w:proofErr w:type="spellEnd"/>
      <w:r w:rsidRPr="00816045">
        <w:rPr>
          <w:rtl/>
        </w:rPr>
        <w:softHyphen/>
      </w:r>
      <w:r w:rsidRPr="00816045">
        <w:rPr>
          <w:rtl/>
        </w:rPr>
        <w:softHyphen/>
      </w:r>
      <w:r w:rsidRPr="00816045">
        <w:rPr>
          <w:rFonts w:hint="cs"/>
          <w:rtl/>
        </w:rPr>
        <w:t xml:space="preserve">–1992 (להלן </w:t>
      </w:r>
      <w:r w:rsidRPr="00816045">
        <w:rPr>
          <w:rtl/>
        </w:rPr>
        <w:t>–</w:t>
      </w:r>
      <w:r w:rsidRPr="00816045">
        <w:rPr>
          <w:rFonts w:hint="cs"/>
          <w:rtl/>
        </w:rPr>
        <w:t xml:space="preserve"> ה</w:t>
      </w:r>
      <w:r w:rsidR="0020602A">
        <w:rPr>
          <w:rFonts w:hint="cs"/>
          <w:rtl/>
        </w:rPr>
        <w:t>חוק),</w:t>
      </w:r>
      <w:r w:rsidRPr="00816045">
        <w:rPr>
          <w:rFonts w:hint="cs"/>
          <w:rtl/>
        </w:rPr>
        <w:t xml:space="preserve"> קובע בסעיף 28ב(ה) הוראה שמטרתה למנוע ניהול חשבון של מועמד בבחירות מקדימות בגירעון. </w:t>
      </w:r>
      <w:r w:rsidR="0020602A">
        <w:rPr>
          <w:rFonts w:hint="cs"/>
          <w:rtl/>
        </w:rPr>
        <w:t>אם נוצר למועמד גירעון</w:t>
      </w:r>
      <w:r w:rsidRPr="00816045">
        <w:rPr>
          <w:rFonts w:hint="cs"/>
          <w:rtl/>
        </w:rPr>
        <w:t xml:space="preserve"> שבשלו </w:t>
      </w:r>
      <w:r w:rsidR="0020602A">
        <w:rPr>
          <w:rFonts w:hint="cs"/>
          <w:rtl/>
        </w:rPr>
        <w:t xml:space="preserve">הוא </w:t>
      </w:r>
      <w:r w:rsidRPr="00816045">
        <w:rPr>
          <w:rFonts w:hint="cs"/>
          <w:rtl/>
        </w:rPr>
        <w:t>לא חרג מתקרת ההוצאות המותרת לאותן בחירות מקדימות, עליו לכסות את הגירעון בתוך שישה חודשים מתום תקופת הבחירות</w:t>
      </w:r>
      <w:r w:rsidR="0020602A">
        <w:rPr>
          <w:rFonts w:hint="cs"/>
          <w:rtl/>
        </w:rPr>
        <w:t xml:space="preserve">. לשם כך, </w:t>
      </w:r>
      <w:r w:rsidRPr="00816045">
        <w:rPr>
          <w:rFonts w:hint="cs"/>
          <w:rtl/>
        </w:rPr>
        <w:t xml:space="preserve">הוא </w:t>
      </w:r>
      <w:r w:rsidR="0020602A">
        <w:rPr>
          <w:rFonts w:hint="cs"/>
          <w:rtl/>
        </w:rPr>
        <w:t xml:space="preserve">רשאי </w:t>
      </w:r>
      <w:r w:rsidRPr="00816045">
        <w:rPr>
          <w:rFonts w:hint="cs"/>
          <w:rtl/>
        </w:rPr>
        <w:t>להשתמש בתרומות שקיבל לאחר אותן בחירות מקדימות. הסעיף קובע עוד, כי יראו שימוש בתרומות כאמור "כהוצאה במסגרת התקרה המותרת לבחירות המקדימות הבאות".</w:t>
      </w:r>
      <w:r w:rsidR="0020602A">
        <w:rPr>
          <w:rFonts w:hint="cs"/>
          <w:rtl/>
        </w:rPr>
        <w:t xml:space="preserve"> מועמד שהפר את </w:t>
      </w:r>
      <w:r w:rsidRPr="00816045">
        <w:rPr>
          <w:rFonts w:hint="cs"/>
          <w:rtl/>
        </w:rPr>
        <w:t xml:space="preserve">החובה לכסות את הגירעון </w:t>
      </w:r>
      <w:r w:rsidR="0020602A">
        <w:rPr>
          <w:rFonts w:hint="cs"/>
          <w:rtl/>
        </w:rPr>
        <w:t xml:space="preserve">עלול </w:t>
      </w:r>
      <w:r w:rsidR="00EC25F4">
        <w:rPr>
          <w:rFonts w:hint="cs"/>
          <w:rtl/>
        </w:rPr>
        <w:t xml:space="preserve">לשאת באחריות פלילית (לפי סעיף </w:t>
      </w:r>
      <w:r w:rsidR="00EC25F4" w:rsidRPr="00816045">
        <w:rPr>
          <w:rFonts w:hint="cs"/>
          <w:rtl/>
        </w:rPr>
        <w:t>28כו(ב)(2) לחוק</w:t>
      </w:r>
      <w:r w:rsidR="00EC25F4">
        <w:rPr>
          <w:rFonts w:hint="cs"/>
          <w:rtl/>
        </w:rPr>
        <w:t xml:space="preserve">) ומבקר המדינה רשאי </w:t>
      </w:r>
      <w:r w:rsidRPr="00816045">
        <w:rPr>
          <w:rFonts w:hint="cs"/>
          <w:rtl/>
        </w:rPr>
        <w:t xml:space="preserve">להטיל </w:t>
      </w:r>
      <w:r w:rsidR="00EC25F4">
        <w:rPr>
          <w:rFonts w:hint="cs"/>
          <w:rtl/>
        </w:rPr>
        <w:t xml:space="preserve">עליו </w:t>
      </w:r>
      <w:r w:rsidRPr="00816045">
        <w:rPr>
          <w:rFonts w:hint="cs"/>
          <w:rtl/>
        </w:rPr>
        <w:t xml:space="preserve">סנקציה </w:t>
      </w:r>
      <w:proofErr w:type="spellStart"/>
      <w:r w:rsidRPr="00816045">
        <w:rPr>
          <w:rFonts w:hint="cs"/>
          <w:rtl/>
        </w:rPr>
        <w:t>מינהלית</w:t>
      </w:r>
      <w:proofErr w:type="spellEnd"/>
      <w:r w:rsidR="00EC25F4">
        <w:rPr>
          <w:rFonts w:hint="cs"/>
          <w:rtl/>
        </w:rPr>
        <w:t xml:space="preserve"> של תשלום לאוצר המדינה (</w:t>
      </w:r>
      <w:r w:rsidRPr="00816045">
        <w:rPr>
          <w:rFonts w:hint="cs"/>
          <w:rtl/>
        </w:rPr>
        <w:t>לפי סעיף 28כה1(א)(7) לחוק</w:t>
      </w:r>
      <w:r w:rsidR="00EC25F4">
        <w:rPr>
          <w:rFonts w:hint="cs"/>
          <w:rtl/>
        </w:rPr>
        <w:t>).</w:t>
      </w:r>
      <w:r w:rsidRPr="00816045">
        <w:rPr>
          <w:rFonts w:hint="cs"/>
          <w:rtl/>
        </w:rPr>
        <w:t xml:space="preserve"> </w:t>
      </w:r>
    </w:p>
    <w:p w14:paraId="66AEE8AF" w14:textId="77777777" w:rsidR="00EC25F4" w:rsidRDefault="00EC25F4" w:rsidP="00EC25F4">
      <w:pPr>
        <w:pStyle w:val="Hesber"/>
        <w:rPr>
          <w:rtl/>
        </w:rPr>
      </w:pPr>
      <w:r>
        <w:rPr>
          <w:rFonts w:hint="cs"/>
          <w:rtl/>
        </w:rPr>
        <w:t xml:space="preserve">כמו כן, </w:t>
      </w:r>
      <w:r w:rsidR="00240089" w:rsidRPr="00816045">
        <w:rPr>
          <w:rFonts w:hint="cs"/>
          <w:rtl/>
        </w:rPr>
        <w:t xml:space="preserve">סעיף 28ב(ה) </w:t>
      </w:r>
      <w:r>
        <w:rPr>
          <w:rFonts w:hint="cs"/>
          <w:rtl/>
        </w:rPr>
        <w:t xml:space="preserve">לחוק </w:t>
      </w:r>
      <w:r w:rsidR="00240089" w:rsidRPr="00816045">
        <w:rPr>
          <w:rFonts w:hint="cs"/>
          <w:rtl/>
        </w:rPr>
        <w:t xml:space="preserve">מטיל על מועמד שסיים את מערכת הבחירות המקדימות בגירעון </w:t>
      </w:r>
      <w:r>
        <w:rPr>
          <w:rFonts w:hint="cs"/>
          <w:rtl/>
        </w:rPr>
        <w:t xml:space="preserve">מגבלות </w:t>
      </w:r>
      <w:r w:rsidR="00240089" w:rsidRPr="00816045">
        <w:rPr>
          <w:rFonts w:hint="cs"/>
          <w:rtl/>
        </w:rPr>
        <w:t xml:space="preserve">הנוגעות להתמודדותו בבחירות המקדימות הבאות. ראשית, </w:t>
      </w:r>
      <w:r>
        <w:rPr>
          <w:rFonts w:hint="cs"/>
          <w:rtl/>
        </w:rPr>
        <w:t xml:space="preserve">הוא </w:t>
      </w:r>
      <w:r w:rsidR="00240089" w:rsidRPr="00816045">
        <w:rPr>
          <w:rFonts w:hint="cs"/>
          <w:rtl/>
        </w:rPr>
        <w:t>לא יוכל לקבל בבחירות המקדימות הבאות תרומה מאותו תורם שתרומתו שימשה לכיסוי הגירעון של הבחירות הקודמות, א</w:t>
      </w:r>
      <w:r>
        <w:rPr>
          <w:rFonts w:hint="cs"/>
          <w:rtl/>
        </w:rPr>
        <w:t>ם התרומה היא מעבר לסכום שתורם</w:t>
      </w:r>
      <w:r w:rsidR="00240089" w:rsidRPr="0081604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</w:t>
      </w:r>
      <w:r w:rsidR="00240089" w:rsidRPr="00816045">
        <w:rPr>
          <w:rFonts w:hint="cs"/>
          <w:rtl/>
        </w:rPr>
        <w:t>לתרום לפי סעיף 28ו(א)(1). שנית, התרומה תיגרע מתקרת ההוצאות המו</w:t>
      </w:r>
      <w:r w:rsidR="00240089">
        <w:rPr>
          <w:rFonts w:hint="cs"/>
          <w:rtl/>
        </w:rPr>
        <w:t>תרת ל</w:t>
      </w:r>
      <w:r>
        <w:rPr>
          <w:rFonts w:hint="cs"/>
          <w:rtl/>
        </w:rPr>
        <w:t>מועמד</w:t>
      </w:r>
      <w:r w:rsidR="0024008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240089">
        <w:rPr>
          <w:rFonts w:hint="cs"/>
          <w:rtl/>
        </w:rPr>
        <w:t>בחירות המקדימות הבאות.</w:t>
      </w:r>
      <w:r>
        <w:rPr>
          <w:rFonts w:hint="cs"/>
          <w:rtl/>
        </w:rPr>
        <w:t xml:space="preserve"> </w:t>
      </w:r>
    </w:p>
    <w:p w14:paraId="03C1A3FC" w14:textId="748D6DAB" w:rsidR="00EC25F4" w:rsidRDefault="00240089" w:rsidP="001337D6">
      <w:pPr>
        <w:pStyle w:val="Hesber"/>
        <w:rPr>
          <w:rtl/>
        </w:rPr>
      </w:pPr>
      <w:r w:rsidRPr="00816045">
        <w:rPr>
          <w:rFonts w:hint="cs"/>
          <w:rtl/>
        </w:rPr>
        <w:t xml:space="preserve">מוצע </w:t>
      </w:r>
      <w:r w:rsidR="00EC25F4">
        <w:rPr>
          <w:rFonts w:hint="cs"/>
          <w:rtl/>
        </w:rPr>
        <w:t>להסיר</w:t>
      </w:r>
      <w:r w:rsidRPr="00816045">
        <w:rPr>
          <w:rFonts w:hint="cs"/>
          <w:rtl/>
        </w:rPr>
        <w:t xml:space="preserve"> את </w:t>
      </w:r>
      <w:r w:rsidR="00EC25F4">
        <w:rPr>
          <w:rFonts w:hint="cs"/>
          <w:rtl/>
        </w:rPr>
        <w:t>המגבלה</w:t>
      </w:r>
      <w:r w:rsidRPr="00816045">
        <w:rPr>
          <w:rFonts w:hint="cs"/>
          <w:rtl/>
        </w:rPr>
        <w:t xml:space="preserve"> של גריעת התרומה מתקרת ההוצאות המותרת</w:t>
      </w:r>
      <w:r>
        <w:rPr>
          <w:rFonts w:hint="cs"/>
          <w:rtl/>
        </w:rPr>
        <w:t xml:space="preserve"> </w:t>
      </w:r>
      <w:r w:rsidRPr="00816045">
        <w:rPr>
          <w:rFonts w:hint="cs"/>
          <w:rtl/>
        </w:rPr>
        <w:t xml:space="preserve">לבחירות המקדימות הבאות. </w:t>
      </w:r>
      <w:r w:rsidR="00EC25F4">
        <w:rPr>
          <w:rFonts w:hint="cs"/>
          <w:rtl/>
        </w:rPr>
        <w:t xml:space="preserve">מגבלה </w:t>
      </w:r>
      <w:r>
        <w:rPr>
          <w:rFonts w:hint="cs"/>
          <w:rtl/>
        </w:rPr>
        <w:t>זו</w:t>
      </w:r>
      <w:r w:rsidRPr="00816045">
        <w:rPr>
          <w:rFonts w:hint="cs"/>
          <w:rtl/>
        </w:rPr>
        <w:t xml:space="preserve"> </w:t>
      </w:r>
      <w:r w:rsidR="00EC25F4">
        <w:rPr>
          <w:rFonts w:hint="cs"/>
          <w:rtl/>
        </w:rPr>
        <w:t>יוצרת אי-</w:t>
      </w:r>
      <w:r>
        <w:rPr>
          <w:rFonts w:hint="cs"/>
          <w:rtl/>
        </w:rPr>
        <w:t>שוויון בתקרת ההוצאות בין מועמדים בבחירות הבאות, ו</w:t>
      </w:r>
      <w:r w:rsidRPr="00816045">
        <w:rPr>
          <w:rFonts w:hint="cs"/>
          <w:rtl/>
        </w:rPr>
        <w:t xml:space="preserve">די בסנקציות הקיימות כדי </w:t>
      </w:r>
      <w:r w:rsidR="00EC25F4">
        <w:rPr>
          <w:rFonts w:hint="cs"/>
          <w:rtl/>
        </w:rPr>
        <w:t xml:space="preserve">להרתיע מועמד מניהול </w:t>
      </w:r>
      <w:r w:rsidRPr="00816045">
        <w:rPr>
          <w:rFonts w:hint="cs"/>
          <w:rtl/>
        </w:rPr>
        <w:t xml:space="preserve">חשבון מערכת הבחירות המקדימות שלו בגירעון. </w:t>
      </w:r>
      <w:r>
        <w:rPr>
          <w:rFonts w:hint="cs"/>
          <w:rtl/>
        </w:rPr>
        <w:t xml:space="preserve">גם מבקר המדינה קרא למחוקק לתת דעתו לסוגיה זו, וציין כי במקרים </w:t>
      </w:r>
      <w:r w:rsidR="00EC25F4">
        <w:rPr>
          <w:rFonts w:hint="cs"/>
          <w:rtl/>
        </w:rPr>
        <w:t>ש</w:t>
      </w:r>
      <w:r>
        <w:rPr>
          <w:rFonts w:hint="cs"/>
          <w:rtl/>
        </w:rPr>
        <w:t xml:space="preserve">בהם סכום הגירעון קרוב לתקרת ההוצאות יש בכך כדי לפגוע ביכולתו של המועמד להשתתף בפועל בבחירות (מבקר המדינה, דוח על תוצאות ביקורת </w:t>
      </w:r>
      <w:r>
        <w:rPr>
          <w:rFonts w:hint="cs"/>
          <w:rtl/>
        </w:rPr>
        <w:lastRenderedPageBreak/>
        <w:t xml:space="preserve">החשבונות של המתמודדים בבחירות המקדימות במפלגות השונות על מועמדות מטעמן לתפקיד חבר הכנסת העשרים,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2015, עמ' 51-</w:t>
      </w:r>
      <w:r w:rsidR="001337D6">
        <w:rPr>
          <w:rFonts w:hint="cs"/>
          <w:rtl/>
        </w:rPr>
        <w:t>50</w:t>
      </w:r>
      <w:r>
        <w:rPr>
          <w:rFonts w:hint="cs"/>
          <w:rtl/>
        </w:rPr>
        <w:t>).</w:t>
      </w:r>
    </w:p>
    <w:p w14:paraId="17A8594B" w14:textId="72960035" w:rsidR="00240089" w:rsidRPr="00EC25F4" w:rsidRDefault="001337D6" w:rsidP="00EC25F4">
      <w:pPr>
        <w:pStyle w:val="Hesber"/>
        <w:rPr>
          <w:rtl/>
        </w:rPr>
      </w:pPr>
      <w:r>
        <w:rPr>
          <w:rFonts w:hint="cs"/>
          <w:rtl/>
        </w:rPr>
        <w:t>יובהר כי גם לאחר התיקון המוצע</w:t>
      </w:r>
      <w:r w:rsidR="00240089">
        <w:rPr>
          <w:rFonts w:hint="cs"/>
          <w:rtl/>
        </w:rPr>
        <w:t xml:space="preserve"> מועמד שיקבל תרומה לכיסוי גירעון של מערכת בחירות </w:t>
      </w:r>
      <w:r w:rsidR="00240089" w:rsidRPr="00EC25F4">
        <w:rPr>
          <w:rFonts w:hint="cs"/>
          <w:rtl/>
        </w:rPr>
        <w:t>קודמת לא יוכל לקבל מאותו תורם סכום העולה על הסכום שתורם בודד רשאי לתרום לפי סעיף 28ו לחוק</w:t>
      </w:r>
      <w:r w:rsidR="00EC25F4" w:rsidRPr="00EC25F4">
        <w:rPr>
          <w:rFonts w:hint="cs"/>
          <w:rtl/>
        </w:rPr>
        <w:t xml:space="preserve"> (סעיפים 1(2) ו-2)</w:t>
      </w:r>
      <w:r w:rsidR="00240089" w:rsidRPr="00EC25F4">
        <w:rPr>
          <w:rFonts w:hint="cs"/>
          <w:rtl/>
        </w:rPr>
        <w:t>.</w:t>
      </w:r>
    </w:p>
    <w:p w14:paraId="3076426D" w14:textId="70189AE9" w:rsidR="00240089" w:rsidRDefault="00EC25F4" w:rsidP="001337D6">
      <w:pPr>
        <w:pStyle w:val="Hesber"/>
        <w:rPr>
          <w:rtl/>
        </w:rPr>
      </w:pPr>
      <w:r>
        <w:rPr>
          <w:rFonts w:hint="cs"/>
          <w:rtl/>
        </w:rPr>
        <w:t xml:space="preserve">עוד </w:t>
      </w:r>
      <w:r w:rsidR="00240089" w:rsidRPr="00EC25F4">
        <w:rPr>
          <w:rFonts w:hint="cs"/>
          <w:rtl/>
        </w:rPr>
        <w:t xml:space="preserve">מוצע להבהיר כי החובה לכסות את הגירעון בתוך שישה חודשים </w:t>
      </w:r>
      <w:r w:rsidR="001337D6">
        <w:rPr>
          <w:rFonts w:hint="cs"/>
          <w:rtl/>
        </w:rPr>
        <w:t>תקום</w:t>
      </w:r>
      <w:r w:rsidR="00240089" w:rsidRPr="00EC25F4">
        <w:rPr>
          <w:rFonts w:hint="cs"/>
          <w:rtl/>
        </w:rPr>
        <w:t xml:space="preserve"> בכל מקרה, בין אם בשל הגירעון חרג המועמד מתקרת ההוצאות המותרת ובין אם לאו</w:t>
      </w:r>
      <w:r w:rsidRPr="00EC25F4">
        <w:rPr>
          <w:rFonts w:hint="cs"/>
          <w:rtl/>
        </w:rPr>
        <w:t xml:space="preserve"> (סעיף 1(1)).</w:t>
      </w:r>
    </w:p>
    <w:p w14:paraId="17A676CA" w14:textId="5D317F14" w:rsidR="00637DB9" w:rsidRDefault="00637DB9" w:rsidP="00D46827">
      <w:pPr>
        <w:pStyle w:val="HesberWriters"/>
        <w:rPr>
          <w:rtl/>
        </w:rPr>
      </w:pPr>
    </w:p>
    <w:p w14:paraId="17A676CB" w14:textId="77777777" w:rsidR="0069174C" w:rsidRDefault="0069174C" w:rsidP="00637DB9">
      <w:pPr>
        <w:pStyle w:val="HesberWriters"/>
        <w:spacing w:after="0"/>
        <w:rPr>
          <w:rtl/>
        </w:rPr>
      </w:pPr>
    </w:p>
    <w:p w14:paraId="17A676CC" w14:textId="77777777" w:rsidR="00637DB9" w:rsidRDefault="0069174C" w:rsidP="00A42EF5">
      <w:pPr>
        <w:pStyle w:val="HesberWriters"/>
        <w:spacing w:after="0"/>
        <w:rPr>
          <w:b w:val="0"/>
          <w:bCs w:val="0"/>
          <w:szCs w:val="20"/>
          <w:rtl/>
        </w:rPr>
      </w:pPr>
      <w:bookmarkStart w:id="1" w:name="LGSInitiators"/>
      <w:r>
        <w:rPr>
          <w:rFonts w:hint="cs"/>
          <w:rtl/>
        </w:rPr>
        <w:t xml:space="preserve"> </w:t>
      </w:r>
      <w:bookmarkEnd w:id="1"/>
      <w:r w:rsidR="00637DB9">
        <w:rPr>
          <w:rFonts w:hint="cs"/>
          <w:rtl/>
        </w:rPr>
        <w:t xml:space="preserve"> </w:t>
      </w:r>
      <w:r w:rsidR="00637DB9">
        <w:rPr>
          <w:rFonts w:hint="cs"/>
          <w:rtl/>
        </w:rPr>
        <w:br/>
      </w:r>
      <w:bookmarkStart w:id="2" w:name="LGSSugestions"/>
      <w:r>
        <w:rPr>
          <w:rFonts w:hint="cs"/>
          <w:b w:val="0"/>
          <w:bCs w:val="0"/>
          <w:rtl/>
        </w:rPr>
        <w:t xml:space="preserve"> </w:t>
      </w:r>
      <w:bookmarkEnd w:id="2"/>
      <w:r w:rsidR="00720C48">
        <w:rPr>
          <w:rFonts w:hint="cs"/>
          <w:b w:val="0"/>
          <w:bCs w:val="0"/>
          <w:szCs w:val="20"/>
          <w:rtl/>
        </w:rPr>
        <w:t xml:space="preserve"> </w:t>
      </w:r>
    </w:p>
    <w:p w14:paraId="17A676CD" w14:textId="77777777" w:rsidR="00637DB9" w:rsidRDefault="00637DB9" w:rsidP="00637DB9">
      <w:pPr>
        <w:rPr>
          <w:rtl/>
        </w:rPr>
      </w:pPr>
    </w:p>
    <w:p w14:paraId="17A676CE" w14:textId="77777777" w:rsidR="00637DB9" w:rsidRPr="002A6F65" w:rsidRDefault="00637DB9" w:rsidP="00637DB9">
      <w:pPr>
        <w:rPr>
          <w:rtl/>
        </w:rPr>
      </w:pPr>
    </w:p>
    <w:p w14:paraId="17A676CF" w14:textId="77777777" w:rsidR="00AC4CCE" w:rsidRPr="002A6F65" w:rsidRDefault="00AC4CCE" w:rsidP="00637DB9">
      <w:pPr>
        <w:pStyle w:val="HeadHatzaotHok"/>
        <w:rPr>
          <w:rtl/>
        </w:rPr>
      </w:pPr>
    </w:p>
    <w:sectPr w:rsidR="00AC4CCE" w:rsidRPr="002A6F65" w:rsidSect="003D61FD">
      <w:footerReference w:type="even" r:id="rId13"/>
      <w:footerReference w:type="default" r:id="rId14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D599FA" w14:textId="77777777" w:rsidR="00F948C9" w:rsidRDefault="00F948C9" w:rsidP="003D61FD">
      <w:pPr>
        <w:pStyle w:val="HeadHatzaotHok"/>
      </w:pPr>
      <w:r>
        <w:separator/>
      </w:r>
    </w:p>
  </w:endnote>
  <w:endnote w:type="continuationSeparator" w:id="0">
    <w:p w14:paraId="381BC6FB" w14:textId="77777777" w:rsidR="00F948C9" w:rsidRDefault="00F948C9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676D4" w14:textId="77777777"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14:paraId="17A676D5" w14:textId="77777777"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676D6" w14:textId="77777777"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51378C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14:paraId="17A676D7" w14:textId="77777777" w:rsidR="00EC7688" w:rsidRDefault="00EC76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1EF0B9" w14:textId="77777777" w:rsidR="00F948C9" w:rsidRDefault="00F948C9" w:rsidP="003D61FD">
      <w:pPr>
        <w:pStyle w:val="HeadHatzaotHok"/>
        <w:jc w:val="both"/>
      </w:pPr>
      <w:r>
        <w:separator/>
      </w:r>
    </w:p>
  </w:footnote>
  <w:footnote w:type="continuationSeparator" w:id="0">
    <w:p w14:paraId="07928BAF" w14:textId="77777777" w:rsidR="00F948C9" w:rsidRDefault="00F948C9" w:rsidP="003D61FD">
      <w:pPr>
        <w:pStyle w:val="HeadHatzaotHok"/>
      </w:pPr>
      <w:r>
        <w:continuationSeparator/>
      </w:r>
    </w:p>
  </w:footnote>
  <w:footnote w:id="1">
    <w:p w14:paraId="3F59EEBD" w14:textId="2E133F0C" w:rsidR="00240089" w:rsidRDefault="00240089">
      <w:pPr>
        <w:pStyle w:val="a9"/>
      </w:pPr>
      <w:r>
        <w:rPr>
          <w:rStyle w:val="a8"/>
          <w:rtl/>
        </w:rPr>
        <w:t>*</w:t>
      </w:r>
      <w:r>
        <w:rPr>
          <w:rtl/>
        </w:rPr>
        <w:t xml:space="preserve"> </w:t>
      </w:r>
      <w:r>
        <w:rPr>
          <w:rFonts w:hint="cs"/>
          <w:rtl/>
        </w:rPr>
        <w:t>מספר פנימי: 2005102</w:t>
      </w:r>
      <w:r w:rsidR="003D47EA">
        <w:rPr>
          <w:rFonts w:hint="cs"/>
          <w:rtl/>
        </w:rPr>
        <w:t>.</w:t>
      </w:r>
    </w:p>
  </w:footnote>
  <w:footnote w:id="2">
    <w:p w14:paraId="43DF2192" w14:textId="77777777" w:rsidR="00240089" w:rsidRDefault="00240089" w:rsidP="00C345A2">
      <w:pPr>
        <w:pStyle w:val="a9"/>
        <w:rPr>
          <w:rtl/>
        </w:rPr>
      </w:pPr>
      <w:r w:rsidRPr="00C345A2">
        <w:rPr>
          <w:rStyle w:val="a8"/>
        </w:rPr>
        <w:footnoteRef/>
      </w:r>
      <w:r w:rsidRPr="00C345A2">
        <w:rPr>
          <w:rtl/>
        </w:rPr>
        <w:t xml:space="preserve"> </w:t>
      </w:r>
      <w:r w:rsidRPr="00C345A2">
        <w:rPr>
          <w:rFonts w:hint="cs"/>
          <w:rtl/>
        </w:rPr>
        <w:t xml:space="preserve">ס"ח </w:t>
      </w:r>
      <w:proofErr w:type="spellStart"/>
      <w:r w:rsidRPr="00C345A2">
        <w:rPr>
          <w:rFonts w:hint="cs"/>
          <w:rtl/>
        </w:rPr>
        <w:t>התשנ"ב</w:t>
      </w:r>
      <w:proofErr w:type="spellEnd"/>
      <w:r w:rsidRPr="00C345A2">
        <w:rPr>
          <w:rFonts w:hint="cs"/>
          <w:rtl/>
        </w:rPr>
        <w:t xml:space="preserve">, עמ' 190; </w:t>
      </w:r>
      <w:proofErr w:type="spellStart"/>
      <w:r w:rsidRPr="00C345A2">
        <w:rPr>
          <w:rFonts w:hint="eastAsia"/>
          <w:rtl/>
        </w:rPr>
        <w:t>התשע</w:t>
      </w:r>
      <w:r w:rsidRPr="00C345A2">
        <w:rPr>
          <w:rtl/>
        </w:rPr>
        <w:t>"</w:t>
      </w:r>
      <w:r w:rsidRPr="00C345A2">
        <w:rPr>
          <w:rFonts w:hint="cs"/>
          <w:rtl/>
        </w:rPr>
        <w:t>ה</w:t>
      </w:r>
      <w:proofErr w:type="spellEnd"/>
      <w:r w:rsidRPr="00C345A2">
        <w:rPr>
          <w:rtl/>
        </w:rPr>
        <w:t xml:space="preserve">, </w:t>
      </w:r>
      <w:r w:rsidRPr="00C345A2">
        <w:rPr>
          <w:rFonts w:hint="eastAsia"/>
          <w:rtl/>
        </w:rPr>
        <w:t>עמ</w:t>
      </w:r>
      <w:r w:rsidRPr="00C345A2">
        <w:rPr>
          <w:rtl/>
        </w:rPr>
        <w:t xml:space="preserve">' </w:t>
      </w:r>
      <w:r w:rsidRPr="00C345A2">
        <w:rPr>
          <w:rFonts w:hint="cs"/>
          <w:rtl/>
        </w:rPr>
        <w:t>251</w:t>
      </w:r>
      <w:r w:rsidRPr="00C345A2">
        <w:rPr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0876D7"/>
    <w:multiLevelType w:val="hybridMultilevel"/>
    <w:tmpl w:val="8A92A47E"/>
    <w:lvl w:ilvl="0" w:tplc="9EEC2BF4">
      <w:start w:val="1"/>
      <w:numFmt w:val="decimal"/>
      <w:lvlText w:val="%1."/>
      <w:lvlJc w:val="left"/>
      <w:pPr>
        <w:ind w:left="70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13"/>
    <w:rsid w:val="00022EBF"/>
    <w:rsid w:val="0002643E"/>
    <w:rsid w:val="0002757A"/>
    <w:rsid w:val="00027E2D"/>
    <w:rsid w:val="00033033"/>
    <w:rsid w:val="00033389"/>
    <w:rsid w:val="000470B8"/>
    <w:rsid w:val="00047882"/>
    <w:rsid w:val="00077AF1"/>
    <w:rsid w:val="00097925"/>
    <w:rsid w:val="000E3B18"/>
    <w:rsid w:val="000E4563"/>
    <w:rsid w:val="000E7E08"/>
    <w:rsid w:val="000F6D7C"/>
    <w:rsid w:val="00123F23"/>
    <w:rsid w:val="001253F6"/>
    <w:rsid w:val="001337D6"/>
    <w:rsid w:val="00185E46"/>
    <w:rsid w:val="001A6799"/>
    <w:rsid w:val="001C4A6C"/>
    <w:rsid w:val="001E46A8"/>
    <w:rsid w:val="001E6F31"/>
    <w:rsid w:val="001F03C7"/>
    <w:rsid w:val="001F7A55"/>
    <w:rsid w:val="002000B0"/>
    <w:rsid w:val="00205DFF"/>
    <w:rsid w:val="0020602A"/>
    <w:rsid w:val="0020793A"/>
    <w:rsid w:val="00222DA1"/>
    <w:rsid w:val="00223153"/>
    <w:rsid w:val="00233C51"/>
    <w:rsid w:val="00240089"/>
    <w:rsid w:val="00280B87"/>
    <w:rsid w:val="00294114"/>
    <w:rsid w:val="002A6F65"/>
    <w:rsid w:val="002C4285"/>
    <w:rsid w:val="002E1F11"/>
    <w:rsid w:val="002E6458"/>
    <w:rsid w:val="00331786"/>
    <w:rsid w:val="0034385F"/>
    <w:rsid w:val="00352E82"/>
    <w:rsid w:val="003613DD"/>
    <w:rsid w:val="0037452B"/>
    <w:rsid w:val="0039489D"/>
    <w:rsid w:val="003948C0"/>
    <w:rsid w:val="0039695B"/>
    <w:rsid w:val="00397739"/>
    <w:rsid w:val="003B4BC6"/>
    <w:rsid w:val="003C03C8"/>
    <w:rsid w:val="003C1215"/>
    <w:rsid w:val="003D27C5"/>
    <w:rsid w:val="003D47EA"/>
    <w:rsid w:val="003D58F4"/>
    <w:rsid w:val="003D61FD"/>
    <w:rsid w:val="003F451C"/>
    <w:rsid w:val="004239B4"/>
    <w:rsid w:val="004265E2"/>
    <w:rsid w:val="00443D7D"/>
    <w:rsid w:val="00472FCA"/>
    <w:rsid w:val="004B1418"/>
    <w:rsid w:val="004B1FDD"/>
    <w:rsid w:val="004C68A2"/>
    <w:rsid w:val="004E5E15"/>
    <w:rsid w:val="004F4E19"/>
    <w:rsid w:val="0051378C"/>
    <w:rsid w:val="0052521E"/>
    <w:rsid w:val="005527D3"/>
    <w:rsid w:val="005652C2"/>
    <w:rsid w:val="0057628C"/>
    <w:rsid w:val="00584313"/>
    <w:rsid w:val="005A2EB8"/>
    <w:rsid w:val="005B6107"/>
    <w:rsid w:val="005D1A36"/>
    <w:rsid w:val="005F20ED"/>
    <w:rsid w:val="00606368"/>
    <w:rsid w:val="0063557D"/>
    <w:rsid w:val="00637DB9"/>
    <w:rsid w:val="00656301"/>
    <w:rsid w:val="0069174C"/>
    <w:rsid w:val="00696BF6"/>
    <w:rsid w:val="006B2680"/>
    <w:rsid w:val="006B4B3F"/>
    <w:rsid w:val="006C2108"/>
    <w:rsid w:val="006D0910"/>
    <w:rsid w:val="006F219C"/>
    <w:rsid w:val="00720C48"/>
    <w:rsid w:val="00732EFC"/>
    <w:rsid w:val="007428E7"/>
    <w:rsid w:val="00747481"/>
    <w:rsid w:val="00765153"/>
    <w:rsid w:val="00787D9C"/>
    <w:rsid w:val="007B0ECB"/>
    <w:rsid w:val="007C2914"/>
    <w:rsid w:val="007C4213"/>
    <w:rsid w:val="007E362D"/>
    <w:rsid w:val="00853E72"/>
    <w:rsid w:val="00854E28"/>
    <w:rsid w:val="00855A92"/>
    <w:rsid w:val="008836D8"/>
    <w:rsid w:val="00885A35"/>
    <w:rsid w:val="00890350"/>
    <w:rsid w:val="008A5C70"/>
    <w:rsid w:val="008D3386"/>
    <w:rsid w:val="008D5A79"/>
    <w:rsid w:val="009579F7"/>
    <w:rsid w:val="009636A6"/>
    <w:rsid w:val="009B1679"/>
    <w:rsid w:val="009B491E"/>
    <w:rsid w:val="009C37CC"/>
    <w:rsid w:val="009C70C0"/>
    <w:rsid w:val="009C7FC7"/>
    <w:rsid w:val="009D0269"/>
    <w:rsid w:val="009E19BF"/>
    <w:rsid w:val="009E4059"/>
    <w:rsid w:val="009F0EF8"/>
    <w:rsid w:val="00A15945"/>
    <w:rsid w:val="00A42EF5"/>
    <w:rsid w:val="00A54DE5"/>
    <w:rsid w:val="00A9474C"/>
    <w:rsid w:val="00AA1665"/>
    <w:rsid w:val="00AA5399"/>
    <w:rsid w:val="00AC4CCE"/>
    <w:rsid w:val="00AD65CC"/>
    <w:rsid w:val="00AD7837"/>
    <w:rsid w:val="00B93F34"/>
    <w:rsid w:val="00B97F97"/>
    <w:rsid w:val="00BA09A3"/>
    <w:rsid w:val="00BA2FCA"/>
    <w:rsid w:val="00BD0880"/>
    <w:rsid w:val="00BE32F2"/>
    <w:rsid w:val="00BE71CC"/>
    <w:rsid w:val="00C0211F"/>
    <w:rsid w:val="00C35CC5"/>
    <w:rsid w:val="00C61EBB"/>
    <w:rsid w:val="00C63E8C"/>
    <w:rsid w:val="00C72DFC"/>
    <w:rsid w:val="00C90A2A"/>
    <w:rsid w:val="00C92FBF"/>
    <w:rsid w:val="00CA7D8A"/>
    <w:rsid w:val="00CA7E27"/>
    <w:rsid w:val="00CC515F"/>
    <w:rsid w:val="00CD0D98"/>
    <w:rsid w:val="00CD2734"/>
    <w:rsid w:val="00D11073"/>
    <w:rsid w:val="00D24673"/>
    <w:rsid w:val="00D34DA7"/>
    <w:rsid w:val="00D4588A"/>
    <w:rsid w:val="00D46827"/>
    <w:rsid w:val="00D62EF1"/>
    <w:rsid w:val="00D82284"/>
    <w:rsid w:val="00D86F30"/>
    <w:rsid w:val="00D925C9"/>
    <w:rsid w:val="00D92FDC"/>
    <w:rsid w:val="00D9552D"/>
    <w:rsid w:val="00DE4310"/>
    <w:rsid w:val="00DF5CB6"/>
    <w:rsid w:val="00E27C22"/>
    <w:rsid w:val="00E36A7E"/>
    <w:rsid w:val="00E449A1"/>
    <w:rsid w:val="00E61062"/>
    <w:rsid w:val="00E9738E"/>
    <w:rsid w:val="00EC25F4"/>
    <w:rsid w:val="00EC7688"/>
    <w:rsid w:val="00EC7E05"/>
    <w:rsid w:val="00ED5BE1"/>
    <w:rsid w:val="00EE492B"/>
    <w:rsid w:val="00F05158"/>
    <w:rsid w:val="00F450B0"/>
    <w:rsid w:val="00F50EED"/>
    <w:rsid w:val="00F93ADC"/>
    <w:rsid w:val="00F948C9"/>
    <w:rsid w:val="00FD7F19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A676B6"/>
  <w15:docId w15:val="{EACEFF7A-9A61-41BD-B912-450AD6234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827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D46827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46827"/>
    <w:rPr>
      <w:sz w:val="36"/>
      <w:szCs w:val="52"/>
    </w:rPr>
  </w:style>
  <w:style w:type="paragraph" w:customStyle="1" w:styleId="Cover3-Haknesset">
    <w:name w:val="Cover 3-Haknesset"/>
    <w:basedOn w:val="Cover1-Reshumot"/>
    <w:rsid w:val="00D46827"/>
    <w:rPr>
      <w:b/>
      <w:bCs/>
      <w:spacing w:val="60"/>
    </w:rPr>
  </w:style>
  <w:style w:type="paragraph" w:customStyle="1" w:styleId="Cover4-Date">
    <w:name w:val="Cover 4-Date"/>
    <w:basedOn w:val="a"/>
    <w:rsid w:val="00D46827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5">
    <w:name w:val="endnote reference"/>
    <w:basedOn w:val="a0"/>
    <w:semiHidden/>
    <w:rsid w:val="00D46827"/>
    <w:rPr>
      <w:vertAlign w:val="superscript"/>
    </w:rPr>
  </w:style>
  <w:style w:type="paragraph" w:customStyle="1" w:styleId="Ragil">
    <w:name w:val="Ragil"/>
    <w:basedOn w:val="a"/>
    <w:rsid w:val="00D46827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6">
    <w:name w:val="endnote text"/>
    <w:basedOn w:val="a"/>
    <w:semiHidden/>
    <w:rsid w:val="00D4682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D46827"/>
    <w:pPr>
      <w:tabs>
        <w:tab w:val="center" w:pos="4153"/>
        <w:tab w:val="right" w:pos="8306"/>
      </w:tabs>
    </w:pPr>
  </w:style>
  <w:style w:type="character" w:styleId="a8">
    <w:name w:val="footnote reference"/>
    <w:aliases w:val="Footnote Reference"/>
    <w:basedOn w:val="a0"/>
    <w:semiHidden/>
    <w:rsid w:val="00D46827"/>
    <w:rPr>
      <w:vertAlign w:val="superscript"/>
    </w:rPr>
  </w:style>
  <w:style w:type="paragraph" w:styleId="a9">
    <w:name w:val="footnote text"/>
    <w:basedOn w:val="a"/>
    <w:link w:val="aa"/>
    <w:autoRedefine/>
    <w:semiHidden/>
    <w:rsid w:val="00D46827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paragraph" w:customStyle="1" w:styleId="HeadDivreiHesber">
    <w:name w:val="Head DivreiHesber"/>
    <w:basedOn w:val="a"/>
    <w:rsid w:val="00D46827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">
    <w:name w:val="Head HatzaotHok"/>
    <w:basedOn w:val="a"/>
    <w:rsid w:val="00D46827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D4682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D46827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b">
    <w:name w:val="header"/>
    <w:basedOn w:val="a"/>
    <w:link w:val="ac"/>
    <w:rsid w:val="00D4682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a"/>
    <w:rsid w:val="00D46827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D4682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D46827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4682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D46827"/>
  </w:style>
  <w:style w:type="paragraph" w:customStyle="1" w:styleId="TableText">
    <w:name w:val="Table Text"/>
    <w:basedOn w:val="a"/>
    <w:rsid w:val="00D4682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D46827"/>
    <w:pPr>
      <w:ind w:right="0"/>
      <w:jc w:val="both"/>
    </w:pPr>
  </w:style>
  <w:style w:type="paragraph" w:customStyle="1" w:styleId="TableBlockOutdent">
    <w:name w:val="Table BlockOutdent"/>
    <w:basedOn w:val="TableBlock"/>
    <w:rsid w:val="00D4682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D4682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D46827"/>
  </w:style>
  <w:style w:type="paragraph" w:customStyle="1" w:styleId="TableInnerSideHeading">
    <w:name w:val="Table InnerSideHeading"/>
    <w:basedOn w:val="TableSideHeading"/>
    <w:rsid w:val="00D4682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rsid w:val="00B93F3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f4">
    <w:name w:val="Strong"/>
    <w:basedOn w:val="a0"/>
    <w:uiPriority w:val="22"/>
    <w:qFormat/>
    <w:rsid w:val="00EC25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14" Type="http://schemas.openxmlformats.org/officeDocument/2006/relationships/footer" Target="foot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F4128B-C9E9-48EE-BE9C-24EF64930E01}"/>
</file>

<file path=customXml/itemProps2.xml><?xml version="1.0" encoding="utf-8"?>
<ds:datastoreItem xmlns:ds="http://schemas.openxmlformats.org/officeDocument/2006/customXml" ds:itemID="{72B21CBF-A1B2-45BD-915F-075498360E06}"/>
</file>

<file path=customXml/itemProps3.xml><?xml version="1.0" encoding="utf-8"?>
<ds:datastoreItem xmlns:ds="http://schemas.openxmlformats.org/officeDocument/2006/customXml" ds:itemID="{13041D52-23FC-4DB1-B710-B1087D71DA26}"/>
</file>

<file path=customXml/itemProps4.xml><?xml version="1.0" encoding="utf-8"?>
<ds:datastoreItem xmlns:ds="http://schemas.openxmlformats.org/officeDocument/2006/customXml" ds:itemID="{3818864E-D6D0-4356-9A3C-32E04F499A6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DCCB61E-2694-48FC-9CF7-3D1E9EC10308}"/>
</file>

<file path=customXml/itemProps6.xml><?xml version="1.0" encoding="utf-8"?>
<ds:datastoreItem xmlns:ds="http://schemas.openxmlformats.org/officeDocument/2006/customXml" ds:itemID="{6FDEA2B0-3A3D-4C0A-8211-0F245A5F98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2082</Characters>
  <Application>Microsoft Office Word</Application>
  <DocSecurity>0</DocSecurity>
  <Lines>17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2494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ניצן רוזנברג</cp:lastModifiedBy>
  <cp:revision>2</cp:revision>
  <cp:lastPrinted>2015-02-24T08:03:00Z</cp:lastPrinted>
  <dcterms:created xsi:type="dcterms:W3CDTF">2016-07-20T08:56:00Z</dcterms:created>
  <dcterms:modified xsi:type="dcterms:W3CDTF">2016-07-20T08:56:00Z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edb60f57-b108-4760-a4f9-f147b21b4393</vt:lpwstr>
  </property>
  <property fmtid="{D5CDD505-2E9C-101B-9397-08002B2CF9AE}" pid="88" name="_docset_NoMedatataSyncRequired">
    <vt:lpwstr>False</vt:lpwstr>
  </property>
  <property fmtid="{D5CDD505-2E9C-101B-9397-08002B2CF9AE}" pid="89" name="SanhedrinDocumentType">
    <vt:r8>88</vt:r8>
  </property>
  <property fmtid="{D5CDD505-2E9C-101B-9397-08002B2CF9AE}" pid="90" name="SanhedrinItemID">
    <vt:r8>2006161</vt:r8>
  </property>
</Properties>
</file>