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533A" w:rsidRPr="00A07C19" w:rsidRDefault="00D0533A" w:rsidP="00546C73">
      <w:pPr>
        <w:spacing w:after="0" w:line="240" w:lineRule="auto"/>
        <w:jc w:val="both"/>
        <w:rPr>
          <w:rFonts w:cs="David"/>
          <w:sz w:val="24"/>
          <w:szCs w:val="24"/>
          <w:rtl/>
        </w:rPr>
      </w:pPr>
      <w:bookmarkStart w:id="0" w:name="_GoBack"/>
      <w:bookmarkEnd w:id="0"/>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00C76BF5">
        <w:rPr>
          <w:rFonts w:cs="David" w:hint="cs"/>
          <w:sz w:val="24"/>
          <w:szCs w:val="24"/>
          <w:rtl/>
        </w:rPr>
        <w:t>כ</w:t>
      </w:r>
      <w:r w:rsidR="00546C73">
        <w:rPr>
          <w:rFonts w:cs="David" w:hint="cs"/>
          <w:sz w:val="24"/>
          <w:szCs w:val="24"/>
          <w:rtl/>
        </w:rPr>
        <w:t>ז</w:t>
      </w:r>
      <w:r w:rsidRPr="00A07C19">
        <w:rPr>
          <w:rFonts w:cs="David" w:hint="cs"/>
          <w:sz w:val="24"/>
          <w:szCs w:val="24"/>
          <w:rtl/>
        </w:rPr>
        <w:t xml:space="preserve">' </w:t>
      </w:r>
      <w:r w:rsidR="00204BC7" w:rsidRPr="00A07C19">
        <w:rPr>
          <w:rFonts w:cs="David" w:hint="cs"/>
          <w:sz w:val="24"/>
          <w:szCs w:val="24"/>
          <w:rtl/>
        </w:rPr>
        <w:t>באייר</w:t>
      </w:r>
      <w:r w:rsidRPr="00A07C19">
        <w:rPr>
          <w:rFonts w:cs="David" w:hint="cs"/>
          <w:sz w:val="24"/>
          <w:szCs w:val="24"/>
          <w:rtl/>
        </w:rPr>
        <w:t xml:space="preserve"> </w:t>
      </w:r>
      <w:proofErr w:type="spellStart"/>
      <w:r w:rsidR="00204BC7" w:rsidRPr="00A07C19">
        <w:rPr>
          <w:rFonts w:cs="David" w:hint="cs"/>
          <w:sz w:val="24"/>
          <w:szCs w:val="24"/>
          <w:rtl/>
        </w:rPr>
        <w:t>ה</w:t>
      </w:r>
      <w:r w:rsidRPr="00A07C19">
        <w:rPr>
          <w:rFonts w:cs="David" w:hint="cs"/>
          <w:sz w:val="24"/>
          <w:szCs w:val="24"/>
          <w:rtl/>
        </w:rPr>
        <w:t>תשע"ו</w:t>
      </w:r>
      <w:proofErr w:type="spellEnd"/>
    </w:p>
    <w:p w:rsidR="00D0533A" w:rsidRPr="00A07C19" w:rsidRDefault="00D0533A" w:rsidP="00546C73">
      <w:pPr>
        <w:spacing w:after="0" w:line="240" w:lineRule="auto"/>
        <w:jc w:val="both"/>
        <w:rPr>
          <w:rFonts w:cs="David"/>
          <w:sz w:val="24"/>
          <w:szCs w:val="24"/>
          <w:rtl/>
        </w:rPr>
      </w:pP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00546C73">
        <w:rPr>
          <w:rFonts w:cs="David" w:hint="cs"/>
          <w:sz w:val="24"/>
          <w:szCs w:val="24"/>
          <w:rtl/>
        </w:rPr>
        <w:t>3      ביולי</w:t>
      </w:r>
      <w:r w:rsidR="00C76BF5">
        <w:rPr>
          <w:rFonts w:cs="David" w:hint="cs"/>
          <w:sz w:val="24"/>
          <w:szCs w:val="24"/>
          <w:rtl/>
        </w:rPr>
        <w:t xml:space="preserve">  </w:t>
      </w:r>
      <w:r w:rsidRPr="00A07C19">
        <w:rPr>
          <w:rFonts w:cs="David" w:hint="cs"/>
          <w:sz w:val="24"/>
          <w:szCs w:val="24"/>
          <w:rtl/>
        </w:rPr>
        <w:t xml:space="preserve"> 2016</w:t>
      </w:r>
    </w:p>
    <w:p w:rsidR="00D0533A" w:rsidRPr="00A07C19" w:rsidRDefault="00D0533A" w:rsidP="00D0533A">
      <w:pPr>
        <w:spacing w:after="0" w:line="240" w:lineRule="auto"/>
        <w:jc w:val="both"/>
        <w:rPr>
          <w:rFonts w:cs="David"/>
          <w:sz w:val="24"/>
          <w:szCs w:val="24"/>
          <w:rtl/>
        </w:rPr>
      </w:pPr>
      <w:r w:rsidRPr="00A07C19">
        <w:rPr>
          <w:rFonts w:cs="David" w:hint="cs"/>
          <w:sz w:val="24"/>
          <w:szCs w:val="24"/>
          <w:rtl/>
        </w:rPr>
        <w:t>אל: ועדת החוקה חוק ומשפט</w:t>
      </w:r>
    </w:p>
    <w:p w:rsidR="00D0533A" w:rsidRPr="00A07C19" w:rsidRDefault="00D0533A" w:rsidP="00D0533A">
      <w:pPr>
        <w:spacing w:after="0" w:line="240" w:lineRule="auto"/>
        <w:jc w:val="both"/>
        <w:rPr>
          <w:rFonts w:cs="David"/>
          <w:sz w:val="24"/>
          <w:szCs w:val="24"/>
          <w:rtl/>
        </w:rPr>
      </w:pPr>
      <w:r w:rsidRPr="00A07C19">
        <w:rPr>
          <w:rFonts w:cs="David" w:hint="cs"/>
          <w:sz w:val="24"/>
          <w:szCs w:val="24"/>
          <w:rtl/>
        </w:rPr>
        <w:t>מאת: הייעוץ המשפטי לוועדה</w:t>
      </w:r>
    </w:p>
    <w:p w:rsidR="00D0533A" w:rsidRPr="00A07C19" w:rsidRDefault="00D0533A" w:rsidP="00D0533A">
      <w:pPr>
        <w:spacing w:after="0" w:line="240" w:lineRule="auto"/>
        <w:jc w:val="both"/>
        <w:rPr>
          <w:rFonts w:cs="David"/>
          <w:sz w:val="24"/>
          <w:szCs w:val="24"/>
          <w:rtl/>
        </w:rPr>
      </w:pPr>
    </w:p>
    <w:p w:rsidR="00D0533A" w:rsidRPr="00A07C19" w:rsidRDefault="00D0533A" w:rsidP="00D0533A">
      <w:pPr>
        <w:spacing w:before="240" w:after="0" w:line="360" w:lineRule="auto"/>
        <w:jc w:val="center"/>
        <w:rPr>
          <w:rFonts w:cs="David"/>
          <w:b/>
          <w:bCs/>
          <w:sz w:val="24"/>
          <w:szCs w:val="24"/>
          <w:u w:val="single"/>
          <w:rtl/>
        </w:rPr>
      </w:pPr>
    </w:p>
    <w:p w:rsidR="00D0533A" w:rsidRPr="00A07C19" w:rsidRDefault="00D0533A" w:rsidP="00073771">
      <w:pPr>
        <w:spacing w:before="120" w:after="0" w:line="360" w:lineRule="auto"/>
        <w:jc w:val="center"/>
        <w:rPr>
          <w:rFonts w:cs="David"/>
          <w:b/>
          <w:bCs/>
          <w:sz w:val="24"/>
          <w:szCs w:val="24"/>
          <w:u w:val="single"/>
          <w:rtl/>
        </w:rPr>
      </w:pPr>
      <w:r w:rsidRPr="00A07C19">
        <w:rPr>
          <w:rFonts w:cs="David" w:hint="cs"/>
          <w:b/>
          <w:bCs/>
          <w:sz w:val="24"/>
          <w:szCs w:val="24"/>
          <w:u w:val="single"/>
          <w:rtl/>
        </w:rPr>
        <w:t xml:space="preserve">מסמך רקע לקראת דיון </w:t>
      </w:r>
      <w:r w:rsidR="0094641D" w:rsidRPr="00A07C19">
        <w:rPr>
          <w:rFonts w:cs="David" w:hint="cs"/>
          <w:b/>
          <w:bCs/>
          <w:sz w:val="24"/>
          <w:szCs w:val="24"/>
          <w:u w:val="single"/>
          <w:rtl/>
        </w:rPr>
        <w:t xml:space="preserve">הוועדה </w:t>
      </w:r>
      <w:r w:rsidRPr="00A07C19">
        <w:rPr>
          <w:rFonts w:cs="David" w:hint="cs"/>
          <w:b/>
          <w:bCs/>
          <w:sz w:val="24"/>
          <w:szCs w:val="24"/>
          <w:u w:val="single"/>
          <w:rtl/>
        </w:rPr>
        <w:t xml:space="preserve">ביום  </w:t>
      </w:r>
      <w:r w:rsidR="00073771" w:rsidRPr="00A07C19">
        <w:rPr>
          <w:rFonts w:cs="David" w:hint="cs"/>
          <w:b/>
          <w:bCs/>
          <w:sz w:val="24"/>
          <w:szCs w:val="24"/>
          <w:u w:val="single"/>
          <w:rtl/>
        </w:rPr>
        <w:t>5.7.16</w:t>
      </w:r>
      <w:r w:rsidRPr="00A07C19">
        <w:rPr>
          <w:rFonts w:cs="David" w:hint="cs"/>
          <w:b/>
          <w:bCs/>
          <w:sz w:val="24"/>
          <w:szCs w:val="24"/>
          <w:u w:val="single"/>
          <w:rtl/>
        </w:rPr>
        <w:t xml:space="preserve"> בנושא הצעת חוק הנוער (שפיטה, ענישה ודרכי טיפול)(דרכי ענישה- הוראת שעה), </w:t>
      </w:r>
      <w:proofErr w:type="spellStart"/>
      <w:r w:rsidRPr="00A07C19">
        <w:rPr>
          <w:rFonts w:cs="David" w:hint="cs"/>
          <w:b/>
          <w:bCs/>
          <w:sz w:val="24"/>
          <w:szCs w:val="24"/>
          <w:u w:val="single"/>
          <w:rtl/>
        </w:rPr>
        <w:t>התשע"ו</w:t>
      </w:r>
      <w:proofErr w:type="spellEnd"/>
      <w:r w:rsidRPr="00A07C19">
        <w:rPr>
          <w:rFonts w:cs="David" w:hint="cs"/>
          <w:b/>
          <w:bCs/>
          <w:sz w:val="24"/>
          <w:szCs w:val="24"/>
          <w:u w:val="single"/>
          <w:rtl/>
        </w:rPr>
        <w:t>–2016</w:t>
      </w:r>
    </w:p>
    <w:p w:rsidR="006C6A50" w:rsidRPr="00A07C19" w:rsidRDefault="006C6A50" w:rsidP="00073771">
      <w:pPr>
        <w:spacing w:before="120" w:after="0" w:line="360" w:lineRule="auto"/>
        <w:jc w:val="center"/>
        <w:rPr>
          <w:rFonts w:cs="David"/>
          <w:sz w:val="24"/>
          <w:szCs w:val="24"/>
          <w:u w:val="single"/>
          <w:rtl/>
        </w:rPr>
      </w:pPr>
      <w:r w:rsidRPr="00A07C19">
        <w:rPr>
          <w:rFonts w:cs="David" w:hint="cs"/>
          <w:b/>
          <w:bCs/>
          <w:sz w:val="24"/>
          <w:szCs w:val="24"/>
          <w:u w:val="single"/>
          <w:rtl/>
        </w:rPr>
        <w:t xml:space="preserve">ובהצעת </w:t>
      </w:r>
      <w:bookmarkStart w:id="1" w:name="LGS_Subject"/>
      <w:r w:rsidRPr="00A07C19">
        <w:rPr>
          <w:rFonts w:cs="David"/>
          <w:b/>
          <w:bCs/>
          <w:sz w:val="24"/>
          <w:szCs w:val="24"/>
          <w:u w:val="single"/>
          <w:rtl/>
        </w:rPr>
        <w:t xml:space="preserve">חוק הנוער (שפיטה, ענישה ודרכי טיפול) (תיקון – קטין שביצע מעשה טרור), </w:t>
      </w:r>
      <w:proofErr w:type="spellStart"/>
      <w:r w:rsidRPr="00A07C19">
        <w:rPr>
          <w:rFonts w:cs="David"/>
          <w:b/>
          <w:bCs/>
          <w:sz w:val="24"/>
          <w:szCs w:val="24"/>
          <w:u w:val="single"/>
          <w:rtl/>
        </w:rPr>
        <w:t>התשע"ו</w:t>
      </w:r>
      <w:proofErr w:type="spellEnd"/>
      <w:r w:rsidRPr="00A07C19">
        <w:rPr>
          <w:rFonts w:cs="David"/>
          <w:b/>
          <w:bCs/>
          <w:sz w:val="24"/>
          <w:szCs w:val="24"/>
          <w:u w:val="single"/>
          <w:rtl/>
        </w:rPr>
        <w:t>–2015</w:t>
      </w:r>
      <w:bookmarkEnd w:id="1"/>
      <w:r w:rsidRPr="00A07C19">
        <w:rPr>
          <w:rFonts w:cs="David" w:hint="cs"/>
          <w:b/>
          <w:bCs/>
          <w:sz w:val="24"/>
          <w:szCs w:val="24"/>
          <w:u w:val="single"/>
          <w:rtl/>
        </w:rPr>
        <w:t xml:space="preserve"> (פ 2207/20) של חה"כ ענת ברקו </w:t>
      </w:r>
    </w:p>
    <w:p w:rsidR="00F967D3" w:rsidRDefault="00F967D3" w:rsidP="00F956BF">
      <w:pPr>
        <w:spacing w:before="240" w:after="0" w:line="360" w:lineRule="auto"/>
        <w:jc w:val="both"/>
        <w:rPr>
          <w:rFonts w:cs="David"/>
          <w:sz w:val="24"/>
          <w:szCs w:val="24"/>
          <w:rtl/>
        </w:rPr>
      </w:pPr>
      <w:r w:rsidRPr="007B16FE">
        <w:rPr>
          <w:rFonts w:cs="David" w:hint="cs"/>
          <w:sz w:val="24"/>
          <w:szCs w:val="24"/>
          <w:rtl/>
        </w:rPr>
        <w:t xml:space="preserve">הצעת החוק </w:t>
      </w:r>
      <w:r w:rsidR="00C6530C" w:rsidRPr="007B16FE">
        <w:rPr>
          <w:rFonts w:cs="David" w:hint="cs"/>
          <w:sz w:val="24"/>
          <w:szCs w:val="24"/>
          <w:rtl/>
        </w:rPr>
        <w:t xml:space="preserve">ממשלתית </w:t>
      </w:r>
      <w:r w:rsidRPr="007B16FE">
        <w:rPr>
          <w:rFonts w:cs="David" w:hint="cs"/>
          <w:sz w:val="24"/>
          <w:szCs w:val="24"/>
          <w:rtl/>
        </w:rPr>
        <w:t xml:space="preserve">זו נועדה </w:t>
      </w:r>
      <w:r w:rsidR="00E55852">
        <w:rPr>
          <w:rFonts w:cs="David" w:hint="cs"/>
          <w:sz w:val="24"/>
          <w:szCs w:val="24"/>
          <w:rtl/>
        </w:rPr>
        <w:t xml:space="preserve">להסמיך </w:t>
      </w:r>
      <w:r w:rsidR="00F15F11">
        <w:rPr>
          <w:rFonts w:cs="David" w:hint="cs"/>
          <w:sz w:val="24"/>
          <w:szCs w:val="24"/>
          <w:rtl/>
        </w:rPr>
        <w:t xml:space="preserve">(בהוראת שעה) </w:t>
      </w:r>
      <w:r w:rsidR="00E55852">
        <w:rPr>
          <w:rFonts w:cs="David" w:hint="cs"/>
          <w:sz w:val="24"/>
          <w:szCs w:val="24"/>
          <w:rtl/>
        </w:rPr>
        <w:t>את בית המשפט להטיל</w:t>
      </w:r>
      <w:r w:rsidRPr="007B16FE">
        <w:rPr>
          <w:rFonts w:cs="David" w:hint="cs"/>
          <w:sz w:val="24"/>
          <w:szCs w:val="24"/>
          <w:rtl/>
        </w:rPr>
        <w:t xml:space="preserve"> עונש </w:t>
      </w:r>
      <w:r w:rsidR="00B43FC3" w:rsidRPr="007B16FE">
        <w:rPr>
          <w:rFonts w:cs="David" w:hint="cs"/>
          <w:sz w:val="24"/>
          <w:szCs w:val="24"/>
          <w:rtl/>
        </w:rPr>
        <w:t xml:space="preserve">מאסר על קטין </w:t>
      </w:r>
      <w:r w:rsidR="00C6530C" w:rsidRPr="007B16FE">
        <w:rPr>
          <w:rFonts w:cs="David" w:hint="cs"/>
          <w:sz w:val="24"/>
          <w:szCs w:val="24"/>
          <w:rtl/>
        </w:rPr>
        <w:t xml:space="preserve">בטרם הגיעו לגיל 14 </w:t>
      </w:r>
      <w:r w:rsidR="00B43FC3" w:rsidRPr="007B16FE">
        <w:rPr>
          <w:rFonts w:cs="David" w:hint="cs"/>
          <w:sz w:val="24"/>
          <w:szCs w:val="24"/>
          <w:rtl/>
        </w:rPr>
        <w:t xml:space="preserve">בגין </w:t>
      </w:r>
      <w:r w:rsidR="00C6530C" w:rsidRPr="007B16FE">
        <w:rPr>
          <w:rFonts w:cs="David" w:hint="cs"/>
          <w:sz w:val="24"/>
          <w:szCs w:val="24"/>
          <w:rtl/>
        </w:rPr>
        <w:t xml:space="preserve">ביצוע </w:t>
      </w:r>
      <w:r w:rsidR="00B43FC3" w:rsidRPr="007B16FE">
        <w:rPr>
          <w:rFonts w:cs="David" w:hint="cs"/>
          <w:sz w:val="24"/>
          <w:szCs w:val="24"/>
          <w:rtl/>
        </w:rPr>
        <w:t xml:space="preserve">עבירת המתה. </w:t>
      </w:r>
      <w:r w:rsidR="00731899" w:rsidRPr="007B16FE">
        <w:rPr>
          <w:rFonts w:cs="David" w:hint="cs"/>
          <w:sz w:val="24"/>
          <w:szCs w:val="24"/>
          <w:rtl/>
        </w:rPr>
        <w:t>מוצע כי בית המשפט יהיה רשאי לצוות שקטין שטרם מלאו לו 14 שנים ביום מתן גזר הדין</w:t>
      </w:r>
      <w:r w:rsidR="007B16FE" w:rsidRPr="007B16FE">
        <w:rPr>
          <w:rFonts w:cs="David" w:hint="cs"/>
          <w:sz w:val="24"/>
          <w:szCs w:val="24"/>
          <w:rtl/>
        </w:rPr>
        <w:t>,</w:t>
      </w:r>
      <w:r w:rsidR="00731899" w:rsidRPr="007B16FE">
        <w:rPr>
          <w:rFonts w:cs="David" w:hint="cs"/>
          <w:sz w:val="24"/>
          <w:szCs w:val="24"/>
          <w:rtl/>
        </w:rPr>
        <w:t xml:space="preserve"> יוחזק  במעון נעול לפרק הזמן שיקבע, וכי המשך נשיאת עונשו תרוצה במאסר בשלב מאוחר יותר, ובלבד שבעת העברתו למאסר ימלאו לקטין 14 שנים לפחות. </w:t>
      </w:r>
      <w:r w:rsidR="00B43FC3" w:rsidRPr="007B16FE">
        <w:rPr>
          <w:rFonts w:cs="David" w:hint="cs"/>
          <w:sz w:val="24"/>
          <w:szCs w:val="24"/>
          <w:rtl/>
        </w:rPr>
        <w:t>לפי דברי ההסבר,</w:t>
      </w:r>
      <w:r w:rsidR="002A41CF" w:rsidRPr="007B16FE">
        <w:rPr>
          <w:rFonts w:cs="David" w:hint="cs"/>
          <w:sz w:val="24"/>
          <w:szCs w:val="24"/>
          <w:rtl/>
        </w:rPr>
        <w:t xml:space="preserve"> מטרת ההצעה</w:t>
      </w:r>
      <w:r w:rsidR="00B43FC3" w:rsidRPr="007B16FE">
        <w:rPr>
          <w:rFonts w:cs="David" w:hint="cs"/>
          <w:sz w:val="24"/>
          <w:szCs w:val="24"/>
          <w:rtl/>
        </w:rPr>
        <w:t xml:space="preserve"> היא </w:t>
      </w:r>
      <w:r w:rsidR="00C6530C" w:rsidRPr="007B16FE">
        <w:rPr>
          <w:rFonts w:cs="David" w:hint="cs"/>
          <w:sz w:val="24"/>
          <w:szCs w:val="24"/>
          <w:rtl/>
        </w:rPr>
        <w:t xml:space="preserve">לתת ביטוי לשיקולי גמול והרתעה באותם מקרים חמורים. נוכח </w:t>
      </w:r>
      <w:r w:rsidR="00C66A88" w:rsidRPr="007B16FE">
        <w:rPr>
          <w:rFonts w:cs="David" w:hint="cs"/>
          <w:sz w:val="24"/>
          <w:szCs w:val="24"/>
          <w:rtl/>
        </w:rPr>
        <w:t>הכרסום ב</w:t>
      </w:r>
      <w:r w:rsidR="002A41CF" w:rsidRPr="007B16FE">
        <w:rPr>
          <w:rFonts w:cs="David" w:hint="cs"/>
          <w:sz w:val="24"/>
          <w:szCs w:val="24"/>
          <w:rtl/>
        </w:rPr>
        <w:t>עקרונות חוק הנוער</w:t>
      </w:r>
      <w:r w:rsidR="002D5DB2" w:rsidRPr="007B16FE">
        <w:rPr>
          <w:rFonts w:cs="David" w:hint="cs"/>
          <w:sz w:val="24"/>
          <w:szCs w:val="24"/>
          <w:rtl/>
        </w:rPr>
        <w:t xml:space="preserve"> (שפיטה, ענישה ודרכי טיפול), </w:t>
      </w:r>
      <w:proofErr w:type="spellStart"/>
      <w:r w:rsidR="002D5DB2" w:rsidRPr="007B16FE">
        <w:rPr>
          <w:rFonts w:cs="David" w:hint="cs"/>
          <w:sz w:val="24"/>
          <w:szCs w:val="24"/>
          <w:rtl/>
        </w:rPr>
        <w:t>התשל"א</w:t>
      </w:r>
      <w:proofErr w:type="spellEnd"/>
      <w:r w:rsidR="002D5DB2" w:rsidRPr="007B16FE">
        <w:rPr>
          <w:rFonts w:cs="David" w:hint="cs"/>
          <w:sz w:val="24"/>
          <w:szCs w:val="24"/>
          <w:rtl/>
        </w:rPr>
        <w:t>–1971</w:t>
      </w:r>
      <w:r w:rsidR="002A41CF" w:rsidRPr="007B16FE">
        <w:rPr>
          <w:rFonts w:cs="David" w:hint="cs"/>
          <w:sz w:val="24"/>
          <w:szCs w:val="24"/>
          <w:rtl/>
        </w:rPr>
        <w:t xml:space="preserve">, מוצע </w:t>
      </w:r>
      <w:r w:rsidR="00F956BF">
        <w:rPr>
          <w:rFonts w:cs="David" w:hint="cs"/>
          <w:sz w:val="24"/>
          <w:szCs w:val="24"/>
          <w:rtl/>
        </w:rPr>
        <w:t xml:space="preserve">שהוועדה תשמע הסברים על ההצדקה </w:t>
      </w:r>
      <w:r w:rsidR="002D5DB2" w:rsidRPr="007B16FE">
        <w:rPr>
          <w:rFonts w:cs="David" w:hint="cs"/>
          <w:sz w:val="24"/>
          <w:szCs w:val="24"/>
          <w:rtl/>
        </w:rPr>
        <w:t>והצורך ב</w:t>
      </w:r>
      <w:r w:rsidR="002A41CF" w:rsidRPr="007B16FE">
        <w:rPr>
          <w:rFonts w:cs="David" w:hint="cs"/>
          <w:sz w:val="24"/>
          <w:szCs w:val="24"/>
          <w:rtl/>
        </w:rPr>
        <w:t>תיקון המוצע</w:t>
      </w:r>
      <w:r w:rsidR="00A0636C" w:rsidRPr="007B16FE">
        <w:rPr>
          <w:rFonts w:cs="David" w:hint="cs"/>
          <w:sz w:val="24"/>
          <w:szCs w:val="24"/>
          <w:rtl/>
        </w:rPr>
        <w:t>,</w:t>
      </w:r>
      <w:r w:rsidR="002A41CF" w:rsidRPr="007B16FE">
        <w:rPr>
          <w:rFonts w:cs="David" w:hint="cs"/>
          <w:sz w:val="24"/>
          <w:szCs w:val="24"/>
          <w:rtl/>
        </w:rPr>
        <w:t xml:space="preserve"> ו</w:t>
      </w:r>
      <w:r w:rsidR="00F956BF">
        <w:rPr>
          <w:rFonts w:cs="David" w:hint="cs"/>
          <w:sz w:val="24"/>
          <w:szCs w:val="24"/>
          <w:rtl/>
        </w:rPr>
        <w:t xml:space="preserve">תבחן </w:t>
      </w:r>
      <w:r w:rsidR="002D5DB2" w:rsidRPr="007B16FE">
        <w:rPr>
          <w:rFonts w:cs="David" w:hint="cs"/>
          <w:sz w:val="24"/>
          <w:szCs w:val="24"/>
          <w:rtl/>
        </w:rPr>
        <w:t>האם יש בו כדי לענות על מטרת ההצעה ועל הצורך החברתי ב</w:t>
      </w:r>
      <w:r w:rsidR="002A41CF" w:rsidRPr="007B16FE">
        <w:rPr>
          <w:rFonts w:cs="David" w:hint="cs"/>
          <w:sz w:val="24"/>
          <w:szCs w:val="24"/>
          <w:rtl/>
        </w:rPr>
        <w:t xml:space="preserve">מניעת </w:t>
      </w:r>
      <w:r w:rsidR="00A0636C" w:rsidRPr="007B16FE">
        <w:rPr>
          <w:rFonts w:cs="David" w:hint="cs"/>
          <w:sz w:val="24"/>
          <w:szCs w:val="24"/>
          <w:rtl/>
        </w:rPr>
        <w:t>עבריינות ו</w:t>
      </w:r>
      <w:r w:rsidR="002A41CF" w:rsidRPr="007B16FE">
        <w:rPr>
          <w:rFonts w:cs="David" w:hint="cs"/>
          <w:sz w:val="24"/>
          <w:szCs w:val="24"/>
          <w:rtl/>
        </w:rPr>
        <w:t>עבריינות חוזרת</w:t>
      </w:r>
      <w:r w:rsidR="00A0636C" w:rsidRPr="007B16FE">
        <w:rPr>
          <w:rFonts w:cs="David" w:hint="cs"/>
          <w:sz w:val="24"/>
          <w:szCs w:val="24"/>
          <w:rtl/>
        </w:rPr>
        <w:t>.</w:t>
      </w:r>
    </w:p>
    <w:p w:rsidR="00F967D3" w:rsidRDefault="00F967D3" w:rsidP="00F967D3">
      <w:pPr>
        <w:spacing w:before="240" w:after="0" w:line="360" w:lineRule="auto"/>
        <w:jc w:val="both"/>
        <w:rPr>
          <w:rFonts w:cs="David"/>
          <w:sz w:val="24"/>
          <w:szCs w:val="24"/>
          <w:rtl/>
        </w:rPr>
      </w:pPr>
      <w:r w:rsidRPr="00A07C19">
        <w:rPr>
          <w:rFonts w:cs="David" w:hint="cs"/>
          <w:b/>
          <w:bCs/>
          <w:sz w:val="24"/>
          <w:szCs w:val="24"/>
          <w:rtl/>
        </w:rPr>
        <w:t>רקע</w:t>
      </w:r>
    </w:p>
    <w:p w:rsidR="006D2C9D" w:rsidRPr="00A07C19" w:rsidRDefault="009C1034" w:rsidP="0066599B">
      <w:pPr>
        <w:spacing w:before="240" w:after="0" w:line="360" w:lineRule="auto"/>
        <w:jc w:val="both"/>
        <w:rPr>
          <w:rFonts w:cs="David"/>
          <w:sz w:val="24"/>
          <w:szCs w:val="24"/>
          <w:rtl/>
        </w:rPr>
      </w:pPr>
      <w:r w:rsidRPr="004412B0">
        <w:rPr>
          <w:rFonts w:cs="David" w:hint="cs"/>
          <w:sz w:val="24"/>
          <w:szCs w:val="24"/>
          <w:rtl/>
        </w:rPr>
        <w:t xml:space="preserve">חוק העונשין, התשל"ז-1977 (להלן </w:t>
      </w:r>
      <w:r w:rsidRPr="004412B0">
        <w:rPr>
          <w:rFonts w:cs="David"/>
          <w:sz w:val="24"/>
          <w:szCs w:val="24"/>
          <w:rtl/>
        </w:rPr>
        <w:t>–</w:t>
      </w:r>
      <w:r w:rsidRPr="004412B0">
        <w:rPr>
          <w:rFonts w:cs="David" w:hint="cs"/>
          <w:sz w:val="24"/>
          <w:szCs w:val="24"/>
          <w:rtl/>
        </w:rPr>
        <w:t xml:space="preserve"> חוק העונשין), קובע כי </w:t>
      </w:r>
      <w:r w:rsidR="004412B0" w:rsidRPr="004412B0">
        <w:rPr>
          <w:rFonts w:cs="David" w:hint="cs"/>
          <w:sz w:val="24"/>
          <w:szCs w:val="24"/>
          <w:rtl/>
        </w:rPr>
        <w:t xml:space="preserve">אדם יישא באחריות פלילית על מעשים שביצע </w:t>
      </w:r>
      <w:r w:rsidR="0066599B">
        <w:rPr>
          <w:rFonts w:cs="David" w:hint="cs"/>
          <w:sz w:val="24"/>
          <w:szCs w:val="24"/>
          <w:rtl/>
        </w:rPr>
        <w:t xml:space="preserve">מיום </w:t>
      </w:r>
      <w:r w:rsidR="004412B0" w:rsidRPr="004412B0">
        <w:rPr>
          <w:rFonts w:cs="David" w:hint="cs"/>
          <w:sz w:val="24"/>
          <w:szCs w:val="24"/>
          <w:rtl/>
        </w:rPr>
        <w:t xml:space="preserve">שמלאו לו </w:t>
      </w:r>
      <w:r w:rsidR="003F74AA" w:rsidRPr="004412B0">
        <w:rPr>
          <w:rFonts w:cs="David" w:hint="cs"/>
          <w:sz w:val="24"/>
          <w:szCs w:val="24"/>
          <w:rtl/>
        </w:rPr>
        <w:t>12</w:t>
      </w:r>
      <w:r w:rsidR="004412B0" w:rsidRPr="004412B0">
        <w:rPr>
          <w:rFonts w:cs="David" w:hint="cs"/>
          <w:sz w:val="24"/>
          <w:szCs w:val="24"/>
          <w:rtl/>
        </w:rPr>
        <w:t xml:space="preserve"> שנים</w:t>
      </w:r>
      <w:r w:rsidR="003F74AA" w:rsidRPr="004412B0">
        <w:rPr>
          <w:rFonts w:cs="David" w:hint="cs"/>
          <w:sz w:val="24"/>
          <w:szCs w:val="24"/>
          <w:rtl/>
        </w:rPr>
        <w:t xml:space="preserve">. </w:t>
      </w:r>
      <w:r w:rsidR="006D2C9D" w:rsidRPr="004412B0">
        <w:rPr>
          <w:rFonts w:cs="David" w:hint="cs"/>
          <w:sz w:val="24"/>
          <w:szCs w:val="24"/>
          <w:rtl/>
        </w:rPr>
        <w:t xml:space="preserve">חוק הנוער (שפיטה, ענישה ודרכי טיפול), </w:t>
      </w:r>
      <w:proofErr w:type="spellStart"/>
      <w:r w:rsidR="006D2C9D" w:rsidRPr="004412B0">
        <w:rPr>
          <w:rFonts w:cs="David" w:hint="cs"/>
          <w:sz w:val="24"/>
          <w:szCs w:val="24"/>
          <w:rtl/>
        </w:rPr>
        <w:t>התשל"א</w:t>
      </w:r>
      <w:proofErr w:type="spellEnd"/>
      <w:r w:rsidR="006D2C9D" w:rsidRPr="004412B0">
        <w:rPr>
          <w:rFonts w:cs="David" w:hint="cs"/>
          <w:sz w:val="24"/>
          <w:szCs w:val="24"/>
          <w:rtl/>
        </w:rPr>
        <w:t>–1971 (להלן–</w:t>
      </w:r>
      <w:r w:rsidR="006D2C9D" w:rsidRPr="00A07C19">
        <w:rPr>
          <w:rFonts w:cs="David" w:hint="cs"/>
          <w:sz w:val="24"/>
          <w:szCs w:val="24"/>
          <w:rtl/>
        </w:rPr>
        <w:t xml:space="preserve">חוק הנוער או החוק), </w:t>
      </w:r>
      <w:r w:rsidR="0031763B" w:rsidRPr="00A07C19">
        <w:rPr>
          <w:rFonts w:cs="David" w:hint="cs"/>
          <w:sz w:val="24"/>
          <w:szCs w:val="24"/>
          <w:rtl/>
        </w:rPr>
        <w:t xml:space="preserve">קובע התייחסות שונה </w:t>
      </w:r>
      <w:r w:rsidR="00E05C0B" w:rsidRPr="00A07C19">
        <w:rPr>
          <w:rFonts w:cs="David" w:hint="cs"/>
          <w:sz w:val="24"/>
          <w:szCs w:val="24"/>
          <w:rtl/>
        </w:rPr>
        <w:t xml:space="preserve">וייחודית לקטינים </w:t>
      </w:r>
      <w:r w:rsidR="007E5534" w:rsidRPr="00A07C19">
        <w:rPr>
          <w:rFonts w:cs="David" w:hint="cs"/>
          <w:sz w:val="24"/>
          <w:szCs w:val="24"/>
          <w:rtl/>
        </w:rPr>
        <w:t xml:space="preserve">עוברי חוק </w:t>
      </w:r>
      <w:r w:rsidR="00073771" w:rsidRPr="00A07C19">
        <w:rPr>
          <w:rFonts w:cs="David" w:hint="cs"/>
          <w:sz w:val="24"/>
          <w:szCs w:val="24"/>
          <w:rtl/>
        </w:rPr>
        <w:t xml:space="preserve">במהלך </w:t>
      </w:r>
      <w:r w:rsidR="00E05C0B" w:rsidRPr="00A07C19">
        <w:rPr>
          <w:rFonts w:cs="David" w:hint="cs"/>
          <w:sz w:val="24"/>
          <w:szCs w:val="24"/>
          <w:rtl/>
        </w:rPr>
        <w:t>הליכי החקירה והמשפט</w:t>
      </w:r>
      <w:r w:rsidR="00073771" w:rsidRPr="00A07C19">
        <w:rPr>
          <w:rFonts w:cs="David" w:hint="cs"/>
          <w:sz w:val="24"/>
          <w:szCs w:val="24"/>
          <w:rtl/>
        </w:rPr>
        <w:t xml:space="preserve"> נגדם</w:t>
      </w:r>
      <w:r w:rsidR="00E05C0B" w:rsidRPr="00A07C19">
        <w:rPr>
          <w:rFonts w:cs="David" w:hint="cs"/>
          <w:sz w:val="24"/>
          <w:szCs w:val="24"/>
          <w:rtl/>
        </w:rPr>
        <w:t xml:space="preserve">. </w:t>
      </w:r>
      <w:r w:rsidR="002A4B2A" w:rsidRPr="00A07C19">
        <w:rPr>
          <w:rFonts w:cs="David" w:hint="cs"/>
          <w:sz w:val="24"/>
          <w:szCs w:val="24"/>
          <w:rtl/>
        </w:rPr>
        <w:t>עקרונותיו הבסיסיים של החוק באים לידי ביטוי ב</w:t>
      </w:r>
      <w:r w:rsidR="00E05C0B" w:rsidRPr="00A07C19">
        <w:rPr>
          <w:rFonts w:cs="David" w:hint="cs"/>
          <w:sz w:val="24"/>
          <w:szCs w:val="24"/>
          <w:rtl/>
        </w:rPr>
        <w:t>סעיף 1א</w:t>
      </w:r>
      <w:r w:rsidR="007E5534" w:rsidRPr="00A07C19">
        <w:rPr>
          <w:rFonts w:cs="David" w:hint="cs"/>
          <w:sz w:val="24"/>
          <w:szCs w:val="24"/>
          <w:rtl/>
        </w:rPr>
        <w:t xml:space="preserve"> </w:t>
      </w:r>
      <w:r w:rsidR="002A4B2A" w:rsidRPr="00A07C19">
        <w:rPr>
          <w:rFonts w:cs="David" w:hint="cs"/>
          <w:sz w:val="24"/>
          <w:szCs w:val="24"/>
          <w:rtl/>
        </w:rPr>
        <w:t>הקובע כדלקמן</w:t>
      </w:r>
      <w:r w:rsidR="00E05C0B" w:rsidRPr="00A07C19">
        <w:rPr>
          <w:rFonts w:cs="David" w:hint="cs"/>
          <w:sz w:val="24"/>
          <w:szCs w:val="24"/>
          <w:rtl/>
        </w:rPr>
        <w:t>:</w:t>
      </w:r>
    </w:p>
    <w:tbl>
      <w:tblPr>
        <w:tblStyle w:val="a4"/>
        <w:bidiVisual/>
        <w:tblW w:w="0" w:type="auto"/>
        <w:tblLook w:val="04A0" w:firstRow="1" w:lastRow="0" w:firstColumn="1" w:lastColumn="0" w:noHBand="0" w:noVBand="1"/>
      </w:tblPr>
      <w:tblGrid>
        <w:gridCol w:w="8296"/>
      </w:tblGrid>
      <w:tr w:rsidR="00E05C0B" w:rsidRPr="00A07C19" w:rsidTr="00E05C0B">
        <w:tc>
          <w:tcPr>
            <w:tcW w:w="8296" w:type="dxa"/>
          </w:tcPr>
          <w:p w:rsidR="00E05C0B" w:rsidRPr="00A07C19" w:rsidRDefault="00BD6261" w:rsidP="002A4B2A">
            <w:pPr>
              <w:spacing w:before="120" w:after="0" w:line="360" w:lineRule="auto"/>
              <w:jc w:val="both"/>
              <w:rPr>
                <w:rFonts w:cs="David"/>
                <w:sz w:val="24"/>
                <w:szCs w:val="24"/>
                <w:rtl/>
              </w:rPr>
            </w:pPr>
            <w:r w:rsidRPr="00A07C19">
              <w:rPr>
                <w:rFonts w:cs="David" w:hint="cs"/>
                <w:sz w:val="24"/>
                <w:szCs w:val="24"/>
                <w:rtl/>
              </w:rPr>
              <w:t>"</w:t>
            </w:r>
            <w:r w:rsidR="00E05C0B" w:rsidRPr="00A07C19">
              <w:rPr>
                <w:rFonts w:cs="David" w:hint="cs"/>
                <w:sz w:val="24"/>
                <w:szCs w:val="24"/>
                <w:rtl/>
              </w:rPr>
              <w:t xml:space="preserve">1א. </w:t>
            </w:r>
            <w:r w:rsidR="00E05C0B" w:rsidRPr="00A07C19">
              <w:rPr>
                <w:rFonts w:cs="David" w:hint="cs"/>
                <w:b/>
                <w:bCs/>
                <w:sz w:val="24"/>
                <w:szCs w:val="24"/>
                <w:rtl/>
              </w:rPr>
              <w:t>עקרונות כלליים</w:t>
            </w:r>
          </w:p>
          <w:p w:rsidR="007E5534" w:rsidRPr="00A07C19" w:rsidRDefault="00E05C0B" w:rsidP="002A4B2A">
            <w:pPr>
              <w:pStyle w:val="a3"/>
              <w:numPr>
                <w:ilvl w:val="0"/>
                <w:numId w:val="4"/>
              </w:numPr>
              <w:spacing w:before="120" w:after="0" w:line="360" w:lineRule="auto"/>
              <w:jc w:val="both"/>
              <w:rPr>
                <w:rFonts w:cs="David"/>
                <w:sz w:val="24"/>
                <w:szCs w:val="24"/>
              </w:rPr>
            </w:pPr>
            <w:r w:rsidRPr="00A07C19">
              <w:rPr>
                <w:rFonts w:cs="David" w:hint="cs"/>
                <w:sz w:val="24"/>
                <w:szCs w:val="24"/>
                <w:rtl/>
              </w:rPr>
              <w:t>מימוש זכויות של קטין, הפעלת סמכויות ונקיטת הליכים כלפיו ייעשו תוך שמירה על כבודו של הקטין, ומתן משקל ראוי לשיקולים של שיקומו, הטיפול בו, שילובו בחברה ותקנת השבים, וכן בהתחשב בגילו ובמידת בגרותו.</w:t>
            </w:r>
          </w:p>
          <w:p w:rsidR="00E05C0B" w:rsidRPr="00A07C19" w:rsidRDefault="007E5534" w:rsidP="007E5534">
            <w:pPr>
              <w:pStyle w:val="P00"/>
              <w:numPr>
                <w:ilvl w:val="0"/>
                <w:numId w:val="4"/>
              </w:numPr>
              <w:spacing w:before="72"/>
              <w:ind w:right="1134"/>
              <w:rPr>
                <w:rFonts w:cs="David"/>
                <w:sz w:val="24"/>
                <w:szCs w:val="24"/>
              </w:rPr>
            </w:pPr>
            <w:r w:rsidRPr="00A07C19">
              <w:rPr>
                <w:rFonts w:asciiTheme="minorHAnsi" w:eastAsiaTheme="minorHAnsi" w:hAnsiTheme="minorHAnsi" w:cs="David" w:hint="cs"/>
                <w:noProof w:val="0"/>
                <w:sz w:val="24"/>
                <w:szCs w:val="24"/>
                <w:rtl/>
                <w:lang w:eastAsia="en-US"/>
              </w:rPr>
              <w:t>חוק זה בא להוסיף על זכויות הנתונות לקטין לפי כל דין, ולא לגרוע מהן.</w:t>
            </w:r>
            <w:r w:rsidR="00BD6261" w:rsidRPr="00A07C19">
              <w:rPr>
                <w:rFonts w:cs="David" w:hint="cs"/>
                <w:sz w:val="24"/>
                <w:szCs w:val="24"/>
                <w:rtl/>
              </w:rPr>
              <w:t>"</w:t>
            </w:r>
          </w:p>
          <w:p w:rsidR="007E5534" w:rsidRPr="00A07C19" w:rsidRDefault="007E5534" w:rsidP="007E5534">
            <w:pPr>
              <w:pStyle w:val="P00"/>
              <w:spacing w:before="72"/>
              <w:ind w:left="720" w:right="1134"/>
              <w:rPr>
                <w:rFonts w:cs="David"/>
                <w:sz w:val="24"/>
                <w:szCs w:val="24"/>
                <w:rtl/>
              </w:rPr>
            </w:pPr>
          </w:p>
        </w:tc>
      </w:tr>
    </w:tbl>
    <w:p w:rsidR="00E05C0B" w:rsidRDefault="007F2C4D" w:rsidP="00F15F11">
      <w:pPr>
        <w:spacing w:before="240" w:after="0" w:line="360" w:lineRule="auto"/>
        <w:jc w:val="both"/>
        <w:rPr>
          <w:rFonts w:cs="David"/>
          <w:sz w:val="24"/>
          <w:szCs w:val="24"/>
          <w:rtl/>
        </w:rPr>
      </w:pPr>
      <w:r w:rsidRPr="00A07C19">
        <w:rPr>
          <w:rFonts w:cs="David" w:hint="cs"/>
          <w:sz w:val="24"/>
          <w:szCs w:val="24"/>
          <w:rtl/>
        </w:rPr>
        <w:t xml:space="preserve">לעניין הענישה, </w:t>
      </w:r>
      <w:r w:rsidR="008F7096" w:rsidRPr="00A07C19">
        <w:rPr>
          <w:rFonts w:cs="David" w:hint="cs"/>
          <w:sz w:val="24"/>
          <w:szCs w:val="24"/>
          <w:rtl/>
        </w:rPr>
        <w:t>חלות הוראות</w:t>
      </w:r>
      <w:r w:rsidR="007A5D16" w:rsidRPr="00A07C19">
        <w:rPr>
          <w:rFonts w:cs="David" w:hint="cs"/>
          <w:sz w:val="24"/>
          <w:szCs w:val="24"/>
          <w:rtl/>
        </w:rPr>
        <w:t xml:space="preserve"> </w:t>
      </w:r>
      <w:r w:rsidR="00A21A2A" w:rsidRPr="00A07C19">
        <w:rPr>
          <w:rFonts w:cs="David" w:hint="cs"/>
          <w:sz w:val="24"/>
          <w:szCs w:val="24"/>
          <w:rtl/>
        </w:rPr>
        <w:t>פרק</w:t>
      </w:r>
      <w:r w:rsidR="008F7096" w:rsidRPr="00A07C19">
        <w:rPr>
          <w:rFonts w:cs="David" w:hint="cs"/>
          <w:sz w:val="24"/>
          <w:szCs w:val="24"/>
          <w:rtl/>
        </w:rPr>
        <w:t xml:space="preserve"> ו' לחוק העונשין, התשל"ז-1977, בכפוף ל</w:t>
      </w:r>
      <w:r w:rsidR="0066599B">
        <w:rPr>
          <w:rFonts w:cs="David" w:hint="cs"/>
          <w:sz w:val="24"/>
          <w:szCs w:val="24"/>
          <w:rtl/>
        </w:rPr>
        <w:t>הוראות מיוחדות לעניין דרכי ענישתם של קטינים הקבועות ב</w:t>
      </w:r>
      <w:r w:rsidR="003F0DDA" w:rsidRPr="00A07C19">
        <w:rPr>
          <w:rFonts w:cs="David" w:hint="cs"/>
          <w:sz w:val="24"/>
          <w:szCs w:val="24"/>
          <w:rtl/>
        </w:rPr>
        <w:t>סעיף 25 לחוק הנוער</w:t>
      </w:r>
      <w:r w:rsidRPr="00A07C19">
        <w:rPr>
          <w:rFonts w:cs="David" w:hint="cs"/>
          <w:sz w:val="24"/>
          <w:szCs w:val="24"/>
          <w:rtl/>
        </w:rPr>
        <w:t xml:space="preserve">. </w:t>
      </w:r>
      <w:r w:rsidR="00A21A2A" w:rsidRPr="00A07C19">
        <w:rPr>
          <w:rFonts w:cs="David" w:hint="cs"/>
          <w:sz w:val="24"/>
          <w:szCs w:val="24"/>
          <w:rtl/>
        </w:rPr>
        <w:t xml:space="preserve">סעיף </w:t>
      </w:r>
      <w:r w:rsidR="0066599B">
        <w:rPr>
          <w:rFonts w:cs="David" w:hint="cs"/>
          <w:sz w:val="24"/>
          <w:szCs w:val="24"/>
          <w:rtl/>
        </w:rPr>
        <w:t xml:space="preserve">זה קובע הוראות שונות, וביניהן- קביעת מנגנון </w:t>
      </w:r>
      <w:r w:rsidRPr="00A07C19">
        <w:rPr>
          <w:rFonts w:cs="David" w:hint="cs"/>
          <w:sz w:val="24"/>
          <w:szCs w:val="24"/>
          <w:rtl/>
        </w:rPr>
        <w:t>ענישה נוס</w:t>
      </w:r>
      <w:r w:rsidR="0066599B">
        <w:rPr>
          <w:rFonts w:cs="David" w:hint="cs"/>
          <w:sz w:val="24"/>
          <w:szCs w:val="24"/>
          <w:rtl/>
        </w:rPr>
        <w:t xml:space="preserve">ף של  החזקת קטין במעון נעול; קביעה כי </w:t>
      </w:r>
      <w:r w:rsidRPr="00A07C19">
        <w:rPr>
          <w:rFonts w:cs="David" w:hint="cs"/>
          <w:sz w:val="24"/>
          <w:szCs w:val="24"/>
          <w:rtl/>
        </w:rPr>
        <w:t xml:space="preserve">בית המשפט </w:t>
      </w:r>
      <w:r w:rsidR="0066599B">
        <w:rPr>
          <w:rFonts w:cs="David" w:hint="cs"/>
          <w:sz w:val="24"/>
          <w:szCs w:val="24"/>
          <w:rtl/>
        </w:rPr>
        <w:t>י</w:t>
      </w:r>
      <w:r w:rsidRPr="00A07C19">
        <w:rPr>
          <w:rFonts w:cs="David" w:hint="cs"/>
          <w:sz w:val="24"/>
          <w:szCs w:val="24"/>
          <w:rtl/>
        </w:rPr>
        <w:t>תחשב לעניין העונש בגילו של הקטין בשעת ביצוע העבירה</w:t>
      </w:r>
      <w:r w:rsidR="0066599B">
        <w:rPr>
          <w:rFonts w:cs="David" w:hint="cs"/>
          <w:sz w:val="24"/>
          <w:szCs w:val="24"/>
          <w:rtl/>
        </w:rPr>
        <w:t>;</w:t>
      </w:r>
      <w:r w:rsidR="002A4B2A" w:rsidRPr="00A07C19">
        <w:rPr>
          <w:rFonts w:cs="David" w:hint="cs"/>
          <w:sz w:val="24"/>
          <w:szCs w:val="24"/>
          <w:rtl/>
        </w:rPr>
        <w:t xml:space="preserve"> </w:t>
      </w:r>
      <w:r w:rsidR="0066599B">
        <w:rPr>
          <w:rFonts w:cs="David" w:hint="cs"/>
          <w:sz w:val="24"/>
          <w:szCs w:val="24"/>
          <w:rtl/>
        </w:rPr>
        <w:t xml:space="preserve">קביעה </w:t>
      </w:r>
      <w:r w:rsidR="002A4B2A" w:rsidRPr="00A07C19">
        <w:rPr>
          <w:rFonts w:cs="David" w:hint="cs"/>
          <w:sz w:val="24"/>
          <w:szCs w:val="24"/>
          <w:rtl/>
        </w:rPr>
        <w:t xml:space="preserve">כי על קטין שטרם מלאו לו 14 שנים בעת מתן גזר הדין לא ניתן יהיה להטיל </w:t>
      </w:r>
      <w:r w:rsidR="00A21A2A" w:rsidRPr="00A07C19">
        <w:rPr>
          <w:rFonts w:cs="David" w:hint="cs"/>
          <w:sz w:val="24"/>
          <w:szCs w:val="24"/>
          <w:rtl/>
        </w:rPr>
        <w:t xml:space="preserve">עונש </w:t>
      </w:r>
      <w:r w:rsidR="002A4B2A" w:rsidRPr="00A07C19">
        <w:rPr>
          <w:rFonts w:cs="David" w:hint="cs"/>
          <w:sz w:val="24"/>
          <w:szCs w:val="24"/>
          <w:rtl/>
        </w:rPr>
        <w:t>מאסר</w:t>
      </w:r>
      <w:r w:rsidR="0066599B">
        <w:rPr>
          <w:rFonts w:cs="David" w:hint="cs"/>
          <w:sz w:val="24"/>
          <w:szCs w:val="24"/>
          <w:rtl/>
        </w:rPr>
        <w:t xml:space="preserve"> ועוד</w:t>
      </w:r>
      <w:r w:rsidR="00F15F11">
        <w:rPr>
          <w:rFonts w:cs="David" w:hint="cs"/>
          <w:sz w:val="24"/>
          <w:szCs w:val="24"/>
          <w:rtl/>
        </w:rPr>
        <w:t>, כדלקמן:</w:t>
      </w:r>
      <w:r w:rsidR="003F0DDA" w:rsidRPr="00A07C19">
        <w:rPr>
          <w:rFonts w:cs="David" w:hint="cs"/>
          <w:sz w:val="24"/>
          <w:szCs w:val="24"/>
          <w:rtl/>
        </w:rPr>
        <w:t xml:space="preserve"> </w:t>
      </w:r>
    </w:p>
    <w:p w:rsidR="00AE0911" w:rsidRPr="00A07C19" w:rsidRDefault="00AE0911" w:rsidP="0066599B">
      <w:pPr>
        <w:spacing w:before="240" w:after="0" w:line="360" w:lineRule="auto"/>
        <w:jc w:val="both"/>
        <w:rPr>
          <w:rFonts w:cs="David"/>
          <w:sz w:val="24"/>
          <w:szCs w:val="24"/>
          <w:rtl/>
        </w:rPr>
      </w:pPr>
    </w:p>
    <w:tbl>
      <w:tblPr>
        <w:tblStyle w:val="a4"/>
        <w:bidiVisual/>
        <w:tblW w:w="0" w:type="auto"/>
        <w:tblLook w:val="04A0" w:firstRow="1" w:lastRow="0" w:firstColumn="1" w:lastColumn="0" w:noHBand="0" w:noVBand="1"/>
      </w:tblPr>
      <w:tblGrid>
        <w:gridCol w:w="8296"/>
      </w:tblGrid>
      <w:tr w:rsidR="00EE3ED2" w:rsidRPr="00A07C19" w:rsidTr="00EE3ED2">
        <w:tc>
          <w:tcPr>
            <w:tcW w:w="8296" w:type="dxa"/>
          </w:tcPr>
          <w:p w:rsidR="00EE3ED2" w:rsidRPr="00A07C19" w:rsidRDefault="00EE3ED2" w:rsidP="00EE3ED2">
            <w:pPr>
              <w:pStyle w:val="P00"/>
              <w:spacing w:before="72"/>
              <w:ind w:left="1021" w:right="1134" w:hanging="1021"/>
              <w:rPr>
                <w:rFonts w:asciiTheme="minorHAnsi" w:eastAsiaTheme="minorHAnsi" w:hAnsiTheme="minorHAnsi" w:cs="David"/>
                <w:noProof w:val="0"/>
                <w:sz w:val="24"/>
                <w:szCs w:val="24"/>
                <w:rtl/>
                <w:lang w:eastAsia="en-US"/>
              </w:rPr>
            </w:pPr>
            <w:r w:rsidRPr="00A07C19">
              <w:rPr>
                <w:rFonts w:asciiTheme="minorHAnsi" w:eastAsiaTheme="minorHAnsi" w:hAnsiTheme="minorHAnsi" w:cs="David" w:hint="cs"/>
                <w:noProof w:val="0"/>
                <w:sz w:val="24"/>
                <w:szCs w:val="24"/>
                <w:rtl/>
                <w:lang w:eastAsia="en-US"/>
              </w:rPr>
              <w:lastRenderedPageBreak/>
              <w:t xml:space="preserve">"25. </w:t>
            </w:r>
            <w:r w:rsidRPr="00A07C19">
              <w:rPr>
                <w:rFonts w:asciiTheme="minorHAnsi" w:eastAsiaTheme="minorHAnsi" w:hAnsiTheme="minorHAnsi" w:cs="David" w:hint="cs"/>
                <w:b/>
                <w:bCs/>
                <w:noProof w:val="0"/>
                <w:sz w:val="24"/>
                <w:szCs w:val="24"/>
                <w:rtl/>
                <w:lang w:eastAsia="en-US"/>
              </w:rPr>
              <w:t>דרכי ענישה</w:t>
            </w:r>
          </w:p>
          <w:p w:rsidR="00EE3ED2" w:rsidRPr="00A07C19" w:rsidRDefault="00EE3ED2" w:rsidP="00EE3ED2">
            <w:pPr>
              <w:pStyle w:val="P00"/>
              <w:spacing w:before="120" w:line="360" w:lineRule="auto"/>
              <w:ind w:left="1021" w:right="1134" w:hanging="1021"/>
              <w:rPr>
                <w:rFonts w:asciiTheme="minorHAnsi" w:eastAsiaTheme="minorHAnsi" w:hAnsiTheme="minorHAnsi" w:cs="David"/>
                <w:noProof w:val="0"/>
                <w:sz w:val="24"/>
                <w:szCs w:val="24"/>
                <w:rtl/>
                <w:lang w:eastAsia="en-US"/>
              </w:rPr>
            </w:pPr>
            <w:r w:rsidRPr="00A07C19">
              <w:rPr>
                <w:rFonts w:asciiTheme="minorHAnsi" w:eastAsiaTheme="minorHAnsi" w:hAnsiTheme="minorHAnsi" w:cs="David" w:hint="cs"/>
                <w:noProof w:val="0"/>
                <w:sz w:val="24"/>
                <w:szCs w:val="24"/>
                <w:rtl/>
                <w:lang w:eastAsia="en-US"/>
              </w:rPr>
              <w:t xml:space="preserve">(א)            (1) </w:t>
            </w:r>
            <w:r w:rsidRPr="00A07C19">
              <w:rPr>
                <w:rFonts w:asciiTheme="minorHAnsi" w:eastAsiaTheme="minorHAnsi" w:hAnsiTheme="minorHAnsi" w:cs="David"/>
                <w:noProof w:val="0"/>
                <w:sz w:val="24"/>
                <w:szCs w:val="24"/>
                <w:rtl/>
                <w:lang w:eastAsia="en-US"/>
              </w:rPr>
              <w:t>ק</w:t>
            </w:r>
            <w:r w:rsidRPr="00A07C19">
              <w:rPr>
                <w:rFonts w:asciiTheme="minorHAnsi" w:eastAsiaTheme="minorHAnsi" w:hAnsiTheme="minorHAnsi" w:cs="David" w:hint="cs"/>
                <w:noProof w:val="0"/>
                <w:sz w:val="24"/>
                <w:szCs w:val="24"/>
                <w:rtl/>
                <w:lang w:eastAsia="en-US"/>
              </w:rPr>
              <w:t>טין שהורשע,</w:t>
            </w:r>
            <w:r w:rsidRPr="00A07C19">
              <w:rPr>
                <w:rFonts w:asciiTheme="minorHAnsi" w:eastAsiaTheme="minorHAnsi" w:hAnsiTheme="minorHAnsi" w:cs="David"/>
                <w:noProof w:val="0"/>
                <w:sz w:val="24"/>
                <w:szCs w:val="24"/>
                <w:rtl/>
                <w:lang w:eastAsia="en-US"/>
              </w:rPr>
              <w:t xml:space="preserve"> ר</w:t>
            </w:r>
            <w:r w:rsidRPr="00A07C19">
              <w:rPr>
                <w:rFonts w:asciiTheme="minorHAnsi" w:eastAsiaTheme="minorHAnsi" w:hAnsiTheme="minorHAnsi" w:cs="David" w:hint="cs"/>
                <w:noProof w:val="0"/>
                <w:sz w:val="24"/>
                <w:szCs w:val="24"/>
                <w:rtl/>
                <w:lang w:eastAsia="en-US"/>
              </w:rPr>
              <w:t>שאי בית משפט לנוער, במקום להטיל עליו מאסר לצוות על החזקתו במעון נעול לתקופה שיקבע ובלבד שלא תעלה על תקופת המאסר המרבית הקבועה לעבירה שבה הורשע הקטין;</w:t>
            </w:r>
          </w:p>
          <w:p w:rsidR="00EE3ED2" w:rsidRPr="00A07C19" w:rsidRDefault="00EE3ED2" w:rsidP="00EE3ED2">
            <w:pPr>
              <w:pStyle w:val="P00"/>
              <w:spacing w:before="120" w:line="360" w:lineRule="auto"/>
              <w:ind w:left="1021" w:right="1134"/>
              <w:rPr>
                <w:rFonts w:asciiTheme="minorHAnsi" w:eastAsiaTheme="minorHAnsi" w:hAnsiTheme="minorHAnsi" w:cs="David"/>
                <w:noProof w:val="0"/>
                <w:sz w:val="24"/>
                <w:szCs w:val="24"/>
                <w:rtl/>
                <w:lang w:eastAsia="en-US"/>
              </w:rPr>
            </w:pPr>
            <w:r w:rsidRPr="00A07C19">
              <w:rPr>
                <w:rFonts w:asciiTheme="minorHAnsi" w:eastAsiaTheme="minorHAnsi" w:hAnsiTheme="minorHAnsi" w:cs="David" w:hint="cs"/>
                <w:noProof w:val="0"/>
                <w:sz w:val="24"/>
                <w:szCs w:val="24"/>
                <w:rtl/>
                <w:lang w:eastAsia="en-US"/>
              </w:rPr>
              <w:t>(2)</w:t>
            </w:r>
            <w:r w:rsidRPr="00A07C19">
              <w:rPr>
                <w:rFonts w:asciiTheme="minorHAnsi" w:eastAsiaTheme="minorHAnsi" w:hAnsiTheme="minorHAnsi" w:cs="David" w:hint="cs"/>
                <w:noProof w:val="0"/>
                <w:sz w:val="24"/>
                <w:szCs w:val="24"/>
                <w:rtl/>
                <w:lang w:eastAsia="en-US"/>
              </w:rPr>
              <w:tab/>
              <w:t>בית משפט לנוער, המצווה על הפעלת מאסר על-תנאי לפי סעיף 55 לחוק העונשין, רשאי, במקום להטיל על הקטין מאסר, לצוות על החזקתו במעון נעול;</w:t>
            </w:r>
          </w:p>
          <w:p w:rsidR="00EE3ED2" w:rsidRPr="00A07C19" w:rsidRDefault="00EE3ED2" w:rsidP="00EE3ED2">
            <w:pPr>
              <w:pStyle w:val="P00"/>
              <w:spacing w:before="120" w:line="360" w:lineRule="auto"/>
              <w:ind w:left="1021" w:right="1134"/>
              <w:rPr>
                <w:rFonts w:asciiTheme="minorHAnsi" w:eastAsiaTheme="minorHAnsi" w:hAnsiTheme="minorHAnsi" w:cs="David"/>
                <w:noProof w:val="0"/>
                <w:sz w:val="24"/>
                <w:szCs w:val="24"/>
                <w:rtl/>
                <w:lang w:eastAsia="en-US"/>
              </w:rPr>
            </w:pPr>
            <w:r w:rsidRPr="00A07C19">
              <w:rPr>
                <w:rFonts w:asciiTheme="minorHAnsi" w:eastAsiaTheme="minorHAnsi" w:hAnsiTheme="minorHAnsi" w:cs="David" w:hint="cs"/>
                <w:noProof w:val="0"/>
                <w:sz w:val="24"/>
                <w:szCs w:val="24"/>
                <w:rtl/>
                <w:lang w:eastAsia="en-US"/>
              </w:rPr>
              <w:t>(3)</w:t>
            </w:r>
            <w:r w:rsidRPr="00A07C19">
              <w:rPr>
                <w:rFonts w:asciiTheme="minorHAnsi" w:eastAsiaTheme="minorHAnsi" w:hAnsiTheme="minorHAnsi" w:cs="David" w:hint="cs"/>
                <w:noProof w:val="0"/>
                <w:sz w:val="24"/>
                <w:szCs w:val="24"/>
                <w:rtl/>
                <w:lang w:eastAsia="en-US"/>
              </w:rPr>
              <w:tab/>
              <w:t>בית משפט לנוער שהחליט על החזקת קטין במעון נעול לפי פסקאות (1) או (2), יסביר לקטין, בשפה ובאופן המובנים לו בהתחשב בגילו ובמידת בגרותו, באילו נסיבות יהיה ניתן להעבירו מהמעון הנעול למאסר, לפי הוראות סעיפים 25א או 25ב(ג), ואת ההשפעה של מעבר כאמור על תנאי החזקתו ועל שחרורו.</w:t>
            </w:r>
          </w:p>
          <w:p w:rsidR="00EE3ED2" w:rsidRPr="00A07C19" w:rsidRDefault="00EE3ED2" w:rsidP="00EE3ED2">
            <w:pPr>
              <w:pStyle w:val="P00"/>
              <w:spacing w:before="120" w:line="360" w:lineRule="auto"/>
              <w:ind w:left="0" w:right="1134"/>
              <w:rPr>
                <w:rFonts w:asciiTheme="minorHAnsi" w:eastAsiaTheme="minorHAnsi" w:hAnsiTheme="minorHAnsi" w:cs="David"/>
                <w:noProof w:val="0"/>
                <w:sz w:val="24"/>
                <w:szCs w:val="24"/>
                <w:rtl/>
                <w:lang w:eastAsia="en-US"/>
              </w:rPr>
            </w:pPr>
            <w:r w:rsidRPr="00A07C19">
              <w:rPr>
                <w:rFonts w:asciiTheme="minorHAnsi" w:eastAsiaTheme="minorHAnsi" w:hAnsiTheme="minorHAnsi" w:cs="David"/>
                <w:noProof w:val="0"/>
                <w:sz w:val="24"/>
                <w:szCs w:val="24"/>
                <w:rtl/>
                <w:lang w:eastAsia="en-US"/>
              </w:rPr>
              <w:t>(ב</w:t>
            </w:r>
            <w:r w:rsidRPr="00A07C19">
              <w:rPr>
                <w:rFonts w:asciiTheme="minorHAnsi" w:eastAsiaTheme="minorHAnsi" w:hAnsiTheme="minorHAnsi" w:cs="David" w:hint="cs"/>
                <w:noProof w:val="0"/>
                <w:sz w:val="24"/>
                <w:szCs w:val="24"/>
                <w:rtl/>
                <w:lang w:eastAsia="en-US"/>
              </w:rPr>
              <w:t>)</w:t>
            </w:r>
            <w:r w:rsidRPr="00A07C19">
              <w:rPr>
                <w:rFonts w:asciiTheme="minorHAnsi" w:eastAsiaTheme="minorHAnsi" w:hAnsiTheme="minorHAnsi" w:cs="David"/>
                <w:noProof w:val="0"/>
                <w:sz w:val="24"/>
                <w:szCs w:val="24"/>
                <w:rtl/>
                <w:lang w:eastAsia="en-US"/>
              </w:rPr>
              <w:tab/>
              <w:t>א</w:t>
            </w:r>
            <w:r w:rsidRPr="00A07C19">
              <w:rPr>
                <w:rFonts w:asciiTheme="minorHAnsi" w:eastAsiaTheme="minorHAnsi" w:hAnsiTheme="minorHAnsi" w:cs="David" w:hint="cs"/>
                <w:noProof w:val="0"/>
                <w:sz w:val="24"/>
                <w:szCs w:val="24"/>
                <w:rtl/>
                <w:lang w:eastAsia="en-US"/>
              </w:rPr>
              <w:t>דם שהיה קטין</w:t>
            </w:r>
            <w:r w:rsidRPr="00A07C19">
              <w:rPr>
                <w:rFonts w:asciiTheme="minorHAnsi" w:eastAsiaTheme="minorHAnsi" w:hAnsiTheme="minorHAnsi" w:cs="David"/>
                <w:noProof w:val="0"/>
                <w:sz w:val="24"/>
                <w:szCs w:val="24"/>
                <w:rtl/>
                <w:lang w:eastAsia="en-US"/>
              </w:rPr>
              <w:t xml:space="preserve"> </w:t>
            </w:r>
            <w:r w:rsidRPr="00A07C19">
              <w:rPr>
                <w:rFonts w:asciiTheme="minorHAnsi" w:eastAsiaTheme="minorHAnsi" w:hAnsiTheme="minorHAnsi" w:cs="David" w:hint="cs"/>
                <w:noProof w:val="0"/>
                <w:sz w:val="24"/>
                <w:szCs w:val="24"/>
                <w:rtl/>
                <w:lang w:eastAsia="en-US"/>
              </w:rPr>
              <w:t xml:space="preserve">ביום ביצוע העבירה, לא יוטל עליו עונש מוות, ועל אף </w:t>
            </w:r>
            <w:r w:rsidR="008F7096" w:rsidRPr="00A07C19">
              <w:rPr>
                <w:rFonts w:asciiTheme="minorHAnsi" w:eastAsiaTheme="minorHAnsi" w:hAnsiTheme="minorHAnsi" w:cs="David" w:hint="cs"/>
                <w:noProof w:val="0"/>
                <w:sz w:val="24"/>
                <w:szCs w:val="24"/>
                <w:rtl/>
                <w:lang w:eastAsia="en-US"/>
              </w:rPr>
              <w:t xml:space="preserve">            </w:t>
            </w:r>
            <w:r w:rsidRPr="00A07C19">
              <w:rPr>
                <w:rFonts w:asciiTheme="minorHAnsi" w:eastAsiaTheme="minorHAnsi" w:hAnsiTheme="minorHAnsi" w:cs="David" w:hint="cs"/>
                <w:noProof w:val="0"/>
                <w:sz w:val="24"/>
                <w:szCs w:val="24"/>
                <w:rtl/>
                <w:lang w:eastAsia="en-US"/>
              </w:rPr>
              <w:t>האמור בכל דין אין חובה להטיל עליו מאסר עול</w:t>
            </w:r>
            <w:r w:rsidRPr="00A07C19">
              <w:rPr>
                <w:rFonts w:asciiTheme="minorHAnsi" w:eastAsiaTheme="minorHAnsi" w:hAnsiTheme="minorHAnsi" w:cs="David"/>
                <w:noProof w:val="0"/>
                <w:sz w:val="24"/>
                <w:szCs w:val="24"/>
                <w:rtl/>
                <w:lang w:eastAsia="en-US"/>
              </w:rPr>
              <w:t xml:space="preserve">ם, </w:t>
            </w:r>
            <w:r w:rsidRPr="00A07C19">
              <w:rPr>
                <w:rFonts w:asciiTheme="minorHAnsi" w:eastAsiaTheme="minorHAnsi" w:hAnsiTheme="minorHAnsi" w:cs="David" w:hint="cs"/>
                <w:noProof w:val="0"/>
                <w:sz w:val="24"/>
                <w:szCs w:val="24"/>
                <w:rtl/>
                <w:lang w:eastAsia="en-US"/>
              </w:rPr>
              <w:t>מאסר חובה או עונש מינימום.</w:t>
            </w:r>
          </w:p>
          <w:p w:rsidR="00EE3ED2" w:rsidRPr="00A07C19" w:rsidRDefault="00EE3ED2" w:rsidP="00EE3ED2">
            <w:pPr>
              <w:pStyle w:val="P00"/>
              <w:spacing w:before="120" w:line="360" w:lineRule="auto"/>
              <w:ind w:left="0" w:right="1134"/>
              <w:rPr>
                <w:rFonts w:asciiTheme="minorHAnsi" w:eastAsiaTheme="minorHAnsi" w:hAnsiTheme="minorHAnsi" w:cs="David"/>
                <w:noProof w:val="0"/>
                <w:sz w:val="24"/>
                <w:szCs w:val="24"/>
                <w:rtl/>
                <w:lang w:eastAsia="en-US"/>
              </w:rPr>
            </w:pPr>
            <w:r w:rsidRPr="00A07C19">
              <w:rPr>
                <w:rFonts w:asciiTheme="minorHAnsi" w:eastAsiaTheme="minorHAnsi" w:hAnsiTheme="minorHAnsi" w:cs="David"/>
                <w:noProof w:val="0"/>
                <w:sz w:val="24"/>
                <w:szCs w:val="24"/>
                <w:rtl/>
                <w:lang w:eastAsia="en-US"/>
              </w:rPr>
              <w:t>(ג</w:t>
            </w:r>
            <w:r w:rsidRPr="00A07C19">
              <w:rPr>
                <w:rFonts w:asciiTheme="minorHAnsi" w:eastAsiaTheme="minorHAnsi" w:hAnsiTheme="minorHAnsi" w:cs="David" w:hint="cs"/>
                <w:noProof w:val="0"/>
                <w:sz w:val="24"/>
                <w:szCs w:val="24"/>
                <w:rtl/>
                <w:lang w:eastAsia="en-US"/>
              </w:rPr>
              <w:t>)</w:t>
            </w:r>
            <w:r w:rsidRPr="00A07C19">
              <w:rPr>
                <w:rFonts w:asciiTheme="minorHAnsi" w:eastAsiaTheme="minorHAnsi" w:hAnsiTheme="minorHAnsi" w:cs="David"/>
                <w:noProof w:val="0"/>
                <w:sz w:val="24"/>
                <w:szCs w:val="24"/>
                <w:rtl/>
                <w:lang w:eastAsia="en-US"/>
              </w:rPr>
              <w:tab/>
              <w:t>ב</w:t>
            </w:r>
            <w:r w:rsidRPr="00A07C19">
              <w:rPr>
                <w:rFonts w:asciiTheme="minorHAnsi" w:eastAsiaTheme="minorHAnsi" w:hAnsiTheme="minorHAnsi" w:cs="David" w:hint="cs"/>
                <w:noProof w:val="0"/>
                <w:sz w:val="24"/>
                <w:szCs w:val="24"/>
                <w:rtl/>
                <w:lang w:eastAsia="en-US"/>
              </w:rPr>
              <w:t>קביעת ענשו של קטין יתחשב בית המשפט לנוער, בין השאר, בגילו בשעת ביצוע העבירה.</w:t>
            </w:r>
          </w:p>
          <w:p w:rsidR="00EE3ED2" w:rsidRPr="00A07C19" w:rsidRDefault="00EE3ED2" w:rsidP="00EE3ED2">
            <w:pPr>
              <w:spacing w:before="120" w:after="0" w:line="360" w:lineRule="auto"/>
              <w:jc w:val="both"/>
              <w:rPr>
                <w:rFonts w:cs="David"/>
                <w:sz w:val="24"/>
                <w:szCs w:val="24"/>
                <w:rtl/>
              </w:rPr>
            </w:pPr>
            <w:r w:rsidRPr="00A07C19">
              <w:rPr>
                <w:rFonts w:cs="David"/>
                <w:sz w:val="24"/>
                <w:szCs w:val="24"/>
                <w:rtl/>
              </w:rPr>
              <w:t>(ד</w:t>
            </w:r>
            <w:r w:rsidRPr="00A07C19">
              <w:rPr>
                <w:rFonts w:cs="David" w:hint="cs"/>
                <w:sz w:val="24"/>
                <w:szCs w:val="24"/>
                <w:rtl/>
              </w:rPr>
              <w:t>)</w:t>
            </w:r>
            <w:r w:rsidRPr="00A07C19">
              <w:rPr>
                <w:rFonts w:cs="David"/>
                <w:sz w:val="24"/>
                <w:szCs w:val="24"/>
                <w:rtl/>
              </w:rPr>
              <w:tab/>
              <w:t>ק</w:t>
            </w:r>
            <w:r w:rsidRPr="00A07C19">
              <w:rPr>
                <w:rFonts w:cs="David" w:hint="cs"/>
                <w:sz w:val="24"/>
                <w:szCs w:val="24"/>
                <w:rtl/>
              </w:rPr>
              <w:t>טין שבשעת גזירת דינו טרם מלאו לו ארבע עשרה ש</w:t>
            </w:r>
            <w:r w:rsidRPr="00A07C19">
              <w:rPr>
                <w:rFonts w:cs="David"/>
                <w:sz w:val="24"/>
                <w:szCs w:val="24"/>
                <w:rtl/>
              </w:rPr>
              <w:t>נ</w:t>
            </w:r>
            <w:r w:rsidRPr="00A07C19">
              <w:rPr>
                <w:rFonts w:cs="David" w:hint="cs"/>
                <w:sz w:val="24"/>
                <w:szCs w:val="24"/>
                <w:rtl/>
              </w:rPr>
              <w:t>ה, לא יוטל עליו מאסר.</w:t>
            </w:r>
          </w:p>
          <w:p w:rsidR="00EE3ED2" w:rsidRPr="00A07C19" w:rsidRDefault="00EE3ED2" w:rsidP="006519E4">
            <w:pPr>
              <w:spacing w:before="120" w:after="0" w:line="360" w:lineRule="auto"/>
              <w:jc w:val="both"/>
              <w:rPr>
                <w:rFonts w:cs="David"/>
                <w:sz w:val="24"/>
                <w:szCs w:val="24"/>
                <w:rtl/>
              </w:rPr>
            </w:pPr>
            <w:r w:rsidRPr="00A07C19">
              <w:rPr>
                <w:rFonts w:cs="David" w:hint="cs"/>
                <w:sz w:val="24"/>
                <w:szCs w:val="24"/>
                <w:rtl/>
              </w:rPr>
              <w:t>(ה)        בוטל. "</w:t>
            </w:r>
          </w:p>
        </w:tc>
      </w:tr>
    </w:tbl>
    <w:p w:rsidR="00B2713C" w:rsidRPr="00B2713C" w:rsidRDefault="00B2713C" w:rsidP="00AE0911">
      <w:pPr>
        <w:spacing w:before="240" w:after="0" w:line="360" w:lineRule="auto"/>
        <w:jc w:val="both"/>
        <w:rPr>
          <w:rFonts w:cs="David"/>
          <w:sz w:val="24"/>
          <w:szCs w:val="24"/>
          <w:rtl/>
        </w:rPr>
      </w:pPr>
      <w:r>
        <w:rPr>
          <w:rFonts w:cs="David" w:hint="cs"/>
          <w:sz w:val="24"/>
          <w:szCs w:val="24"/>
          <w:rtl/>
        </w:rPr>
        <w:t>ה</w:t>
      </w:r>
      <w:r w:rsidRPr="00B2713C">
        <w:rPr>
          <w:rFonts w:cs="David" w:hint="cs"/>
          <w:sz w:val="24"/>
          <w:szCs w:val="24"/>
          <w:rtl/>
        </w:rPr>
        <w:t>תיקונים שנעשו בשנים האחרונות בחוק הנוער</w:t>
      </w:r>
      <w:r>
        <w:rPr>
          <w:rFonts w:cs="David" w:hint="cs"/>
          <w:sz w:val="24"/>
          <w:szCs w:val="24"/>
          <w:rtl/>
        </w:rPr>
        <w:t xml:space="preserve"> נערכו גם הם במגמה המדגישה את </w:t>
      </w:r>
      <w:r w:rsidRPr="00B2713C">
        <w:rPr>
          <w:rFonts w:cs="David" w:hint="cs"/>
          <w:sz w:val="24"/>
          <w:szCs w:val="24"/>
          <w:rtl/>
        </w:rPr>
        <w:t xml:space="preserve">ההבחנה בין קטינים לבגירים. בעקבות אמנת האו"ם בדבר זכויות הילד, אשר אושררה על ידי מדינת ישראל, מונתה ועדה לבחינת עקרונות יסוד בתחום הילד והמשפט בראשותה של השופטת סביונה </w:t>
      </w:r>
      <w:proofErr w:type="spellStart"/>
      <w:r w:rsidRPr="00B2713C">
        <w:rPr>
          <w:rFonts w:cs="David" w:hint="cs"/>
          <w:sz w:val="24"/>
          <w:szCs w:val="24"/>
          <w:rtl/>
        </w:rPr>
        <w:t>רוטלוי</w:t>
      </w:r>
      <w:proofErr w:type="spellEnd"/>
      <w:r w:rsidRPr="00B2713C">
        <w:rPr>
          <w:rFonts w:cs="David" w:hint="cs"/>
          <w:sz w:val="24"/>
          <w:szCs w:val="24"/>
          <w:rtl/>
        </w:rPr>
        <w:t xml:space="preserve">, אשר עסקה, בין היתר, בבחינת הקטין בהליך הפלילי. בעקבות דוח הוועדה נערך תיקון מקיף לחוק הנוער בשנת 2008 (תיקון מס' 14), במסגרתו אומצו שינויים רבים בחוק שבבסיסם עומדת ההבחנה בין קטינים לבגירים, המדגישה את שיקול השיקום וההבנה לכך שיש לתת משקל לגילו של החשוד או הנאשם בביצוע המעשה. בין היתר, אומצו תיקונים לעניין מעצר קטינים ובוטלה האפשרות לעצור עד תום ההליכים קטינים שטרם מלאו להם 14 שנים. </w:t>
      </w:r>
    </w:p>
    <w:p w:rsidR="00874234" w:rsidRPr="00874234" w:rsidRDefault="00874234" w:rsidP="00CD5468">
      <w:pPr>
        <w:spacing w:before="240" w:after="0" w:line="360" w:lineRule="auto"/>
        <w:jc w:val="both"/>
        <w:rPr>
          <w:rFonts w:cs="David"/>
          <w:b/>
          <w:bCs/>
          <w:sz w:val="24"/>
          <w:szCs w:val="24"/>
          <w:rtl/>
        </w:rPr>
      </w:pPr>
      <w:r w:rsidRPr="00874234">
        <w:rPr>
          <w:rFonts w:cs="David" w:hint="cs"/>
          <w:b/>
          <w:bCs/>
          <w:sz w:val="24"/>
          <w:szCs w:val="24"/>
          <w:rtl/>
        </w:rPr>
        <w:t xml:space="preserve">התייחסות הפסיקה לגזירת דינם של קטינים </w:t>
      </w:r>
    </w:p>
    <w:p w:rsidR="00371AA3" w:rsidRPr="00A07C19" w:rsidRDefault="00371AA3" w:rsidP="00A20A93">
      <w:pPr>
        <w:spacing w:before="240" w:after="0" w:line="360" w:lineRule="auto"/>
        <w:jc w:val="both"/>
        <w:rPr>
          <w:rFonts w:cs="David"/>
          <w:sz w:val="24"/>
          <w:szCs w:val="24"/>
          <w:rtl/>
        </w:rPr>
      </w:pPr>
      <w:r w:rsidRPr="00ED4AFF">
        <w:rPr>
          <w:rFonts w:cs="David" w:hint="cs"/>
          <w:sz w:val="24"/>
          <w:szCs w:val="24"/>
          <w:rtl/>
        </w:rPr>
        <w:t xml:space="preserve">הפסיקה </w:t>
      </w:r>
      <w:r w:rsidR="00B21A8D" w:rsidRPr="00ED4AFF">
        <w:rPr>
          <w:rFonts w:cs="David" w:hint="cs"/>
          <w:sz w:val="24"/>
          <w:szCs w:val="24"/>
          <w:rtl/>
        </w:rPr>
        <w:t>עמדה רבות על סוגיית גזירת דינם של קטינים והשיקולים שעל בית המשפט ל</w:t>
      </w:r>
      <w:r w:rsidR="00A20A93" w:rsidRPr="00ED4AFF">
        <w:rPr>
          <w:rFonts w:cs="David" w:hint="cs"/>
          <w:sz w:val="24"/>
          <w:szCs w:val="24"/>
          <w:rtl/>
        </w:rPr>
        <w:t>הביא בחשבון</w:t>
      </w:r>
      <w:r w:rsidR="00B21A8D" w:rsidRPr="00A07C19">
        <w:rPr>
          <w:rFonts w:cs="David" w:hint="cs"/>
          <w:sz w:val="24"/>
          <w:szCs w:val="24"/>
          <w:rtl/>
        </w:rPr>
        <w:t xml:space="preserve">. כך </w:t>
      </w:r>
      <w:r w:rsidRPr="00A07C19">
        <w:rPr>
          <w:rFonts w:cs="David" w:hint="cs"/>
          <w:sz w:val="24"/>
          <w:szCs w:val="24"/>
          <w:rtl/>
        </w:rPr>
        <w:t xml:space="preserve">קבעה </w:t>
      </w:r>
      <w:r w:rsidR="00A07C19" w:rsidRPr="00A07C19">
        <w:rPr>
          <w:rFonts w:cs="David" w:hint="cs"/>
          <w:sz w:val="24"/>
          <w:szCs w:val="24"/>
          <w:rtl/>
        </w:rPr>
        <w:t>שיש ב</w:t>
      </w:r>
      <w:r w:rsidRPr="00A07C19">
        <w:rPr>
          <w:rFonts w:cs="David" w:hint="cs"/>
          <w:sz w:val="24"/>
          <w:szCs w:val="24"/>
          <w:rtl/>
        </w:rPr>
        <w:t xml:space="preserve">גילו הצעיר של נאשם </w:t>
      </w:r>
      <w:r w:rsidR="00A07C19" w:rsidRPr="00A07C19">
        <w:rPr>
          <w:rFonts w:cs="David" w:hint="cs"/>
          <w:sz w:val="24"/>
          <w:szCs w:val="24"/>
          <w:rtl/>
        </w:rPr>
        <w:t>כדי לה</w:t>
      </w:r>
      <w:r w:rsidRPr="00A07C19">
        <w:rPr>
          <w:rFonts w:cs="David" w:hint="cs"/>
          <w:sz w:val="24"/>
          <w:szCs w:val="24"/>
          <w:rtl/>
        </w:rPr>
        <w:t>שליך על דרגת החומרה שבה צריך להסתכל על מעשיו</w:t>
      </w:r>
      <w:r w:rsidR="00CD5468">
        <w:rPr>
          <w:rFonts w:cs="David" w:hint="cs"/>
          <w:sz w:val="24"/>
          <w:szCs w:val="24"/>
          <w:rtl/>
        </w:rPr>
        <w:t>,</w:t>
      </w:r>
      <w:r w:rsidR="00B21A8D" w:rsidRPr="00A07C19">
        <w:rPr>
          <w:rFonts w:cs="David" w:hint="cs"/>
          <w:sz w:val="24"/>
          <w:szCs w:val="24"/>
          <w:rtl/>
        </w:rPr>
        <w:t xml:space="preserve"> שכן</w:t>
      </w:r>
      <w:r w:rsidRPr="00A07C19">
        <w:rPr>
          <w:rFonts w:cs="David" w:hint="cs"/>
          <w:sz w:val="24"/>
          <w:szCs w:val="24"/>
          <w:rtl/>
        </w:rPr>
        <w:t xml:space="preserve"> גילו הצעיר עשוי להצביע על חוסר בשלות להבין את משמעות המעשה ותוצאותיו</w:t>
      </w:r>
      <w:r w:rsidR="00A07C19" w:rsidRPr="00A07C19">
        <w:rPr>
          <w:rFonts w:cs="David" w:hint="cs"/>
          <w:sz w:val="24"/>
          <w:szCs w:val="24"/>
          <w:rtl/>
        </w:rPr>
        <w:t xml:space="preserve">. </w:t>
      </w:r>
      <w:r w:rsidR="00CD5468">
        <w:rPr>
          <w:rFonts w:cs="David" w:hint="cs"/>
          <w:sz w:val="24"/>
          <w:szCs w:val="24"/>
          <w:rtl/>
        </w:rPr>
        <w:t>וכפי שצוין בע"פ 10715/05</w:t>
      </w:r>
      <w:r w:rsidR="00CD5468" w:rsidRPr="00A07C19">
        <w:rPr>
          <w:rStyle w:val="af"/>
          <w:rFonts w:cs="David"/>
          <w:sz w:val="24"/>
          <w:szCs w:val="24"/>
          <w:rtl/>
        </w:rPr>
        <w:footnoteReference w:id="1"/>
      </w:r>
      <w:r w:rsidR="00CD5468">
        <w:rPr>
          <w:rFonts w:cs="David" w:hint="cs"/>
          <w:sz w:val="24"/>
          <w:szCs w:val="24"/>
          <w:rtl/>
        </w:rPr>
        <w:t xml:space="preserve"> </w:t>
      </w:r>
      <w:r w:rsidRPr="00A07C19">
        <w:rPr>
          <w:rFonts w:cs="David" w:hint="cs"/>
          <w:sz w:val="24"/>
          <w:szCs w:val="24"/>
          <w:rtl/>
        </w:rPr>
        <w:t xml:space="preserve">לחוסר בשלות זה ניתן משקל מקל בענישתם של קטינים. כך גם הפסיקה התייחסה לשיקולי השיקום </w:t>
      </w:r>
      <w:r w:rsidR="00B21A8D" w:rsidRPr="00A07C19">
        <w:rPr>
          <w:rFonts w:cs="David" w:hint="cs"/>
          <w:sz w:val="24"/>
          <w:szCs w:val="24"/>
          <w:rtl/>
        </w:rPr>
        <w:t>כשיקולים כבדי משקל בגזירת דינ</w:t>
      </w:r>
      <w:r w:rsidR="00A07C19" w:rsidRPr="00A07C19">
        <w:rPr>
          <w:rFonts w:cs="David" w:hint="cs"/>
          <w:sz w:val="24"/>
          <w:szCs w:val="24"/>
          <w:rtl/>
        </w:rPr>
        <w:t xml:space="preserve">ם </w:t>
      </w:r>
      <w:r w:rsidR="00B21A8D" w:rsidRPr="00A07C19">
        <w:rPr>
          <w:rFonts w:cs="David" w:hint="cs"/>
          <w:sz w:val="24"/>
          <w:szCs w:val="24"/>
          <w:rtl/>
        </w:rPr>
        <w:t>של קטי</w:t>
      </w:r>
      <w:r w:rsidR="00A07C19" w:rsidRPr="00A07C19">
        <w:rPr>
          <w:rFonts w:cs="David" w:hint="cs"/>
          <w:sz w:val="24"/>
          <w:szCs w:val="24"/>
          <w:rtl/>
        </w:rPr>
        <w:t>נים</w:t>
      </w:r>
      <w:r w:rsidR="00B21A8D" w:rsidRPr="00A07C19">
        <w:rPr>
          <w:rFonts w:cs="David" w:hint="cs"/>
          <w:sz w:val="24"/>
          <w:szCs w:val="24"/>
          <w:rtl/>
        </w:rPr>
        <w:t xml:space="preserve"> </w:t>
      </w:r>
      <w:r w:rsidRPr="00A07C19">
        <w:rPr>
          <w:rFonts w:cs="David" w:hint="cs"/>
          <w:sz w:val="24"/>
          <w:szCs w:val="24"/>
          <w:rtl/>
        </w:rPr>
        <w:t>ו</w:t>
      </w:r>
      <w:r w:rsidR="00A20A93">
        <w:rPr>
          <w:rFonts w:cs="David" w:hint="cs"/>
          <w:sz w:val="24"/>
          <w:szCs w:val="24"/>
          <w:rtl/>
        </w:rPr>
        <w:t xml:space="preserve">התייחסה </w:t>
      </w:r>
      <w:r w:rsidRPr="00A07C19">
        <w:rPr>
          <w:rFonts w:cs="David" w:hint="cs"/>
          <w:sz w:val="24"/>
          <w:szCs w:val="24"/>
          <w:rtl/>
        </w:rPr>
        <w:t>ל</w:t>
      </w:r>
      <w:r w:rsidR="00A415B5" w:rsidRPr="00A07C19">
        <w:rPr>
          <w:rFonts w:cs="David" w:hint="cs"/>
          <w:sz w:val="24"/>
          <w:szCs w:val="24"/>
          <w:rtl/>
        </w:rPr>
        <w:t>חובת החברה למצות את דרך השיקום</w:t>
      </w:r>
      <w:r w:rsidR="00A07C19" w:rsidRPr="00A07C19">
        <w:rPr>
          <w:rFonts w:cs="David" w:hint="cs"/>
          <w:sz w:val="24"/>
          <w:szCs w:val="24"/>
          <w:rtl/>
        </w:rPr>
        <w:t xml:space="preserve"> בעניינם</w:t>
      </w:r>
      <w:r w:rsidRPr="00A07C19">
        <w:rPr>
          <w:rFonts w:cs="David" w:hint="cs"/>
          <w:sz w:val="24"/>
          <w:szCs w:val="24"/>
          <w:rtl/>
        </w:rPr>
        <w:t>.</w:t>
      </w:r>
    </w:p>
    <w:p w:rsidR="00FE5EB6" w:rsidRPr="00A07C19" w:rsidRDefault="00673290" w:rsidP="00CD5468">
      <w:pPr>
        <w:spacing w:before="240" w:after="0" w:line="360" w:lineRule="auto"/>
        <w:jc w:val="both"/>
        <w:rPr>
          <w:rFonts w:cs="David"/>
          <w:sz w:val="24"/>
          <w:szCs w:val="24"/>
          <w:rtl/>
        </w:rPr>
      </w:pPr>
      <w:r w:rsidRPr="00A07C19">
        <w:rPr>
          <w:rFonts w:cs="David" w:hint="cs"/>
          <w:sz w:val="24"/>
          <w:szCs w:val="24"/>
          <w:rtl/>
        </w:rPr>
        <w:lastRenderedPageBreak/>
        <w:t xml:space="preserve">עמדה על כך השופטת ארבל בע"פ 7113/08 </w:t>
      </w:r>
      <w:r w:rsidR="00CE5E93" w:rsidRPr="00A07C19">
        <w:rPr>
          <w:rFonts w:cs="David" w:hint="cs"/>
          <w:b/>
          <w:bCs/>
          <w:sz w:val="24"/>
          <w:szCs w:val="24"/>
          <w:rtl/>
        </w:rPr>
        <w:t>פלוני נגד מדינת ישראל</w:t>
      </w:r>
      <w:r w:rsidR="00CE5E93" w:rsidRPr="00A07C19">
        <w:rPr>
          <w:rFonts w:cs="David" w:hint="cs"/>
          <w:sz w:val="24"/>
          <w:szCs w:val="24"/>
          <w:rtl/>
        </w:rPr>
        <w:t xml:space="preserve"> </w:t>
      </w:r>
      <w:r w:rsidR="00CD5468">
        <w:rPr>
          <w:rStyle w:val="af"/>
          <w:rFonts w:cs="David"/>
          <w:b/>
          <w:bCs/>
          <w:sz w:val="24"/>
          <w:szCs w:val="24"/>
          <w:rtl/>
        </w:rPr>
        <w:footnoteReference w:id="2"/>
      </w:r>
      <w:r w:rsidR="00FE5EB6" w:rsidRPr="00A07C19">
        <w:rPr>
          <w:rFonts w:cs="David" w:hint="cs"/>
          <w:sz w:val="24"/>
          <w:szCs w:val="24"/>
          <w:rtl/>
        </w:rPr>
        <w:t>:</w:t>
      </w:r>
    </w:p>
    <w:p w:rsidR="00624B3E" w:rsidRPr="00A07C19" w:rsidRDefault="00FE5EB6" w:rsidP="007B16FE">
      <w:pPr>
        <w:pStyle w:val="Ruller40"/>
        <w:spacing w:before="120"/>
        <w:ind w:left="562" w:right="562"/>
        <w:rPr>
          <w:rFonts w:cs="David"/>
          <w:b/>
          <w:bCs/>
          <w:sz w:val="24"/>
          <w:szCs w:val="24"/>
          <w:rtl/>
        </w:rPr>
      </w:pPr>
      <w:r w:rsidRPr="00CD5468">
        <w:rPr>
          <w:rFonts w:cs="David" w:hint="cs"/>
          <w:b/>
          <w:bCs/>
          <w:sz w:val="24"/>
          <w:szCs w:val="24"/>
          <w:rtl/>
        </w:rPr>
        <w:t>"</w:t>
      </w:r>
      <w:r w:rsidR="0031763B" w:rsidRPr="00CD5468">
        <w:rPr>
          <w:rFonts w:cs="David" w:hint="cs"/>
          <w:b/>
          <w:bCs/>
          <w:sz w:val="24"/>
          <w:szCs w:val="24"/>
          <w:rtl/>
        </w:rPr>
        <w:t xml:space="preserve">ושוב אנו נדרשים במערכת השיקולים בגזירת העונש להתייחסות שונה וייחודית מזו של עבריין בגיר, התייחסות הנגזרת מהוראותיו של </w:t>
      </w:r>
      <w:hyperlink r:id="rId8" w:history="1">
        <w:r w:rsidR="0031763B" w:rsidRPr="00CD5468">
          <w:rPr>
            <w:rFonts w:cs="David"/>
            <w:b/>
            <w:bCs/>
            <w:sz w:val="24"/>
            <w:szCs w:val="24"/>
            <w:rtl/>
          </w:rPr>
          <w:t>סעיף 25</w:t>
        </w:r>
      </w:hyperlink>
      <w:r w:rsidR="0031763B" w:rsidRPr="00CD5468">
        <w:rPr>
          <w:rFonts w:cs="David" w:hint="cs"/>
          <w:b/>
          <w:bCs/>
          <w:sz w:val="24"/>
          <w:szCs w:val="24"/>
          <w:rtl/>
        </w:rPr>
        <w:t xml:space="preserve"> ל</w:t>
      </w:r>
      <w:hyperlink r:id="rId9" w:history="1">
        <w:r w:rsidR="0031763B" w:rsidRPr="00CD5468">
          <w:rPr>
            <w:rStyle w:val="Hyperlink"/>
            <w:rFonts w:cs="David"/>
            <w:b/>
            <w:bCs/>
            <w:color w:val="auto"/>
            <w:sz w:val="24"/>
            <w:szCs w:val="24"/>
            <w:u w:val="none"/>
            <w:rtl/>
          </w:rPr>
          <w:t>חוק הנוער (שפיטה, ענישה ודרכי טיפול)</w:t>
        </w:r>
      </w:hyperlink>
      <w:r w:rsidR="0031763B" w:rsidRPr="00CD5468">
        <w:rPr>
          <w:rFonts w:cs="David" w:hint="cs"/>
          <w:b/>
          <w:bCs/>
          <w:sz w:val="24"/>
          <w:szCs w:val="24"/>
          <w:rtl/>
        </w:rPr>
        <w:t xml:space="preserve">, התשל"א-1971 (להלן: </w:t>
      </w:r>
      <w:r w:rsidR="0031763B" w:rsidRPr="00CD5468">
        <w:rPr>
          <w:rFonts w:cs="David" w:hint="cs"/>
          <w:b/>
          <w:bCs/>
          <w:spacing w:val="0"/>
          <w:sz w:val="24"/>
          <w:szCs w:val="24"/>
          <w:rtl/>
        </w:rPr>
        <w:t>חוק הנוער</w:t>
      </w:r>
      <w:r w:rsidR="0031763B" w:rsidRPr="00CD5468">
        <w:rPr>
          <w:rFonts w:cs="David" w:hint="cs"/>
          <w:b/>
          <w:bCs/>
          <w:sz w:val="24"/>
          <w:szCs w:val="24"/>
          <w:rtl/>
        </w:rPr>
        <w:t xml:space="preserve">). אנו נדרשים </w:t>
      </w:r>
      <w:proofErr w:type="spellStart"/>
      <w:r w:rsidR="0031763B" w:rsidRPr="00CD5468">
        <w:rPr>
          <w:rFonts w:cs="David" w:hint="cs"/>
          <w:b/>
          <w:bCs/>
          <w:sz w:val="24"/>
          <w:szCs w:val="24"/>
          <w:rtl/>
        </w:rPr>
        <w:t>ליתן</w:t>
      </w:r>
      <w:proofErr w:type="spellEnd"/>
      <w:r w:rsidR="0031763B" w:rsidRPr="00CD5468">
        <w:rPr>
          <w:rFonts w:cs="David" w:hint="cs"/>
          <w:b/>
          <w:bCs/>
          <w:sz w:val="24"/>
          <w:szCs w:val="24"/>
          <w:rtl/>
        </w:rPr>
        <w:t xml:space="preserve"> משקל יתר לשיקולים</w:t>
      </w:r>
      <w:r w:rsidR="0031763B" w:rsidRPr="00A07C19">
        <w:rPr>
          <w:rFonts w:cs="David" w:hint="cs"/>
          <w:b/>
          <w:bCs/>
          <w:sz w:val="24"/>
          <w:szCs w:val="24"/>
          <w:rtl/>
        </w:rPr>
        <w:t xml:space="preserve"> אינדיבידואלים </w:t>
      </w:r>
      <w:proofErr w:type="spellStart"/>
      <w:r w:rsidR="0031763B" w:rsidRPr="00A07C19">
        <w:rPr>
          <w:rFonts w:cs="David" w:hint="cs"/>
          <w:b/>
          <w:bCs/>
          <w:sz w:val="24"/>
          <w:szCs w:val="24"/>
          <w:rtl/>
        </w:rPr>
        <w:t>ומחוייבים</w:t>
      </w:r>
      <w:proofErr w:type="spellEnd"/>
      <w:r w:rsidR="0031763B" w:rsidRPr="00A07C19">
        <w:rPr>
          <w:rFonts w:cs="David" w:hint="cs"/>
          <w:b/>
          <w:bCs/>
          <w:sz w:val="24"/>
          <w:szCs w:val="24"/>
          <w:rtl/>
        </w:rPr>
        <w:t xml:space="preserve"> לאזן</w:t>
      </w:r>
      <w:r w:rsidR="008972A4">
        <w:rPr>
          <w:rFonts w:cs="David" w:hint="cs"/>
          <w:b/>
          <w:bCs/>
          <w:sz w:val="24"/>
          <w:szCs w:val="24"/>
          <w:rtl/>
        </w:rPr>
        <w:t xml:space="preserve"> בין שיקולי שיקום לשיקולי הרתעה...</w:t>
      </w:r>
    </w:p>
    <w:p w:rsidR="0031763B" w:rsidRPr="00A07C19" w:rsidRDefault="00673290" w:rsidP="007B16FE">
      <w:pPr>
        <w:pStyle w:val="Ruller40"/>
        <w:spacing w:before="120"/>
        <w:ind w:left="562" w:right="562"/>
        <w:rPr>
          <w:rFonts w:cs="David"/>
          <w:b/>
          <w:bCs/>
          <w:sz w:val="24"/>
          <w:szCs w:val="24"/>
          <w:rtl/>
        </w:rPr>
      </w:pPr>
      <w:r w:rsidRPr="00A07C19">
        <w:rPr>
          <w:rFonts w:cs="David" w:hint="cs"/>
          <w:b/>
          <w:bCs/>
          <w:sz w:val="24"/>
          <w:szCs w:val="24"/>
          <w:rtl/>
        </w:rPr>
        <w:t>כא</w:t>
      </w:r>
      <w:r w:rsidR="0031763B" w:rsidRPr="00A07C19">
        <w:rPr>
          <w:rFonts w:cs="David" w:hint="cs"/>
          <w:b/>
          <w:bCs/>
          <w:sz w:val="24"/>
          <w:szCs w:val="24"/>
          <w:rtl/>
        </w:rPr>
        <w:t>שר מדובר על עבריין קטין יש לתת במלאכת האיזון האמורה משקל רב במיוחד לנסיבותיו האישיות של העבריין, לגילו ולסיכויי שיקומו. חוק הנוער מעניק לבית המשפט מגוון אפשרויות חלופיות לעונש המאסר, אפשרויות אשר יש בהן מרכיב טיפולי ושיקומי דומיננטי. בכך הביע המחוקק את עמדתו כי "ענישת נוער עבריין תכוון ככל הניתן לשיקומו של הקטין על מנת להחזירו לתפקוד נורמטיבי בחברה" (</w:t>
      </w:r>
      <w:hyperlink r:id="rId10" w:history="1">
        <w:r w:rsidR="0031763B" w:rsidRPr="00A07C19">
          <w:rPr>
            <w:rFonts w:cs="David"/>
            <w:b/>
            <w:bCs/>
            <w:sz w:val="24"/>
            <w:szCs w:val="24"/>
            <w:u w:val="single"/>
            <w:rtl/>
          </w:rPr>
          <w:t>ע"פ 4920/01</w:t>
        </w:r>
      </w:hyperlink>
      <w:r w:rsidR="0031763B" w:rsidRPr="00A07C19">
        <w:rPr>
          <w:rFonts w:cs="David" w:hint="cs"/>
          <w:b/>
          <w:bCs/>
          <w:sz w:val="24"/>
          <w:szCs w:val="24"/>
          <w:rtl/>
        </w:rPr>
        <w:t xml:space="preserve"> הנ"ל, בעמ' 602). בהקשר זה ציינתי כי- </w:t>
      </w:r>
    </w:p>
    <w:p w:rsidR="0031763B" w:rsidRPr="00A07C19" w:rsidRDefault="0031763B" w:rsidP="00673290">
      <w:pPr>
        <w:spacing w:before="120" w:after="0" w:line="360" w:lineRule="auto"/>
        <w:jc w:val="both"/>
        <w:rPr>
          <w:rFonts w:ascii="Arial TUR" w:hAnsi="Arial TUR" w:cs="David"/>
          <w:b/>
          <w:bCs/>
          <w:rtl/>
        </w:rPr>
      </w:pPr>
    </w:p>
    <w:p w:rsidR="0031763B" w:rsidRPr="00A07C19" w:rsidRDefault="0031763B" w:rsidP="0031763B">
      <w:pPr>
        <w:pStyle w:val="Ruller5"/>
        <w:rPr>
          <w:rFonts w:cs="David"/>
          <w:b/>
          <w:bCs/>
          <w:sz w:val="24"/>
          <w:szCs w:val="24"/>
          <w:rtl/>
        </w:rPr>
      </w:pPr>
      <w:r w:rsidRPr="00A07C19">
        <w:rPr>
          <w:rFonts w:cs="David" w:hint="cs"/>
          <w:b/>
          <w:bCs/>
          <w:sz w:val="24"/>
          <w:szCs w:val="24"/>
          <w:rtl/>
        </w:rPr>
        <w:t>"בבסיס תפישה זו עומד הרצון לאפשר לצעיר שסרח לפתוח דף חדש ולנהל חיים נורמטיביים כאזרח שומר חוק תחת שיעמיק הידרדרותו אל לב המדמנה העבריינית, דהיינו מדברים אנו באינטרס השיקום. בנוסף קיימת הכרה בכך שכאשר מדובר בנאשמים קטינים, לא אחת אין הכרתם ותודעתם מפותחת ובשלה באופן שעשוי היה לתרום במידה ניכרת למעורבותם במעשה העבירה, שאת משמעותו ותוצאותיו לא הפנימו ייתכן במלואם" (</w:t>
      </w:r>
      <w:hyperlink r:id="rId11" w:history="1">
        <w:r w:rsidRPr="00A07C19">
          <w:rPr>
            <w:rFonts w:cs="David"/>
            <w:b/>
            <w:bCs/>
            <w:sz w:val="24"/>
            <w:szCs w:val="24"/>
            <w:u w:val="single"/>
            <w:rtl/>
          </w:rPr>
          <w:t>ע"פ 10715/05</w:t>
        </w:r>
      </w:hyperlink>
      <w:r w:rsidRPr="00A07C19">
        <w:rPr>
          <w:rFonts w:cs="David" w:hint="cs"/>
          <w:b/>
          <w:bCs/>
          <w:sz w:val="24"/>
          <w:szCs w:val="24"/>
          <w:rtl/>
        </w:rPr>
        <w:t xml:space="preserve"> הנ"ל, פסקה 4 לחוות דעתי).</w:t>
      </w:r>
      <w:r w:rsidR="00624B3E" w:rsidRPr="00A07C19">
        <w:rPr>
          <w:rFonts w:cs="David" w:hint="cs"/>
          <w:b/>
          <w:bCs/>
          <w:sz w:val="24"/>
          <w:szCs w:val="24"/>
          <w:rtl/>
        </w:rPr>
        <w:t>"</w:t>
      </w:r>
    </w:p>
    <w:p w:rsidR="0031763B" w:rsidRPr="00A07C19" w:rsidRDefault="0031763B" w:rsidP="0031763B">
      <w:pPr>
        <w:pStyle w:val="Ruller5"/>
        <w:rPr>
          <w:rFonts w:cs="David"/>
          <w:b/>
          <w:bCs/>
          <w:sz w:val="24"/>
          <w:szCs w:val="24"/>
          <w:highlight w:val="green"/>
          <w:rtl/>
        </w:rPr>
      </w:pPr>
    </w:p>
    <w:p w:rsidR="0031763B" w:rsidRPr="00A07C19" w:rsidRDefault="0031763B" w:rsidP="0031763B">
      <w:pPr>
        <w:pStyle w:val="Ruller40"/>
        <w:rPr>
          <w:rFonts w:cs="David"/>
          <w:sz w:val="24"/>
          <w:szCs w:val="24"/>
          <w:rtl/>
        </w:rPr>
      </w:pPr>
    </w:p>
    <w:p w:rsidR="00CE5E93" w:rsidRPr="00A07C19" w:rsidRDefault="00CD5468" w:rsidP="00A20A93">
      <w:pPr>
        <w:spacing w:before="240" w:after="0" w:line="360" w:lineRule="auto"/>
        <w:jc w:val="both"/>
        <w:rPr>
          <w:rFonts w:cs="David"/>
          <w:sz w:val="24"/>
          <w:szCs w:val="24"/>
          <w:rtl/>
        </w:rPr>
      </w:pPr>
      <w:r>
        <w:rPr>
          <w:rFonts w:cs="David" w:hint="cs"/>
          <w:sz w:val="24"/>
          <w:szCs w:val="24"/>
          <w:rtl/>
        </w:rPr>
        <w:t>ל</w:t>
      </w:r>
      <w:r w:rsidR="00A20A93">
        <w:rPr>
          <w:rFonts w:cs="David" w:hint="cs"/>
          <w:sz w:val="24"/>
          <w:szCs w:val="24"/>
          <w:rtl/>
        </w:rPr>
        <w:t>סיבות שבבסיס ה</w:t>
      </w:r>
      <w:r w:rsidR="00E822E7">
        <w:rPr>
          <w:rFonts w:cs="David" w:hint="cs"/>
          <w:sz w:val="24"/>
          <w:szCs w:val="24"/>
          <w:rtl/>
        </w:rPr>
        <w:t xml:space="preserve">הבחנה בין ענישתם של קטינים לענישתם של בגירים </w:t>
      </w:r>
      <w:r>
        <w:rPr>
          <w:rFonts w:cs="David" w:hint="cs"/>
          <w:sz w:val="24"/>
          <w:szCs w:val="24"/>
          <w:rtl/>
        </w:rPr>
        <w:t>התייחס גם ה</w:t>
      </w:r>
      <w:r w:rsidR="00B21A8D" w:rsidRPr="00A07C19">
        <w:rPr>
          <w:rFonts w:cs="David" w:hint="cs"/>
          <w:sz w:val="24"/>
          <w:szCs w:val="24"/>
          <w:rtl/>
        </w:rPr>
        <w:t xml:space="preserve">שופט </w:t>
      </w:r>
      <w:r w:rsidR="00CE5E93" w:rsidRPr="00A07C19">
        <w:rPr>
          <w:rFonts w:cs="David" w:hint="cs"/>
          <w:sz w:val="24"/>
          <w:szCs w:val="24"/>
          <w:rtl/>
        </w:rPr>
        <w:t xml:space="preserve">רובינשטיין בע"פ 3673/15 </w:t>
      </w:r>
      <w:r w:rsidR="00CE5E93" w:rsidRPr="00A07C19">
        <w:rPr>
          <w:rFonts w:cs="David" w:hint="cs"/>
          <w:b/>
          <w:bCs/>
          <w:sz w:val="24"/>
          <w:szCs w:val="24"/>
          <w:rtl/>
        </w:rPr>
        <w:t>פלוני נגד מדינת ישראל</w:t>
      </w:r>
      <w:r w:rsidR="00CE5E93" w:rsidRPr="00A07C19">
        <w:rPr>
          <w:rFonts w:cs="David" w:hint="cs"/>
          <w:sz w:val="24"/>
          <w:szCs w:val="24"/>
          <w:rtl/>
        </w:rPr>
        <w:t xml:space="preserve"> </w:t>
      </w:r>
      <w:r>
        <w:rPr>
          <w:rStyle w:val="af"/>
          <w:rFonts w:cs="David"/>
          <w:sz w:val="24"/>
          <w:szCs w:val="24"/>
          <w:rtl/>
        </w:rPr>
        <w:footnoteReference w:id="3"/>
      </w:r>
      <w:r w:rsidR="00CE5E93" w:rsidRPr="00A07C19">
        <w:rPr>
          <w:rFonts w:cs="David" w:hint="cs"/>
          <w:sz w:val="24"/>
          <w:szCs w:val="24"/>
          <w:rtl/>
        </w:rPr>
        <w:t>:</w:t>
      </w:r>
    </w:p>
    <w:p w:rsidR="00CE5E93" w:rsidRPr="00A07C19" w:rsidRDefault="00CE5E93" w:rsidP="00E822E7">
      <w:pPr>
        <w:spacing w:before="120" w:after="0" w:line="360" w:lineRule="auto"/>
        <w:ind w:left="567" w:right="567"/>
        <w:jc w:val="both"/>
        <w:rPr>
          <w:rFonts w:cs="David"/>
          <w:b/>
          <w:bCs/>
          <w:sz w:val="24"/>
          <w:szCs w:val="24"/>
          <w:rtl/>
        </w:rPr>
      </w:pPr>
      <w:r w:rsidRPr="00A07C19">
        <w:rPr>
          <w:rFonts w:cs="David" w:hint="cs"/>
          <w:b/>
          <w:bCs/>
          <w:sz w:val="24"/>
          <w:szCs w:val="24"/>
          <w:rtl/>
        </w:rPr>
        <w:t xml:space="preserve">"ההבחנה בין קטין לבין בגיר לעניין גזירת העונש, נובעת, כפי שבואר בבית משפט זה לא אחת, ממספר נימוקים עיקריים: (1) הכרה באחריות מופחתת למעשים, הנובעת מהתפתחויות פיסיולוגיות, היעדר </w:t>
      </w:r>
      <w:proofErr w:type="spellStart"/>
      <w:r w:rsidRPr="00A07C19">
        <w:rPr>
          <w:rFonts w:cs="David" w:hint="cs"/>
          <w:b/>
          <w:bCs/>
          <w:sz w:val="24"/>
          <w:szCs w:val="24"/>
          <w:rtl/>
        </w:rPr>
        <w:t>נסיון</w:t>
      </w:r>
      <w:proofErr w:type="spellEnd"/>
      <w:r w:rsidRPr="00A07C19">
        <w:rPr>
          <w:rFonts w:cs="David" w:hint="cs"/>
          <w:b/>
          <w:bCs/>
          <w:sz w:val="24"/>
          <w:szCs w:val="24"/>
          <w:rtl/>
        </w:rPr>
        <w:t xml:space="preserve"> חיים ועוד; (2) השפעת העונש על הנענש – תוך שההנחה היא כי בעניינם של קטינים, קיים פוטנציאל להשפעה קשה, ואף הרסנית, של עונשי מאסר; (3) ושיקולי שיקום, תוך שהנחת היסוד היא כי ראוי ואף ניתן לשקם את הקטין ביתר קלות לעומת הבגיר (</w:t>
      </w:r>
      <w:hyperlink r:id="rId12" w:history="1">
        <w:r w:rsidRPr="00A07C19">
          <w:rPr>
            <w:rStyle w:val="Hyperlink"/>
            <w:rFonts w:cs="David"/>
            <w:b/>
            <w:bCs/>
            <w:color w:val="auto"/>
            <w:sz w:val="24"/>
            <w:szCs w:val="24"/>
            <w:rtl/>
          </w:rPr>
          <w:t>ע"פ 5048/09</w:t>
        </w:r>
        <w:r w:rsidRPr="00A07C19">
          <w:rPr>
            <w:rStyle w:val="Hyperlink"/>
            <w:rFonts w:cs="David" w:hint="cs"/>
            <w:b/>
            <w:bCs/>
            <w:color w:val="auto"/>
            <w:sz w:val="24"/>
            <w:szCs w:val="24"/>
            <w:rtl/>
          </w:rPr>
          <w:t xml:space="preserve"> פלוני נ' מדינת ישראל, סד</w:t>
        </w:r>
      </w:hyperlink>
      <w:r w:rsidRPr="00A07C19">
        <w:rPr>
          <w:rFonts w:cs="David" w:hint="cs"/>
          <w:b/>
          <w:bCs/>
          <w:sz w:val="24"/>
          <w:szCs w:val="24"/>
          <w:rtl/>
        </w:rPr>
        <w:t xml:space="preserve">(1) 1 (2010), בפסקה 5 לפסק דינו של השופט הנדל (להלן עניין פלוני); וראו גם </w:t>
      </w:r>
      <w:hyperlink r:id="rId13" w:history="1">
        <w:r w:rsidRPr="00A07C19">
          <w:rPr>
            <w:rFonts w:cs="David"/>
            <w:b/>
            <w:bCs/>
            <w:sz w:val="24"/>
            <w:szCs w:val="24"/>
            <w:u w:val="single"/>
            <w:rtl/>
          </w:rPr>
          <w:t>ע"פ 49/09</w:t>
        </w:r>
      </w:hyperlink>
      <w:r w:rsidRPr="00A07C19">
        <w:rPr>
          <w:rFonts w:cs="David" w:hint="cs"/>
          <w:b/>
          <w:bCs/>
          <w:sz w:val="24"/>
          <w:szCs w:val="24"/>
          <w:rtl/>
        </w:rPr>
        <w:t xml:space="preserve"> מדינת ישראל נ' פלונים </w:t>
      </w:r>
      <w:r w:rsidRPr="00A07C19">
        <w:rPr>
          <w:rFonts w:ascii="Times New Roman" w:hAnsi="Times New Roman" w:cs="David"/>
          <w:b/>
          <w:bCs/>
          <w:sz w:val="24"/>
          <w:szCs w:val="24"/>
          <w:rtl/>
        </w:rPr>
        <w:t xml:space="preserve">[פורסם בנבו] </w:t>
      </w:r>
      <w:r w:rsidRPr="00A07C19">
        <w:rPr>
          <w:rFonts w:cs="David" w:hint="cs"/>
          <w:b/>
          <w:bCs/>
          <w:sz w:val="24"/>
          <w:szCs w:val="24"/>
          <w:rtl/>
        </w:rPr>
        <w:t xml:space="preserve">(2009), בפסק דינו של </w:t>
      </w:r>
      <w:r w:rsidRPr="00A07C19">
        <w:rPr>
          <w:rFonts w:cs="David" w:hint="cs"/>
          <w:b/>
          <w:bCs/>
          <w:sz w:val="24"/>
          <w:szCs w:val="24"/>
          <w:rtl/>
        </w:rPr>
        <w:lastRenderedPageBreak/>
        <w:t xml:space="preserve">השופט </w:t>
      </w:r>
      <w:proofErr w:type="spellStart"/>
      <w:r w:rsidRPr="00A07C19">
        <w:rPr>
          <w:rFonts w:cs="David" w:hint="cs"/>
          <w:b/>
          <w:bCs/>
          <w:sz w:val="24"/>
          <w:szCs w:val="24"/>
          <w:rtl/>
        </w:rPr>
        <w:t>דנציגר</w:t>
      </w:r>
      <w:proofErr w:type="spellEnd"/>
      <w:r w:rsidRPr="00A07C19">
        <w:rPr>
          <w:rFonts w:cs="David" w:hint="cs"/>
          <w:b/>
          <w:bCs/>
          <w:sz w:val="24"/>
          <w:szCs w:val="24"/>
          <w:rtl/>
        </w:rPr>
        <w:t xml:space="preserve">; </w:t>
      </w:r>
      <w:hyperlink r:id="rId14" w:history="1">
        <w:r w:rsidRPr="00A07C19">
          <w:rPr>
            <w:rFonts w:cs="David"/>
            <w:b/>
            <w:bCs/>
            <w:sz w:val="24"/>
            <w:szCs w:val="24"/>
            <w:u w:val="single"/>
            <w:rtl/>
          </w:rPr>
          <w:t>ע"פ 7781/12</w:t>
        </w:r>
      </w:hyperlink>
      <w:r w:rsidRPr="00A07C19">
        <w:rPr>
          <w:rFonts w:cs="David" w:hint="cs"/>
          <w:b/>
          <w:bCs/>
          <w:sz w:val="24"/>
          <w:szCs w:val="24"/>
          <w:rtl/>
        </w:rPr>
        <w:t xml:space="preserve"> פלוני נ' מדינת ישראל </w:t>
      </w:r>
      <w:r w:rsidRPr="00A07C19">
        <w:rPr>
          <w:rFonts w:ascii="Times New Roman" w:hAnsi="Times New Roman" w:cs="David"/>
          <w:b/>
          <w:bCs/>
          <w:sz w:val="24"/>
          <w:szCs w:val="24"/>
          <w:rtl/>
        </w:rPr>
        <w:t xml:space="preserve">[פורסם בנבו] </w:t>
      </w:r>
      <w:r w:rsidRPr="00A07C19">
        <w:rPr>
          <w:rFonts w:cs="David" w:hint="cs"/>
          <w:b/>
          <w:bCs/>
          <w:sz w:val="24"/>
          <w:szCs w:val="24"/>
          <w:rtl/>
        </w:rPr>
        <w:t xml:space="preserve">(2013), </w:t>
      </w:r>
      <w:hyperlink r:id="rId15" w:history="1">
        <w:r w:rsidRPr="00A07C19">
          <w:rPr>
            <w:rFonts w:cs="David"/>
            <w:b/>
            <w:bCs/>
            <w:sz w:val="24"/>
            <w:szCs w:val="24"/>
            <w:u w:val="single"/>
            <w:rtl/>
          </w:rPr>
          <w:t>ע"פ 5360/12</w:t>
        </w:r>
      </w:hyperlink>
      <w:r w:rsidRPr="00A07C19">
        <w:rPr>
          <w:rFonts w:cs="David" w:hint="cs"/>
          <w:b/>
          <w:bCs/>
          <w:sz w:val="24"/>
          <w:szCs w:val="24"/>
          <w:rtl/>
        </w:rPr>
        <w:t xml:space="preserve"> פלוני נ' מדינת ישראל </w:t>
      </w:r>
      <w:r w:rsidRPr="00A07C19">
        <w:rPr>
          <w:rFonts w:ascii="Times New Roman" w:hAnsi="Times New Roman" w:cs="David"/>
          <w:b/>
          <w:bCs/>
          <w:sz w:val="24"/>
          <w:szCs w:val="24"/>
          <w:rtl/>
        </w:rPr>
        <w:t xml:space="preserve">[פורסם בנבו] </w:t>
      </w:r>
      <w:r w:rsidRPr="00A07C19">
        <w:rPr>
          <w:rFonts w:cs="David" w:hint="cs"/>
          <w:b/>
          <w:bCs/>
          <w:sz w:val="24"/>
          <w:szCs w:val="24"/>
          <w:rtl/>
        </w:rPr>
        <w:t>(2013)).</w:t>
      </w:r>
      <w:r w:rsidR="008972A4">
        <w:rPr>
          <w:rFonts w:cs="David" w:hint="cs"/>
          <w:b/>
          <w:bCs/>
          <w:sz w:val="24"/>
          <w:szCs w:val="24"/>
          <w:rtl/>
        </w:rPr>
        <w:t>...</w:t>
      </w:r>
      <w:r w:rsidRPr="00A07C19">
        <w:rPr>
          <w:rFonts w:cs="David" w:hint="cs"/>
          <w:sz w:val="24"/>
          <w:szCs w:val="24"/>
          <w:rtl/>
        </w:rPr>
        <w:t>"</w:t>
      </w:r>
      <w:r w:rsidRPr="00A07C19">
        <w:rPr>
          <w:rFonts w:cs="David" w:hint="cs"/>
          <w:b/>
          <w:bCs/>
          <w:sz w:val="24"/>
          <w:szCs w:val="24"/>
          <w:rtl/>
        </w:rPr>
        <w:t xml:space="preserve"> </w:t>
      </w:r>
    </w:p>
    <w:p w:rsidR="0005434A" w:rsidRPr="00A07C19" w:rsidRDefault="0005434A" w:rsidP="0005434A">
      <w:pPr>
        <w:pStyle w:val="ruller41"/>
        <w:rPr>
          <w:rFonts w:cs="David"/>
          <w:sz w:val="28"/>
          <w:szCs w:val="28"/>
          <w:rtl/>
        </w:rPr>
      </w:pPr>
    </w:p>
    <w:p w:rsidR="0005434A" w:rsidRPr="00A07C19" w:rsidRDefault="0005434A" w:rsidP="00CD5468">
      <w:pPr>
        <w:pStyle w:val="ruller41"/>
        <w:rPr>
          <w:rFonts w:cs="David"/>
          <w:sz w:val="24"/>
          <w:szCs w:val="24"/>
          <w:rtl/>
        </w:rPr>
      </w:pPr>
      <w:r w:rsidRPr="00A07C19">
        <w:rPr>
          <w:rFonts w:cs="David" w:hint="cs"/>
          <w:sz w:val="24"/>
          <w:szCs w:val="24"/>
          <w:rtl/>
        </w:rPr>
        <w:t xml:space="preserve">עמדה על כך גם השופטת </w:t>
      </w:r>
      <w:proofErr w:type="spellStart"/>
      <w:r w:rsidRPr="00A07C19">
        <w:rPr>
          <w:rFonts w:cs="David" w:hint="cs"/>
          <w:sz w:val="24"/>
          <w:szCs w:val="24"/>
          <w:rtl/>
        </w:rPr>
        <w:t>פרוקצ'ה</w:t>
      </w:r>
      <w:proofErr w:type="spellEnd"/>
      <w:r w:rsidRPr="00A07C19">
        <w:rPr>
          <w:rFonts w:cs="David" w:hint="cs"/>
          <w:sz w:val="24"/>
          <w:szCs w:val="24"/>
          <w:rtl/>
        </w:rPr>
        <w:t xml:space="preserve"> בע"פ 10715/05 </w:t>
      </w:r>
      <w:r w:rsidRPr="00A07C19">
        <w:rPr>
          <w:rFonts w:cs="David" w:hint="cs"/>
          <w:b/>
          <w:bCs/>
          <w:sz w:val="24"/>
          <w:szCs w:val="24"/>
          <w:rtl/>
        </w:rPr>
        <w:t>פלוני נגד מדינת ישראל</w:t>
      </w:r>
      <w:r w:rsidRPr="00A07C19">
        <w:rPr>
          <w:rFonts w:cs="David" w:hint="cs"/>
          <w:sz w:val="24"/>
          <w:szCs w:val="24"/>
          <w:rtl/>
        </w:rPr>
        <w:t xml:space="preserve"> </w:t>
      </w:r>
      <w:r w:rsidR="00CD5468">
        <w:rPr>
          <w:rStyle w:val="af"/>
          <w:rFonts w:cs="David"/>
          <w:sz w:val="24"/>
          <w:szCs w:val="24"/>
          <w:rtl/>
        </w:rPr>
        <w:footnoteReference w:id="4"/>
      </w:r>
      <w:r w:rsidR="00CD5468">
        <w:rPr>
          <w:rFonts w:cs="David" w:hint="cs"/>
          <w:sz w:val="24"/>
          <w:szCs w:val="24"/>
          <w:rtl/>
        </w:rPr>
        <w:t>:</w:t>
      </w:r>
    </w:p>
    <w:p w:rsidR="00CE5E93" w:rsidRDefault="0005434A" w:rsidP="00E822E7">
      <w:pPr>
        <w:pStyle w:val="ruller41"/>
        <w:ind w:left="567" w:right="567"/>
        <w:rPr>
          <w:rFonts w:cs="David"/>
          <w:b/>
          <w:bCs/>
          <w:sz w:val="24"/>
          <w:szCs w:val="24"/>
          <w:rtl/>
        </w:rPr>
      </w:pPr>
      <w:r w:rsidRPr="00A07C19">
        <w:rPr>
          <w:rFonts w:cs="David" w:hint="cs"/>
          <w:b/>
          <w:bCs/>
          <w:sz w:val="24"/>
          <w:szCs w:val="24"/>
          <w:rtl/>
        </w:rPr>
        <w:t xml:space="preserve">"במדיניות הענישה הנוהגת והראויה ניתן, דרך כלל, משקל רב לעובדת </w:t>
      </w:r>
      <w:proofErr w:type="spellStart"/>
      <w:r w:rsidRPr="00A07C19">
        <w:rPr>
          <w:rFonts w:cs="David" w:hint="cs"/>
          <w:b/>
          <w:bCs/>
          <w:sz w:val="24"/>
          <w:szCs w:val="24"/>
          <w:rtl/>
        </w:rPr>
        <w:t>קטינותם</w:t>
      </w:r>
      <w:proofErr w:type="spellEnd"/>
      <w:r w:rsidRPr="00A07C19">
        <w:rPr>
          <w:rFonts w:cs="David" w:hint="cs"/>
          <w:b/>
          <w:bCs/>
          <w:sz w:val="24"/>
          <w:szCs w:val="24"/>
          <w:rtl/>
        </w:rPr>
        <w:t xml:space="preserve"> של נאשמים, וזאת משני היבטים עיקריים: ראשית, גילו הצעיר של נאשם משליך על דרגת החומרה שבה יש להשקיף על מעשיו. גם בקיומה של אחריות פלילית, גילו הצעיר של נאשם, טרם בגירות, עשוי להצביע על חוסר בשלות אישית טבעית להבין לעומקם של דברים את משמעות המעשה הפלילי ותוצאותיו. לחוסר בשלות זה ניתן משקל מקל בענישתם של קטינים. שנית, מעורבותם של קטינים בעבירות פליליות, ובהן גם חמורות ביותר, מותיר לעולם תחושת מחויבות של החברה למצוא כל דרך לשקם את העבריינים הקטינים ולהעלותם על מסלול חיים תקין וראוי. למחויבות זו תכלית משולבת: לשקם את הפרט ולפתוח בפניו את דרך החיים הנורמטיבית, ולהבטיח לציבור הרחב חיים של ביטחון ושלווה בחברה הפועלת להקטנת ממדיה של הפשיעה. אם עבריינות המבוגר מותירה פתח אפשרי וחשוב לשיקום, הרי עבריינות קטין מטילה על שכם החברה חובה לעשות כל שניתן, על-מנת למצות את סיכויי השיקום של הצעיר בטרם יהיה מאוחר מדי. חובתה של החברה לעשות לשיקום העבריין הצעיר והצורך למצות את דרך השיקום הם שיקולי כבדי משקל בגזרת דינו של קטין, בעבירה קלה כחמורה."</w:t>
      </w:r>
    </w:p>
    <w:p w:rsidR="00CD5468" w:rsidRDefault="00CD5468" w:rsidP="0005434A">
      <w:pPr>
        <w:pStyle w:val="ruller41"/>
        <w:rPr>
          <w:rFonts w:cs="David"/>
          <w:b/>
          <w:bCs/>
          <w:sz w:val="24"/>
          <w:szCs w:val="24"/>
          <w:rtl/>
        </w:rPr>
      </w:pPr>
    </w:p>
    <w:p w:rsidR="00CE5E93" w:rsidRPr="00A07C19" w:rsidRDefault="00B21A8D" w:rsidP="00167762">
      <w:pPr>
        <w:spacing w:before="240" w:after="0" w:line="360" w:lineRule="auto"/>
        <w:jc w:val="both"/>
        <w:rPr>
          <w:rFonts w:cs="David"/>
          <w:sz w:val="24"/>
          <w:szCs w:val="24"/>
          <w:u w:val="single"/>
          <w:rtl/>
        </w:rPr>
      </w:pPr>
      <w:r w:rsidRPr="00A07C19">
        <w:rPr>
          <w:rFonts w:cs="David" w:hint="cs"/>
          <w:sz w:val="24"/>
          <w:szCs w:val="24"/>
          <w:u w:val="single"/>
          <w:rtl/>
        </w:rPr>
        <w:t>מאסר קטינים</w:t>
      </w:r>
    </w:p>
    <w:p w:rsidR="008F7096" w:rsidRPr="00A07C19" w:rsidRDefault="00CD5468" w:rsidP="00CD5468">
      <w:pPr>
        <w:spacing w:before="240" w:after="0" w:line="360" w:lineRule="auto"/>
        <w:jc w:val="both"/>
        <w:rPr>
          <w:rFonts w:cs="David"/>
          <w:sz w:val="24"/>
          <w:szCs w:val="24"/>
          <w:rtl/>
        </w:rPr>
      </w:pPr>
      <w:r>
        <w:rPr>
          <w:rFonts w:cs="David" w:hint="cs"/>
          <w:sz w:val="24"/>
          <w:szCs w:val="24"/>
          <w:rtl/>
        </w:rPr>
        <w:t>כאמור לעיל,</w:t>
      </w:r>
      <w:r w:rsidR="008F7096" w:rsidRPr="00A07C19">
        <w:rPr>
          <w:rFonts w:cs="David" w:hint="cs"/>
          <w:sz w:val="24"/>
          <w:szCs w:val="24"/>
          <w:rtl/>
        </w:rPr>
        <w:t xml:space="preserve"> לעניין מאסר, קובע סעיף 25(ד)</w:t>
      </w:r>
      <w:r>
        <w:rPr>
          <w:rFonts w:cs="David" w:hint="cs"/>
          <w:sz w:val="24"/>
          <w:szCs w:val="24"/>
          <w:rtl/>
        </w:rPr>
        <w:t xml:space="preserve"> כי לא יוטל עונש מאסר על קטין שטרם מלאו לו 14 שנים בעת מתן גזר הדין</w:t>
      </w:r>
      <w:r w:rsidR="008F7096" w:rsidRPr="00A07C19">
        <w:rPr>
          <w:rFonts w:cs="David" w:hint="cs"/>
          <w:sz w:val="24"/>
          <w:szCs w:val="24"/>
          <w:rtl/>
        </w:rPr>
        <w:t>:</w:t>
      </w:r>
    </w:p>
    <w:tbl>
      <w:tblPr>
        <w:tblStyle w:val="a4"/>
        <w:bidiVisual/>
        <w:tblW w:w="0" w:type="auto"/>
        <w:tblLook w:val="04A0" w:firstRow="1" w:lastRow="0" w:firstColumn="1" w:lastColumn="0" w:noHBand="0" w:noVBand="1"/>
      </w:tblPr>
      <w:tblGrid>
        <w:gridCol w:w="8296"/>
      </w:tblGrid>
      <w:tr w:rsidR="00167762" w:rsidRPr="00A07C19" w:rsidTr="00167762">
        <w:tc>
          <w:tcPr>
            <w:tcW w:w="8296" w:type="dxa"/>
          </w:tcPr>
          <w:p w:rsidR="00167762" w:rsidRPr="00A07C19" w:rsidRDefault="00167762" w:rsidP="00167762">
            <w:pPr>
              <w:spacing w:before="240" w:after="0" w:line="360" w:lineRule="auto"/>
              <w:jc w:val="both"/>
              <w:rPr>
                <w:rFonts w:cs="David"/>
                <w:sz w:val="24"/>
                <w:szCs w:val="24"/>
                <w:rtl/>
              </w:rPr>
            </w:pPr>
            <w:r w:rsidRPr="00A07C19">
              <w:rPr>
                <w:rFonts w:cs="David" w:hint="cs"/>
                <w:b/>
                <w:bCs/>
                <w:sz w:val="24"/>
                <w:szCs w:val="24"/>
                <w:rtl/>
              </w:rPr>
              <w:t xml:space="preserve">"קטין שבשעת גזירת דינו טרם מלאו לו ארבע עשרה שנה, לא יוטל עליו מאסר". </w:t>
            </w:r>
          </w:p>
        </w:tc>
      </w:tr>
    </w:tbl>
    <w:p w:rsidR="00A20A93" w:rsidRDefault="00A20A93" w:rsidP="009D2A9D">
      <w:pPr>
        <w:spacing w:before="240" w:after="0" w:line="360" w:lineRule="auto"/>
        <w:jc w:val="both"/>
        <w:rPr>
          <w:rFonts w:cs="David"/>
          <w:sz w:val="24"/>
          <w:szCs w:val="24"/>
          <w:rtl/>
        </w:rPr>
      </w:pPr>
      <w:r>
        <w:rPr>
          <w:rFonts w:cs="David" w:hint="cs"/>
          <w:sz w:val="24"/>
          <w:szCs w:val="24"/>
          <w:rtl/>
        </w:rPr>
        <w:t xml:space="preserve">לפי הסעיף האמור, המועד הקובע לעניין הסמכות להטיל עונש מאסר הינו יום מתן גזר הדין. </w:t>
      </w:r>
      <w:r w:rsidR="009D2A9D">
        <w:rPr>
          <w:rFonts w:cs="David" w:hint="cs"/>
          <w:sz w:val="24"/>
          <w:szCs w:val="24"/>
          <w:rtl/>
        </w:rPr>
        <w:t xml:space="preserve">לפיכך, </w:t>
      </w:r>
      <w:r>
        <w:rPr>
          <w:rFonts w:cs="David" w:hint="cs"/>
          <w:sz w:val="24"/>
          <w:szCs w:val="24"/>
          <w:rtl/>
        </w:rPr>
        <w:t xml:space="preserve">הלכה למעשה כאשר מתמשכים ההליכים בבית המשפט, ניתן להטיל עונש </w:t>
      </w:r>
      <w:r w:rsidRPr="009246CF">
        <w:rPr>
          <w:rFonts w:cs="David" w:hint="cs"/>
          <w:sz w:val="24"/>
          <w:szCs w:val="24"/>
          <w:rtl/>
        </w:rPr>
        <w:t>מאסר על קטין שהיה צעיר יותר בשעת ביצוע העבירה</w:t>
      </w:r>
      <w:r w:rsidR="009D2A9D">
        <w:rPr>
          <w:rFonts w:cs="David" w:hint="cs"/>
          <w:sz w:val="24"/>
          <w:szCs w:val="24"/>
          <w:rtl/>
        </w:rPr>
        <w:t>, אם ביום מתן גזר הדין כבר מלאו לו 14 שנים</w:t>
      </w:r>
      <w:r w:rsidRPr="009246CF">
        <w:rPr>
          <w:rFonts w:cs="David" w:hint="cs"/>
          <w:sz w:val="24"/>
          <w:szCs w:val="24"/>
          <w:rtl/>
        </w:rPr>
        <w:t>.</w:t>
      </w:r>
    </w:p>
    <w:p w:rsidR="00167762" w:rsidRPr="00A07C19" w:rsidRDefault="009D2A9D" w:rsidP="009D2A9D">
      <w:pPr>
        <w:spacing w:before="240" w:after="0" w:line="360" w:lineRule="auto"/>
        <w:jc w:val="both"/>
        <w:rPr>
          <w:rFonts w:cs="David"/>
          <w:sz w:val="24"/>
          <w:szCs w:val="24"/>
          <w:rtl/>
        </w:rPr>
      </w:pPr>
      <w:r>
        <w:rPr>
          <w:rFonts w:cs="David" w:hint="cs"/>
          <w:sz w:val="24"/>
          <w:szCs w:val="24"/>
          <w:rtl/>
        </w:rPr>
        <w:t xml:space="preserve">שני </w:t>
      </w:r>
      <w:r w:rsidR="00D04768">
        <w:rPr>
          <w:rFonts w:cs="David" w:hint="cs"/>
          <w:sz w:val="24"/>
          <w:szCs w:val="24"/>
          <w:rtl/>
        </w:rPr>
        <w:t xml:space="preserve">רציונאליים עומדים </w:t>
      </w:r>
      <w:r>
        <w:rPr>
          <w:rFonts w:cs="David" w:hint="cs"/>
          <w:sz w:val="24"/>
          <w:szCs w:val="24"/>
          <w:rtl/>
        </w:rPr>
        <w:t xml:space="preserve">בבסיס קביעת הגיל המינימאלי להטלת עונש מאסר </w:t>
      </w:r>
      <w:r>
        <w:rPr>
          <w:rFonts w:cs="David" w:hint="eastAsia"/>
          <w:sz w:val="24"/>
          <w:szCs w:val="24"/>
          <w:rtl/>
        </w:rPr>
        <w:t>–</w:t>
      </w:r>
      <w:r>
        <w:rPr>
          <w:rFonts w:cs="David" w:hint="cs"/>
          <w:sz w:val="24"/>
          <w:szCs w:val="24"/>
          <w:rtl/>
        </w:rPr>
        <w:t xml:space="preserve"> </w:t>
      </w:r>
      <w:r w:rsidR="00D04768">
        <w:rPr>
          <w:rFonts w:cs="David" w:hint="cs"/>
          <w:sz w:val="24"/>
          <w:szCs w:val="24"/>
          <w:rtl/>
        </w:rPr>
        <w:t xml:space="preserve">האחד, </w:t>
      </w:r>
      <w:r w:rsidR="00A57189" w:rsidRPr="00A07C19">
        <w:rPr>
          <w:rFonts w:cs="David" w:hint="cs"/>
          <w:sz w:val="24"/>
          <w:szCs w:val="24"/>
          <w:rtl/>
        </w:rPr>
        <w:t>האחריות המופחתת המיוחסת לקטינים צעירים</w:t>
      </w:r>
      <w:r w:rsidR="00CD5468">
        <w:rPr>
          <w:rFonts w:cs="David" w:hint="cs"/>
          <w:sz w:val="24"/>
          <w:szCs w:val="24"/>
          <w:rtl/>
        </w:rPr>
        <w:t xml:space="preserve"> </w:t>
      </w:r>
      <w:r w:rsidR="00CD5468" w:rsidRPr="00CD5468">
        <w:rPr>
          <w:rFonts w:cs="David" w:hint="cs"/>
          <w:sz w:val="24"/>
          <w:szCs w:val="24"/>
          <w:rtl/>
        </w:rPr>
        <w:t xml:space="preserve"> </w:t>
      </w:r>
      <w:r w:rsidR="00CD5468" w:rsidRPr="00A07C19">
        <w:rPr>
          <w:rFonts w:cs="David" w:hint="cs"/>
          <w:sz w:val="24"/>
          <w:szCs w:val="24"/>
          <w:rtl/>
        </w:rPr>
        <w:t>מאד</w:t>
      </w:r>
      <w:r w:rsidR="00A57189" w:rsidRPr="00A07C19">
        <w:rPr>
          <w:rFonts w:cs="David" w:hint="cs"/>
          <w:sz w:val="24"/>
          <w:szCs w:val="24"/>
          <w:rtl/>
        </w:rPr>
        <w:t xml:space="preserve">. </w:t>
      </w:r>
      <w:r w:rsidR="009933DF">
        <w:rPr>
          <w:rFonts w:cs="David" w:hint="cs"/>
          <w:sz w:val="24"/>
          <w:szCs w:val="24"/>
          <w:rtl/>
        </w:rPr>
        <w:t>והשני,</w:t>
      </w:r>
      <w:r w:rsidR="00167762" w:rsidRPr="00A07C19">
        <w:rPr>
          <w:rFonts w:cs="David" w:hint="cs"/>
          <w:sz w:val="24"/>
          <w:szCs w:val="24"/>
          <w:rtl/>
        </w:rPr>
        <w:t xml:space="preserve"> </w:t>
      </w:r>
      <w:r w:rsidR="009933DF">
        <w:rPr>
          <w:rFonts w:cs="David" w:hint="cs"/>
          <w:sz w:val="24"/>
          <w:szCs w:val="24"/>
          <w:rtl/>
        </w:rPr>
        <w:t xml:space="preserve">מניעת הנזק החמור במיוחד שעלול להיגרם </w:t>
      </w:r>
      <w:r w:rsidR="00167762" w:rsidRPr="00A07C19">
        <w:rPr>
          <w:rFonts w:cs="David" w:hint="cs"/>
          <w:sz w:val="24"/>
          <w:szCs w:val="24"/>
          <w:rtl/>
        </w:rPr>
        <w:t xml:space="preserve">לקטין </w:t>
      </w:r>
      <w:r w:rsidR="009933DF">
        <w:rPr>
          <w:rFonts w:cs="David" w:hint="cs"/>
          <w:sz w:val="24"/>
          <w:szCs w:val="24"/>
          <w:rtl/>
        </w:rPr>
        <w:t xml:space="preserve">צעיר מאד </w:t>
      </w:r>
      <w:r w:rsidR="00167762" w:rsidRPr="00A07C19">
        <w:rPr>
          <w:rFonts w:cs="David" w:hint="cs"/>
          <w:sz w:val="24"/>
          <w:szCs w:val="24"/>
          <w:rtl/>
        </w:rPr>
        <w:t>בהכנסתו תחת כותלי בית הסוהר.</w:t>
      </w:r>
    </w:p>
    <w:p w:rsidR="003A7BF8" w:rsidRPr="00A07C19" w:rsidRDefault="003A7BF8" w:rsidP="003A7BF8">
      <w:pPr>
        <w:pStyle w:val="Ruller40"/>
        <w:rPr>
          <w:rFonts w:cs="David"/>
          <w:rtl/>
        </w:rPr>
      </w:pPr>
    </w:p>
    <w:p w:rsidR="003A7BF8" w:rsidRPr="00A07C19" w:rsidRDefault="003A7BF8" w:rsidP="00DE581A">
      <w:pPr>
        <w:pStyle w:val="Ruller40"/>
        <w:rPr>
          <w:rFonts w:cs="David"/>
          <w:sz w:val="24"/>
          <w:szCs w:val="24"/>
          <w:rtl/>
        </w:rPr>
      </w:pPr>
      <w:r w:rsidRPr="00A07C19">
        <w:rPr>
          <w:rFonts w:cs="David" w:hint="cs"/>
          <w:sz w:val="24"/>
          <w:szCs w:val="24"/>
          <w:rtl/>
        </w:rPr>
        <w:lastRenderedPageBreak/>
        <w:t xml:space="preserve">עמדה על כך נשיאת בית המשפט העליון </w:t>
      </w:r>
      <w:r w:rsidR="00DE581A">
        <w:rPr>
          <w:rFonts w:cs="David" w:hint="cs"/>
          <w:sz w:val="24"/>
          <w:szCs w:val="24"/>
          <w:rtl/>
        </w:rPr>
        <w:t xml:space="preserve">(כתוארה אז) </w:t>
      </w:r>
      <w:r w:rsidRPr="00A07C19">
        <w:rPr>
          <w:rFonts w:cs="David" w:hint="cs"/>
          <w:sz w:val="24"/>
          <w:szCs w:val="24"/>
          <w:rtl/>
        </w:rPr>
        <w:t xml:space="preserve">השופטת בייניש בע"פ 534/04 </w:t>
      </w:r>
      <w:r w:rsidRPr="00A07C19">
        <w:rPr>
          <w:rFonts w:cs="David" w:hint="cs"/>
          <w:b/>
          <w:bCs/>
          <w:sz w:val="24"/>
          <w:szCs w:val="24"/>
          <w:rtl/>
        </w:rPr>
        <w:t>פלוני נגד מדינת ישראל</w:t>
      </w:r>
      <w:r w:rsidR="00DE581A" w:rsidRPr="00A07C19">
        <w:rPr>
          <w:rStyle w:val="af"/>
          <w:rFonts w:cs="David"/>
          <w:sz w:val="24"/>
          <w:szCs w:val="24"/>
          <w:rtl/>
        </w:rPr>
        <w:footnoteReference w:id="5"/>
      </w:r>
      <w:r w:rsidRPr="00A07C19">
        <w:rPr>
          <w:rFonts w:cs="David" w:hint="cs"/>
          <w:sz w:val="24"/>
          <w:szCs w:val="24"/>
          <w:rtl/>
        </w:rPr>
        <w:t>:</w:t>
      </w:r>
    </w:p>
    <w:p w:rsidR="003A7BF8" w:rsidRPr="00A07C19" w:rsidRDefault="003A7BF8" w:rsidP="00E822E7">
      <w:pPr>
        <w:pStyle w:val="Ruller40"/>
        <w:ind w:left="567" w:right="567"/>
        <w:rPr>
          <w:rFonts w:cs="David"/>
          <w:sz w:val="24"/>
          <w:szCs w:val="24"/>
          <w:rtl/>
        </w:rPr>
      </w:pPr>
      <w:r w:rsidRPr="00A07C19">
        <w:rPr>
          <w:rFonts w:cs="David" w:hint="cs"/>
          <w:b/>
          <w:bCs/>
          <w:sz w:val="24"/>
          <w:szCs w:val="24"/>
          <w:rtl/>
        </w:rPr>
        <w:t>"</w:t>
      </w:r>
      <w:r w:rsidRPr="00A07C19">
        <w:rPr>
          <w:rFonts w:cs="David" w:hint="eastAsia"/>
          <w:b/>
          <w:bCs/>
          <w:sz w:val="24"/>
          <w:szCs w:val="24"/>
          <w:rtl/>
        </w:rPr>
        <w:t>בין</w:t>
      </w:r>
      <w:r w:rsidRPr="00A07C19">
        <w:rPr>
          <w:rFonts w:cs="David"/>
          <w:b/>
          <w:bCs/>
          <w:sz w:val="24"/>
          <w:szCs w:val="24"/>
          <w:rtl/>
        </w:rPr>
        <w:t xml:space="preserve"> שאר הנסיבות הנבדקות בעת גזירת </w:t>
      </w:r>
      <w:r w:rsidRPr="00A07C19">
        <w:rPr>
          <w:rFonts w:cs="David" w:hint="eastAsia"/>
          <w:b/>
          <w:bCs/>
          <w:sz w:val="24"/>
          <w:szCs w:val="24"/>
          <w:rtl/>
        </w:rPr>
        <w:t>הדין</w:t>
      </w:r>
      <w:r w:rsidRPr="00A07C19">
        <w:rPr>
          <w:rFonts w:cs="David"/>
          <w:b/>
          <w:bCs/>
          <w:sz w:val="24"/>
          <w:szCs w:val="24"/>
          <w:rtl/>
        </w:rPr>
        <w:t xml:space="preserve"> נבדק גם גילו של הנאשם ולנתון זה תהא השפעה, בדרך כלל, על האמצעי </w:t>
      </w:r>
      <w:proofErr w:type="spellStart"/>
      <w:r w:rsidRPr="00A07C19">
        <w:rPr>
          <w:rFonts w:cs="David"/>
          <w:b/>
          <w:bCs/>
          <w:sz w:val="24"/>
          <w:szCs w:val="24"/>
          <w:rtl/>
        </w:rPr>
        <w:t>העונשי</w:t>
      </w:r>
      <w:proofErr w:type="spellEnd"/>
      <w:r w:rsidRPr="00A07C19">
        <w:rPr>
          <w:rFonts w:cs="David"/>
          <w:b/>
          <w:bCs/>
          <w:sz w:val="24"/>
          <w:szCs w:val="24"/>
          <w:rtl/>
        </w:rPr>
        <w:t xml:space="preserve"> </w:t>
      </w:r>
      <w:r w:rsidRPr="00A07C19">
        <w:rPr>
          <w:rFonts w:cs="David" w:hint="eastAsia"/>
          <w:b/>
          <w:bCs/>
          <w:sz w:val="24"/>
          <w:szCs w:val="24"/>
          <w:rtl/>
        </w:rPr>
        <w:t>שיינקט</w:t>
      </w:r>
      <w:r w:rsidRPr="00A07C19">
        <w:rPr>
          <w:rFonts w:cs="David"/>
          <w:b/>
          <w:bCs/>
          <w:sz w:val="24"/>
          <w:szCs w:val="24"/>
          <w:rtl/>
        </w:rPr>
        <w:t xml:space="preserve"> נגדו. כך, למשל, ככל שהנאשם הינו צעיר יותר כך תגבר נטייתו של בית המשפט </w:t>
      </w:r>
      <w:r w:rsidRPr="00A07C19">
        <w:rPr>
          <w:rFonts w:cs="David" w:hint="eastAsia"/>
          <w:b/>
          <w:bCs/>
          <w:sz w:val="24"/>
          <w:szCs w:val="24"/>
          <w:rtl/>
        </w:rPr>
        <w:t>להפעיל</w:t>
      </w:r>
      <w:r w:rsidRPr="00A07C19">
        <w:rPr>
          <w:rFonts w:cs="David"/>
          <w:b/>
          <w:bCs/>
          <w:sz w:val="24"/>
          <w:szCs w:val="24"/>
          <w:rtl/>
        </w:rPr>
        <w:t xml:space="preserve"> בעניינו אמצעים שיקומיים ולא אמצעים </w:t>
      </w:r>
      <w:proofErr w:type="spellStart"/>
      <w:r w:rsidRPr="00A07C19">
        <w:rPr>
          <w:rFonts w:cs="David"/>
          <w:b/>
          <w:bCs/>
          <w:sz w:val="24"/>
          <w:szCs w:val="24"/>
          <w:rtl/>
        </w:rPr>
        <w:t>עונשיים</w:t>
      </w:r>
      <w:proofErr w:type="spellEnd"/>
      <w:r w:rsidRPr="00A07C19">
        <w:rPr>
          <w:rFonts w:cs="David"/>
          <w:b/>
          <w:bCs/>
          <w:sz w:val="24"/>
          <w:szCs w:val="24"/>
          <w:rtl/>
        </w:rPr>
        <w:t xml:space="preserve"> וזאת מתוך התפיסה – אליה מכוון </w:t>
      </w:r>
      <w:r w:rsidRPr="00A07C19">
        <w:rPr>
          <w:rFonts w:cs="David" w:hint="eastAsia"/>
          <w:b/>
          <w:bCs/>
          <w:sz w:val="24"/>
          <w:szCs w:val="24"/>
          <w:rtl/>
        </w:rPr>
        <w:t>גם</w:t>
      </w:r>
      <w:r w:rsidRPr="00A07C19">
        <w:rPr>
          <w:rFonts w:cs="David"/>
          <w:b/>
          <w:bCs/>
          <w:sz w:val="24"/>
          <w:szCs w:val="24"/>
          <w:rtl/>
        </w:rPr>
        <w:t xml:space="preserve"> חוק הנוער – כי ככל שגיל העבריין הינו צעיר יותר, כך יש לתת משקל רב יותר </w:t>
      </w:r>
      <w:r w:rsidRPr="00A07C19">
        <w:rPr>
          <w:rFonts w:cs="David" w:hint="eastAsia"/>
          <w:b/>
          <w:bCs/>
          <w:sz w:val="24"/>
          <w:szCs w:val="24"/>
          <w:rtl/>
        </w:rPr>
        <w:t>לסיכויי</w:t>
      </w:r>
      <w:r w:rsidRPr="00A07C19">
        <w:rPr>
          <w:rFonts w:cs="David"/>
          <w:b/>
          <w:bCs/>
          <w:sz w:val="24"/>
          <w:szCs w:val="24"/>
          <w:rtl/>
        </w:rPr>
        <w:t xml:space="preserve"> השיקום. בדיקת גילו של נאשם בעת שליחתו למאסר הינה חשובה במיוחד. עונש </w:t>
      </w:r>
      <w:r w:rsidRPr="00A07C19">
        <w:rPr>
          <w:rFonts w:cs="David" w:hint="eastAsia"/>
          <w:b/>
          <w:bCs/>
          <w:sz w:val="24"/>
          <w:szCs w:val="24"/>
          <w:rtl/>
        </w:rPr>
        <w:t>מאסר</w:t>
      </w:r>
      <w:r w:rsidRPr="00A07C19">
        <w:rPr>
          <w:rFonts w:cs="David"/>
          <w:b/>
          <w:bCs/>
          <w:sz w:val="24"/>
          <w:szCs w:val="24"/>
          <w:rtl/>
        </w:rPr>
        <w:t xml:space="preserve">, מעבר להיותו הגבלה קיצונית על החירות, כולל גם החזקתו של הנאשם-הנדון בתנאים </w:t>
      </w:r>
      <w:r w:rsidRPr="00A07C19">
        <w:rPr>
          <w:rFonts w:cs="David" w:hint="eastAsia"/>
          <w:b/>
          <w:bCs/>
          <w:sz w:val="24"/>
          <w:szCs w:val="24"/>
          <w:rtl/>
        </w:rPr>
        <w:t>הקיימים</w:t>
      </w:r>
      <w:r w:rsidRPr="00A07C19">
        <w:rPr>
          <w:rFonts w:cs="David"/>
          <w:b/>
          <w:bCs/>
          <w:sz w:val="24"/>
          <w:szCs w:val="24"/>
          <w:rtl/>
        </w:rPr>
        <w:t xml:space="preserve"> בבית הסוהר. בכך נבדל עונש המאסר מעונשים אחרים הגורמים לפגיעה בחירות, </w:t>
      </w:r>
      <w:r w:rsidRPr="00A07C19">
        <w:rPr>
          <w:rFonts w:cs="David" w:hint="eastAsia"/>
          <w:b/>
          <w:bCs/>
          <w:sz w:val="24"/>
          <w:szCs w:val="24"/>
          <w:rtl/>
        </w:rPr>
        <w:t>כגון</w:t>
      </w:r>
      <w:r w:rsidRPr="00A07C19">
        <w:rPr>
          <w:rFonts w:cs="David"/>
          <w:b/>
          <w:bCs/>
          <w:sz w:val="24"/>
          <w:szCs w:val="24"/>
          <w:rtl/>
        </w:rPr>
        <w:t xml:space="preserve"> הטלת צו למעון נעול. צו למעון נעול כולל אמנם גם הוא הגבלה קיצונית על החירות </w:t>
      </w:r>
      <w:r w:rsidRPr="00A07C19">
        <w:rPr>
          <w:rFonts w:cs="David" w:hint="eastAsia"/>
          <w:b/>
          <w:bCs/>
          <w:sz w:val="24"/>
          <w:szCs w:val="24"/>
          <w:rtl/>
        </w:rPr>
        <w:t>אך</w:t>
      </w:r>
      <w:r w:rsidRPr="00A07C19">
        <w:rPr>
          <w:rFonts w:cs="David"/>
          <w:b/>
          <w:bCs/>
          <w:sz w:val="24"/>
          <w:szCs w:val="24"/>
          <w:rtl/>
        </w:rPr>
        <w:t xml:space="preserve"> תנאי ההחזקה במעון נעול שונים מתנאי ההחזקה בבית הכלא. מהאמור לעיל מתבהרת, </w:t>
      </w:r>
      <w:proofErr w:type="spellStart"/>
      <w:r w:rsidRPr="00A07C19">
        <w:rPr>
          <w:rFonts w:cs="David" w:hint="eastAsia"/>
          <w:b/>
          <w:bCs/>
          <w:sz w:val="24"/>
          <w:szCs w:val="24"/>
          <w:rtl/>
        </w:rPr>
        <w:t>איפוא</w:t>
      </w:r>
      <w:proofErr w:type="spellEnd"/>
      <w:r w:rsidRPr="00A07C19">
        <w:rPr>
          <w:rFonts w:cs="David"/>
          <w:b/>
          <w:bCs/>
          <w:sz w:val="24"/>
          <w:szCs w:val="24"/>
          <w:rtl/>
        </w:rPr>
        <w:t xml:space="preserve">, תכליתו של </w:t>
      </w:r>
      <w:hyperlink r:id="rId16" w:history="1">
        <w:r w:rsidRPr="00A07C19">
          <w:rPr>
            <w:rFonts w:cs="David"/>
            <w:b/>
            <w:bCs/>
            <w:sz w:val="24"/>
            <w:szCs w:val="24"/>
            <w:u w:val="single"/>
            <w:rtl/>
          </w:rPr>
          <w:t>סעיף 25(ד)</w:t>
        </w:r>
      </w:hyperlink>
      <w:r w:rsidRPr="00A07C19">
        <w:rPr>
          <w:rFonts w:cs="David"/>
          <w:b/>
          <w:bCs/>
          <w:sz w:val="24"/>
          <w:szCs w:val="24"/>
          <w:rtl/>
        </w:rPr>
        <w:t xml:space="preserve"> לחוק הנוער – הסעיף מבקש למנוע את שליחתם של קטינים </w:t>
      </w:r>
      <w:r w:rsidRPr="00A07C19">
        <w:rPr>
          <w:rFonts w:cs="David" w:hint="eastAsia"/>
          <w:b/>
          <w:bCs/>
          <w:sz w:val="24"/>
          <w:szCs w:val="24"/>
          <w:rtl/>
        </w:rPr>
        <w:t>מתחת</w:t>
      </w:r>
      <w:r w:rsidRPr="00A07C19">
        <w:rPr>
          <w:rFonts w:cs="David"/>
          <w:b/>
          <w:bCs/>
          <w:sz w:val="24"/>
          <w:szCs w:val="24"/>
          <w:rtl/>
        </w:rPr>
        <w:t xml:space="preserve"> לגיל 14 למאסר על יסוד התפיסה כי תנאי הכליאה בבית הסוהר אינם הולמים את גילם </w:t>
      </w:r>
      <w:r w:rsidRPr="00A07C19">
        <w:rPr>
          <w:rFonts w:cs="David" w:hint="eastAsia"/>
          <w:b/>
          <w:bCs/>
          <w:sz w:val="24"/>
          <w:szCs w:val="24"/>
          <w:rtl/>
        </w:rPr>
        <w:t>הצעיר</w:t>
      </w:r>
      <w:r w:rsidRPr="00A07C19">
        <w:rPr>
          <w:rFonts w:cs="David"/>
          <w:b/>
          <w:bCs/>
          <w:sz w:val="24"/>
          <w:szCs w:val="24"/>
          <w:rtl/>
        </w:rPr>
        <w:t xml:space="preserve">. הרציונל העומד ביסודו של הסעיף הוא כי בהכנסתם של קטינים מתחת לגיל 14 לבית </w:t>
      </w:r>
      <w:r w:rsidRPr="00A07C19">
        <w:rPr>
          <w:rFonts w:cs="David" w:hint="eastAsia"/>
          <w:b/>
          <w:bCs/>
          <w:sz w:val="24"/>
          <w:szCs w:val="24"/>
          <w:rtl/>
        </w:rPr>
        <w:t>הסוהר</w:t>
      </w:r>
      <w:r w:rsidRPr="00A07C19">
        <w:rPr>
          <w:rFonts w:cs="David"/>
          <w:b/>
          <w:bCs/>
          <w:sz w:val="24"/>
          <w:szCs w:val="24"/>
          <w:rtl/>
        </w:rPr>
        <w:t xml:space="preserve"> טמון פוטנציאל לפגיעה בלתי מידתית בקטין. שליחתו למאסר של קטין שגילו קרוב </w:t>
      </w:r>
      <w:r w:rsidRPr="00A07C19">
        <w:rPr>
          <w:rFonts w:cs="David" w:hint="eastAsia"/>
          <w:b/>
          <w:bCs/>
          <w:sz w:val="24"/>
          <w:szCs w:val="24"/>
          <w:rtl/>
        </w:rPr>
        <w:t>לגיל</w:t>
      </w:r>
      <w:r w:rsidRPr="00A07C19">
        <w:rPr>
          <w:rFonts w:cs="David"/>
          <w:b/>
          <w:bCs/>
          <w:sz w:val="24"/>
          <w:szCs w:val="24"/>
          <w:rtl/>
        </w:rPr>
        <w:t xml:space="preserve"> הילדות עלולה לפגוע בו באופן חמור יותר מכפי שנפגע בגיר שנשלח למאסר ותוצאה זו </w:t>
      </w:r>
      <w:r w:rsidRPr="00A07C19">
        <w:rPr>
          <w:rFonts w:cs="David" w:hint="eastAsia"/>
          <w:b/>
          <w:bCs/>
          <w:sz w:val="24"/>
          <w:szCs w:val="24"/>
          <w:rtl/>
        </w:rPr>
        <w:t>הינה</w:t>
      </w:r>
      <w:r w:rsidRPr="00A07C19">
        <w:rPr>
          <w:rFonts w:cs="David"/>
          <w:b/>
          <w:bCs/>
          <w:sz w:val="24"/>
          <w:szCs w:val="24"/>
          <w:rtl/>
        </w:rPr>
        <w:t xml:space="preserve"> בלתי רצויה בעליל, ואולי אף בלתי צודקת. לעומת זאת, נער שהתבגר נראה בעיני </w:t>
      </w:r>
      <w:r w:rsidRPr="00A07C19">
        <w:rPr>
          <w:rFonts w:cs="David" w:hint="eastAsia"/>
          <w:b/>
          <w:bCs/>
          <w:sz w:val="24"/>
          <w:szCs w:val="24"/>
          <w:rtl/>
        </w:rPr>
        <w:t>המחוקק</w:t>
      </w:r>
      <w:r w:rsidRPr="00A07C19">
        <w:rPr>
          <w:rFonts w:cs="David"/>
          <w:b/>
          <w:bCs/>
          <w:sz w:val="24"/>
          <w:szCs w:val="24"/>
          <w:rtl/>
        </w:rPr>
        <w:t xml:space="preserve"> כמי שיכול לשאת בעונש מאסר יותר מאשר ילד רך בשנים. משכך הם פני הדברים ברי </w:t>
      </w:r>
      <w:r w:rsidRPr="00A07C19">
        <w:rPr>
          <w:rFonts w:cs="David" w:hint="eastAsia"/>
          <w:b/>
          <w:bCs/>
          <w:sz w:val="24"/>
          <w:szCs w:val="24"/>
          <w:rtl/>
        </w:rPr>
        <w:t>מדוע</w:t>
      </w:r>
      <w:r w:rsidRPr="00A07C19">
        <w:rPr>
          <w:rFonts w:cs="David"/>
          <w:b/>
          <w:bCs/>
          <w:sz w:val="24"/>
          <w:szCs w:val="24"/>
          <w:rtl/>
        </w:rPr>
        <w:t xml:space="preserve"> </w:t>
      </w:r>
      <w:hyperlink r:id="rId17" w:history="1">
        <w:r w:rsidRPr="00A07C19">
          <w:rPr>
            <w:rFonts w:cs="David"/>
            <w:b/>
            <w:bCs/>
            <w:sz w:val="24"/>
            <w:szCs w:val="24"/>
            <w:u w:val="single"/>
            <w:rtl/>
          </w:rPr>
          <w:t>סעיף 25(ד)</w:t>
        </w:r>
      </w:hyperlink>
      <w:r w:rsidRPr="00A07C19">
        <w:rPr>
          <w:rFonts w:cs="David"/>
          <w:b/>
          <w:bCs/>
          <w:sz w:val="24"/>
          <w:szCs w:val="24"/>
          <w:rtl/>
        </w:rPr>
        <w:t xml:space="preserve"> מצווה לבחון את גילו של הקטין בעת גזירת דינו דווקא שכן זהו הגיל </w:t>
      </w:r>
      <w:r w:rsidRPr="00A07C19">
        <w:rPr>
          <w:rFonts w:cs="David" w:hint="eastAsia"/>
          <w:b/>
          <w:bCs/>
          <w:sz w:val="24"/>
          <w:szCs w:val="24"/>
          <w:rtl/>
        </w:rPr>
        <w:t>שבו</w:t>
      </w:r>
      <w:r w:rsidRPr="00A07C19">
        <w:rPr>
          <w:rFonts w:cs="David"/>
          <w:b/>
          <w:bCs/>
          <w:sz w:val="24"/>
          <w:szCs w:val="24"/>
          <w:rtl/>
        </w:rPr>
        <w:t xml:space="preserve"> יחל הקטין את ריצוי עונשו. אם מדובר בקטין צעיר מדי, הקרוב לגבול האחריות </w:t>
      </w:r>
      <w:r w:rsidRPr="00A07C19">
        <w:rPr>
          <w:rFonts w:cs="David" w:hint="eastAsia"/>
          <w:b/>
          <w:bCs/>
          <w:sz w:val="24"/>
          <w:szCs w:val="24"/>
          <w:rtl/>
        </w:rPr>
        <w:t>הפלילית</w:t>
      </w:r>
      <w:r w:rsidRPr="00A07C19">
        <w:rPr>
          <w:rFonts w:cs="David"/>
          <w:b/>
          <w:bCs/>
          <w:sz w:val="24"/>
          <w:szCs w:val="24"/>
          <w:rtl/>
        </w:rPr>
        <w:t>, הרי שאין לשולחו לבית הסוהר, והחוק מציע אמצעי ענישה אחרים.</w:t>
      </w:r>
      <w:r w:rsidRPr="00A07C19">
        <w:rPr>
          <w:rFonts w:cs="David" w:hint="cs"/>
          <w:sz w:val="24"/>
          <w:szCs w:val="24"/>
          <w:rtl/>
        </w:rPr>
        <w:t>"</w:t>
      </w:r>
      <w:r w:rsidRPr="00A07C19">
        <w:rPr>
          <w:rFonts w:cs="David"/>
          <w:sz w:val="24"/>
          <w:szCs w:val="24"/>
          <w:rtl/>
        </w:rPr>
        <w:t xml:space="preserve"> </w:t>
      </w:r>
    </w:p>
    <w:p w:rsidR="009E749C" w:rsidRPr="00A07C19" w:rsidRDefault="00DE581A" w:rsidP="00DE581A">
      <w:pPr>
        <w:spacing w:before="240" w:after="0" w:line="360" w:lineRule="auto"/>
        <w:jc w:val="both"/>
        <w:rPr>
          <w:rFonts w:ascii="Arial TUR" w:hAnsi="Arial TUR" w:cs="David"/>
          <w:spacing w:val="10"/>
          <w:sz w:val="24"/>
          <w:szCs w:val="24"/>
          <w:rtl/>
        </w:rPr>
      </w:pPr>
      <w:r>
        <w:rPr>
          <w:rFonts w:ascii="Arial TUR" w:hAnsi="Arial TUR" w:cs="David" w:hint="cs"/>
          <w:spacing w:val="10"/>
          <w:sz w:val="24"/>
          <w:szCs w:val="24"/>
          <w:rtl/>
        </w:rPr>
        <w:t xml:space="preserve">בפסקי דין נוספים עמדה הפסיקה על הקושי המיוחד במאסר קטינים. כך למשל צוין בע"פ </w:t>
      </w:r>
      <w:r w:rsidR="009E749C" w:rsidRPr="00A07C19">
        <w:rPr>
          <w:rFonts w:ascii="Arial TUR" w:hAnsi="Arial TUR" w:cs="David" w:hint="cs"/>
          <w:spacing w:val="10"/>
          <w:sz w:val="24"/>
          <w:szCs w:val="24"/>
          <w:rtl/>
        </w:rPr>
        <w:t xml:space="preserve">7781/12 </w:t>
      </w:r>
      <w:r w:rsidR="009E749C" w:rsidRPr="00A07C19">
        <w:rPr>
          <w:rFonts w:ascii="Arial TUR" w:hAnsi="Arial TUR" w:cs="David" w:hint="cs"/>
          <w:b/>
          <w:bCs/>
          <w:spacing w:val="10"/>
          <w:sz w:val="24"/>
          <w:szCs w:val="24"/>
          <w:rtl/>
        </w:rPr>
        <w:t>פלוני נגד מדינת ישראל</w:t>
      </w:r>
      <w:r>
        <w:rPr>
          <w:rStyle w:val="af"/>
          <w:rFonts w:ascii="Arial TUR" w:hAnsi="Arial TUR" w:cs="David"/>
          <w:spacing w:val="10"/>
          <w:sz w:val="24"/>
          <w:szCs w:val="24"/>
          <w:rtl/>
        </w:rPr>
        <w:footnoteReference w:id="6"/>
      </w:r>
      <w:r>
        <w:rPr>
          <w:rFonts w:ascii="Arial TUR" w:hAnsi="Arial TUR" w:cs="David" w:hint="cs"/>
          <w:spacing w:val="10"/>
          <w:sz w:val="24"/>
          <w:szCs w:val="24"/>
          <w:rtl/>
        </w:rPr>
        <w:t>:</w:t>
      </w:r>
    </w:p>
    <w:p w:rsidR="009E749C" w:rsidRPr="00A07C19" w:rsidRDefault="009E749C" w:rsidP="004A2DFE">
      <w:pPr>
        <w:spacing w:before="240" w:after="0" w:line="360" w:lineRule="auto"/>
        <w:ind w:left="567" w:right="567"/>
        <w:jc w:val="both"/>
        <w:rPr>
          <w:rFonts w:cs="David"/>
          <w:b/>
          <w:bCs/>
          <w:sz w:val="24"/>
          <w:szCs w:val="24"/>
          <w:rtl/>
        </w:rPr>
      </w:pPr>
      <w:r w:rsidRPr="00A07C19">
        <w:rPr>
          <w:rFonts w:ascii="Arial TUR" w:hAnsi="Arial TUR" w:cs="David" w:hint="cs"/>
          <w:b/>
          <w:bCs/>
          <w:spacing w:val="10"/>
          <w:sz w:val="24"/>
          <w:szCs w:val="24"/>
          <w:rtl/>
        </w:rPr>
        <w:t>"אחד מהשיקולים המרכזיים בענישת קטינים היא ההשפעה ההרסנית הפוטנציאלית עליהם כתוצאה ממאסר מאחורי סורג ובריח</w:t>
      </w:r>
      <w:r w:rsidRPr="00A07C19">
        <w:rPr>
          <w:rFonts w:cs="David" w:hint="cs"/>
          <w:b/>
          <w:bCs/>
          <w:sz w:val="24"/>
          <w:szCs w:val="24"/>
          <w:rtl/>
        </w:rPr>
        <w:t>".</w:t>
      </w:r>
    </w:p>
    <w:p w:rsidR="006F08EC" w:rsidRPr="00A07C19" w:rsidRDefault="006F08EC" w:rsidP="00DE581A">
      <w:pPr>
        <w:spacing w:before="240" w:after="0" w:line="360" w:lineRule="auto"/>
        <w:jc w:val="both"/>
        <w:rPr>
          <w:rFonts w:cs="David"/>
          <w:sz w:val="24"/>
          <w:szCs w:val="24"/>
          <w:rtl/>
        </w:rPr>
      </w:pPr>
      <w:r w:rsidRPr="00A07C19">
        <w:rPr>
          <w:rFonts w:cs="David" w:hint="cs"/>
          <w:sz w:val="24"/>
          <w:szCs w:val="24"/>
          <w:rtl/>
        </w:rPr>
        <w:t xml:space="preserve">בע"פ 49/09 </w:t>
      </w:r>
      <w:r w:rsidRPr="00A07C19">
        <w:rPr>
          <w:rFonts w:cs="David" w:hint="cs"/>
          <w:b/>
          <w:bCs/>
          <w:sz w:val="24"/>
          <w:szCs w:val="24"/>
          <w:rtl/>
        </w:rPr>
        <w:t>מ</w:t>
      </w:r>
      <w:r w:rsidR="00DC013D" w:rsidRPr="00A07C19">
        <w:rPr>
          <w:rFonts w:cs="David" w:hint="cs"/>
          <w:b/>
          <w:bCs/>
          <w:sz w:val="24"/>
          <w:szCs w:val="24"/>
          <w:rtl/>
        </w:rPr>
        <w:t>דינת ישראל</w:t>
      </w:r>
      <w:r w:rsidRPr="00A07C19">
        <w:rPr>
          <w:rFonts w:cs="David" w:hint="cs"/>
          <w:b/>
          <w:bCs/>
          <w:sz w:val="24"/>
          <w:szCs w:val="24"/>
          <w:rtl/>
        </w:rPr>
        <w:t xml:space="preserve"> נגד פלוני</w:t>
      </w:r>
      <w:r w:rsidR="00C76BF5">
        <w:rPr>
          <w:rFonts w:cs="David" w:hint="cs"/>
          <w:sz w:val="24"/>
          <w:szCs w:val="24"/>
          <w:rtl/>
        </w:rPr>
        <w:t xml:space="preserve"> </w:t>
      </w:r>
      <w:r w:rsidR="009E223C" w:rsidRPr="00A07C19">
        <w:rPr>
          <w:rFonts w:cs="David" w:hint="cs"/>
          <w:sz w:val="24"/>
          <w:szCs w:val="24"/>
          <w:rtl/>
        </w:rPr>
        <w:t xml:space="preserve">קובע השופט </w:t>
      </w:r>
      <w:proofErr w:type="spellStart"/>
      <w:r w:rsidR="009E223C" w:rsidRPr="00A07C19">
        <w:rPr>
          <w:rFonts w:cs="David" w:hint="cs"/>
          <w:sz w:val="24"/>
          <w:szCs w:val="24"/>
          <w:rtl/>
        </w:rPr>
        <w:t>דנציגר</w:t>
      </w:r>
      <w:proofErr w:type="spellEnd"/>
      <w:r w:rsidRPr="00A07C19">
        <w:rPr>
          <w:rFonts w:cs="David" w:hint="cs"/>
          <w:sz w:val="24"/>
          <w:szCs w:val="24"/>
          <w:rtl/>
        </w:rPr>
        <w:t>:</w:t>
      </w:r>
    </w:p>
    <w:p w:rsidR="006F08EC" w:rsidRPr="00A07C19" w:rsidRDefault="00DC013D" w:rsidP="007B16FE">
      <w:pPr>
        <w:spacing w:before="240" w:after="0" w:line="360" w:lineRule="auto"/>
        <w:ind w:left="562" w:right="562"/>
        <w:jc w:val="both"/>
        <w:rPr>
          <w:rFonts w:cs="David"/>
          <w:b/>
          <w:bCs/>
          <w:sz w:val="24"/>
          <w:szCs w:val="24"/>
          <w:rtl/>
        </w:rPr>
      </w:pPr>
      <w:r w:rsidRPr="00A07C19">
        <w:rPr>
          <w:rFonts w:cs="David" w:hint="cs"/>
          <w:b/>
          <w:bCs/>
          <w:sz w:val="24"/>
          <w:szCs w:val="24"/>
          <w:rtl/>
        </w:rPr>
        <w:t>".....</w:t>
      </w:r>
      <w:r w:rsidR="006F08EC" w:rsidRPr="00A07C19">
        <w:rPr>
          <w:rFonts w:cs="David" w:hint="cs"/>
          <w:b/>
          <w:bCs/>
          <w:sz w:val="24"/>
          <w:szCs w:val="24"/>
          <w:rtl/>
        </w:rPr>
        <w:t xml:space="preserve">מדיניות הענישה הנוהגת והראויה בעניינם של עבריינים קטינים מעניקה משקל רב לעצם </w:t>
      </w:r>
      <w:proofErr w:type="spellStart"/>
      <w:r w:rsidR="006F08EC" w:rsidRPr="00A07C19">
        <w:rPr>
          <w:rFonts w:cs="David" w:hint="cs"/>
          <w:b/>
          <w:bCs/>
          <w:sz w:val="24"/>
          <w:szCs w:val="24"/>
          <w:rtl/>
        </w:rPr>
        <w:t>קטינותם</w:t>
      </w:r>
      <w:proofErr w:type="spellEnd"/>
      <w:r w:rsidR="006F08EC" w:rsidRPr="00A07C19">
        <w:rPr>
          <w:rFonts w:cs="David" w:hint="cs"/>
          <w:b/>
          <w:bCs/>
          <w:sz w:val="24"/>
          <w:szCs w:val="24"/>
          <w:rtl/>
        </w:rPr>
        <w:t xml:space="preserve">, וזאת מן הטעמים שלהלן: </w:t>
      </w:r>
    </w:p>
    <w:p w:rsidR="006F08EC" w:rsidRPr="00A07C19" w:rsidRDefault="006F08EC" w:rsidP="007B16FE">
      <w:pPr>
        <w:spacing w:before="240" w:after="0" w:line="360" w:lineRule="auto"/>
        <w:ind w:left="562" w:right="562"/>
        <w:jc w:val="both"/>
        <w:rPr>
          <w:rFonts w:cs="David"/>
          <w:b/>
          <w:bCs/>
          <w:sz w:val="24"/>
          <w:szCs w:val="24"/>
          <w:rtl/>
        </w:rPr>
      </w:pPr>
      <w:r w:rsidRPr="00A07C19">
        <w:rPr>
          <w:rFonts w:cs="David" w:hint="cs"/>
          <w:b/>
          <w:bCs/>
          <w:sz w:val="24"/>
          <w:szCs w:val="24"/>
          <w:rtl/>
        </w:rPr>
        <w:lastRenderedPageBreak/>
        <w:t>(א)</w:t>
      </w:r>
      <w:r w:rsidRPr="00A07C19">
        <w:rPr>
          <w:rFonts w:cs="David" w:hint="cs"/>
          <w:b/>
          <w:bCs/>
          <w:sz w:val="24"/>
          <w:szCs w:val="24"/>
          <w:rtl/>
        </w:rPr>
        <w:tab/>
        <w:t xml:space="preserve">הטעם הראשון הוא גילו הצעיר של הקטין, שבשלו יש להתייחס לחומרתן של עבירותיו באופן שונה בהשוואה להתייחסותנו לחומרת עבירותיו של העבריין הבגיר. למעשה, כאשר מדובר בנאשמים שהם קטינים, פעמים רבות אין הכרתם ותודעתם מפותחות ובשלות די הצורך. בנערותו, אין האדם מבחין בהכרח בין טוב לרע על פי אותן אמות מידה המשמשות בני אדם בגירים. גם כאשר עבר הקטין את גיל האחריות פלילית, הרי שגילו הצעיר עשוי להצביע על חוסר בשלות אישית וחוסר יכולת להבין לעומקם של דברים את משמעות המעשה הפלילי ותוצאותיו. חוסר בשלות מהווה שיקול </w:t>
      </w:r>
      <w:proofErr w:type="spellStart"/>
      <w:r w:rsidRPr="00A07C19">
        <w:rPr>
          <w:rFonts w:cs="David" w:hint="cs"/>
          <w:b/>
          <w:bCs/>
          <w:sz w:val="24"/>
          <w:szCs w:val="24"/>
          <w:rtl/>
        </w:rPr>
        <w:t>לקולא</w:t>
      </w:r>
      <w:proofErr w:type="spellEnd"/>
      <w:r w:rsidRPr="00A07C19">
        <w:rPr>
          <w:rFonts w:cs="David" w:hint="cs"/>
          <w:b/>
          <w:bCs/>
          <w:sz w:val="24"/>
          <w:szCs w:val="24"/>
          <w:rtl/>
        </w:rPr>
        <w:t xml:space="preserve"> בענישתם של קטינים [</w:t>
      </w:r>
      <w:hyperlink r:id="rId18" w:history="1">
        <w:r w:rsidRPr="00A07C19">
          <w:rPr>
            <w:rFonts w:cs="David"/>
            <w:b/>
            <w:bCs/>
            <w:sz w:val="24"/>
            <w:szCs w:val="24"/>
            <w:rtl/>
          </w:rPr>
          <w:t>ע"פ 10715/05</w:t>
        </w:r>
      </w:hyperlink>
      <w:r w:rsidRPr="00A07C19">
        <w:rPr>
          <w:rFonts w:cs="David" w:hint="cs"/>
          <w:b/>
          <w:bCs/>
          <w:sz w:val="24"/>
          <w:szCs w:val="24"/>
          <w:rtl/>
        </w:rPr>
        <w:t xml:space="preserve"> הנ"ל].  </w:t>
      </w:r>
    </w:p>
    <w:p w:rsidR="006F08EC" w:rsidRPr="00A07C19" w:rsidRDefault="006F08EC" w:rsidP="007B16FE">
      <w:pPr>
        <w:spacing w:before="240" w:after="0" w:line="360" w:lineRule="auto"/>
        <w:ind w:left="562" w:right="562"/>
        <w:jc w:val="both"/>
        <w:rPr>
          <w:rFonts w:cs="David"/>
          <w:b/>
          <w:bCs/>
          <w:sz w:val="24"/>
          <w:szCs w:val="24"/>
          <w:rtl/>
        </w:rPr>
      </w:pPr>
      <w:r w:rsidRPr="00A07C19">
        <w:rPr>
          <w:rFonts w:cs="David" w:hint="cs"/>
          <w:b/>
          <w:bCs/>
          <w:sz w:val="24"/>
          <w:szCs w:val="24"/>
          <w:rtl/>
        </w:rPr>
        <w:t>(ב)</w:t>
      </w:r>
      <w:r w:rsidRPr="00A07C19">
        <w:rPr>
          <w:rFonts w:cs="David" w:hint="cs"/>
          <w:b/>
          <w:bCs/>
          <w:sz w:val="24"/>
          <w:szCs w:val="24"/>
          <w:rtl/>
        </w:rPr>
        <w:tab/>
        <w:t>הטעם השני הוא הרצון להגן על קטינים מפני תנאי הכליאה ומפני החשש למפגש עם עבריינים בוגרים. תנאי הכליאה בבית הסוהר אינם הולמים את גילו הצעיר של העבריין הקטין. בעצם הכנסתו של קטין לבית הסוהר טמון פוטנציאל</w:t>
      </w:r>
      <w:r w:rsidR="00DC013D" w:rsidRPr="00A07C19">
        <w:rPr>
          <w:rFonts w:cs="David" w:hint="cs"/>
          <w:b/>
          <w:bCs/>
          <w:sz w:val="24"/>
          <w:szCs w:val="24"/>
          <w:rtl/>
        </w:rPr>
        <w:t xml:space="preserve"> </w:t>
      </w:r>
      <w:r w:rsidRPr="00A07C19">
        <w:rPr>
          <w:rFonts w:cs="David" w:hint="cs"/>
          <w:b/>
          <w:bCs/>
          <w:sz w:val="24"/>
          <w:szCs w:val="24"/>
          <w:rtl/>
        </w:rPr>
        <w:t xml:space="preserve">לפגיעה בלתי מידתית בו, זאת בשל התוודעותו לאורחות החיים של הקהילה העבריינית, היטמעותו בה והסיכון לניצולו ולפגיעה גופנית ונפשית בו בידי אסירים אחרים בשל חולשתו היחסית ומעמדו השברירי. השפעתו השלילית של עונש המאסר על העבריין הקטין עלולה להיות חמורה מההשפעה על העבריין הבגיר. תוצאה זו הינה בלתי רצויה ובלתי צודקת [ראו: </w:t>
      </w:r>
      <w:hyperlink r:id="rId19" w:history="1">
        <w:r w:rsidRPr="00A07C19">
          <w:rPr>
            <w:rFonts w:cs="David"/>
            <w:b/>
            <w:bCs/>
            <w:sz w:val="24"/>
            <w:szCs w:val="24"/>
            <w:rtl/>
          </w:rPr>
          <w:t>ע"א 534/04 פלוני נ' מדינת ישראל פ"ד נט</w:t>
        </w:r>
      </w:hyperlink>
      <w:r w:rsidRPr="00A07C19">
        <w:rPr>
          <w:rFonts w:cs="David" w:hint="cs"/>
          <w:b/>
          <w:bCs/>
          <w:sz w:val="24"/>
          <w:szCs w:val="24"/>
          <w:rtl/>
        </w:rPr>
        <w:t>(4) 885 (2005)] .</w:t>
      </w:r>
    </w:p>
    <w:p w:rsidR="006F08EC" w:rsidRPr="00A07C19" w:rsidRDefault="006F08EC" w:rsidP="007B16FE">
      <w:pPr>
        <w:spacing w:before="240" w:after="0" w:line="360" w:lineRule="auto"/>
        <w:ind w:left="562" w:right="562"/>
        <w:jc w:val="both"/>
        <w:rPr>
          <w:rFonts w:cs="David"/>
          <w:sz w:val="24"/>
          <w:szCs w:val="24"/>
          <w:rtl/>
        </w:rPr>
      </w:pPr>
      <w:r w:rsidRPr="00A07C19">
        <w:rPr>
          <w:rFonts w:cs="David" w:hint="cs"/>
          <w:b/>
          <w:bCs/>
          <w:sz w:val="24"/>
          <w:szCs w:val="24"/>
          <w:rtl/>
        </w:rPr>
        <w:t>(ג)</w:t>
      </w:r>
      <w:r w:rsidRPr="00A07C19">
        <w:rPr>
          <w:rFonts w:cs="David" w:hint="cs"/>
          <w:b/>
          <w:bCs/>
          <w:sz w:val="24"/>
          <w:szCs w:val="24"/>
          <w:rtl/>
        </w:rPr>
        <w:tab/>
        <w:t xml:space="preserve">הטעם השלישי הוא מחויבותה של החברה לנסות ולמצוא כל דרך לשקם עבריינים קטינים שהורשעו בעבירה פלילית, אף אם חמורה, ולהעלותם על מסלול חיים תקין וראוי, בטרם תוחמץ ההזדמנות לכך. יש </w:t>
      </w:r>
      <w:proofErr w:type="spellStart"/>
      <w:r w:rsidRPr="00A07C19">
        <w:rPr>
          <w:rFonts w:cs="David" w:hint="cs"/>
          <w:b/>
          <w:bCs/>
          <w:sz w:val="24"/>
          <w:szCs w:val="24"/>
          <w:rtl/>
        </w:rPr>
        <w:t>ליתן</w:t>
      </w:r>
      <w:proofErr w:type="spellEnd"/>
      <w:r w:rsidRPr="00A07C19">
        <w:rPr>
          <w:rFonts w:cs="David" w:hint="cs"/>
          <w:b/>
          <w:bCs/>
          <w:sz w:val="24"/>
          <w:szCs w:val="24"/>
          <w:rtl/>
        </w:rPr>
        <w:t xml:space="preserve"> לחובתה של החברה לעשות לשיקום העבריין הצעיר ולצורך למצות את דרך השיקום משקל משמעותי בע</w:t>
      </w:r>
      <w:r w:rsidRPr="00A07C19">
        <w:rPr>
          <w:rFonts w:cs="David" w:hint="cs"/>
          <w:sz w:val="24"/>
          <w:szCs w:val="24"/>
          <w:rtl/>
        </w:rPr>
        <w:t>ת גזירת דינו של קטין, בעבירה קלה כחמורה [</w:t>
      </w:r>
      <w:hyperlink r:id="rId20" w:history="1">
        <w:r w:rsidRPr="00A07C19">
          <w:rPr>
            <w:rFonts w:cs="David"/>
            <w:sz w:val="24"/>
            <w:szCs w:val="24"/>
            <w:rtl/>
          </w:rPr>
          <w:t>ע"פ 10715/05</w:t>
        </w:r>
      </w:hyperlink>
      <w:r w:rsidRPr="00A07C19">
        <w:rPr>
          <w:rFonts w:cs="David" w:hint="cs"/>
          <w:sz w:val="24"/>
          <w:szCs w:val="24"/>
          <w:rtl/>
        </w:rPr>
        <w:t xml:space="preserve"> הנ"ל].</w:t>
      </w:r>
      <w:r w:rsidR="00DC013D" w:rsidRPr="00A07C19">
        <w:rPr>
          <w:rFonts w:cs="David" w:hint="cs"/>
          <w:sz w:val="24"/>
          <w:szCs w:val="24"/>
          <w:rtl/>
        </w:rPr>
        <w:t>"</w:t>
      </w:r>
    </w:p>
    <w:p w:rsidR="003A7BF8" w:rsidRPr="00A07C19" w:rsidRDefault="00BD3373" w:rsidP="003F2C8A">
      <w:pPr>
        <w:spacing w:before="240" w:after="0" w:line="360" w:lineRule="auto"/>
        <w:jc w:val="both"/>
        <w:rPr>
          <w:rFonts w:cs="David"/>
          <w:sz w:val="24"/>
          <w:szCs w:val="24"/>
        </w:rPr>
      </w:pPr>
      <w:r>
        <w:rPr>
          <w:rFonts w:cs="David" w:hint="cs"/>
          <w:sz w:val="24"/>
          <w:szCs w:val="24"/>
          <w:rtl/>
        </w:rPr>
        <w:t>יחד עם זאת,</w:t>
      </w:r>
      <w:r w:rsidR="003A7BF8" w:rsidRPr="00A07C19">
        <w:rPr>
          <w:rFonts w:cs="David" w:hint="cs"/>
          <w:sz w:val="24"/>
          <w:szCs w:val="24"/>
          <w:rtl/>
        </w:rPr>
        <w:t xml:space="preserve"> </w:t>
      </w:r>
      <w:r w:rsidR="003F2C8A">
        <w:rPr>
          <w:rFonts w:cs="David" w:hint="cs"/>
          <w:sz w:val="24"/>
          <w:szCs w:val="24"/>
          <w:rtl/>
        </w:rPr>
        <w:t xml:space="preserve">יודגש כי בפני בית המשפט עומדות אפשרויות אחרות להעניש ולהרחיק קטינים </w:t>
      </w:r>
      <w:r w:rsidR="003A7BF8" w:rsidRPr="00A07C19">
        <w:rPr>
          <w:rFonts w:cs="David" w:hint="cs"/>
          <w:sz w:val="24"/>
          <w:szCs w:val="24"/>
          <w:rtl/>
        </w:rPr>
        <w:t xml:space="preserve">שטרם מלאו להם 14 שנים, לרבות החזקה </w:t>
      </w:r>
      <w:r w:rsidR="003F2C8A">
        <w:rPr>
          <w:rFonts w:cs="David" w:hint="cs"/>
          <w:sz w:val="24"/>
          <w:szCs w:val="24"/>
          <w:rtl/>
        </w:rPr>
        <w:t xml:space="preserve">במעון או </w:t>
      </w:r>
      <w:r w:rsidR="003A7BF8" w:rsidRPr="00A07C19">
        <w:rPr>
          <w:rFonts w:cs="David" w:hint="cs"/>
          <w:sz w:val="24"/>
          <w:szCs w:val="24"/>
          <w:rtl/>
        </w:rPr>
        <w:t>במעון נעול</w:t>
      </w:r>
      <w:r w:rsidR="00DE581A">
        <w:rPr>
          <w:rFonts w:cs="David" w:hint="cs"/>
          <w:sz w:val="24"/>
          <w:szCs w:val="24"/>
          <w:rtl/>
        </w:rPr>
        <w:t xml:space="preserve"> עד </w:t>
      </w:r>
      <w:r w:rsidR="003F2C8A">
        <w:rPr>
          <w:rFonts w:cs="David" w:hint="cs"/>
          <w:sz w:val="24"/>
          <w:szCs w:val="24"/>
          <w:rtl/>
        </w:rPr>
        <w:t xml:space="preserve">שלנאשם ימלאו </w:t>
      </w:r>
      <w:r w:rsidR="00DE581A">
        <w:rPr>
          <w:rFonts w:cs="David" w:hint="cs"/>
          <w:sz w:val="24"/>
          <w:szCs w:val="24"/>
          <w:rtl/>
        </w:rPr>
        <w:t>20</w:t>
      </w:r>
      <w:r w:rsidR="003F2C8A">
        <w:rPr>
          <w:rFonts w:cs="David" w:hint="cs"/>
          <w:sz w:val="24"/>
          <w:szCs w:val="24"/>
          <w:rtl/>
        </w:rPr>
        <w:t xml:space="preserve"> שנים</w:t>
      </w:r>
      <w:r w:rsidR="003A7BF8" w:rsidRPr="00A07C19">
        <w:rPr>
          <w:rFonts w:cs="David" w:hint="cs"/>
          <w:sz w:val="24"/>
          <w:szCs w:val="24"/>
          <w:rtl/>
        </w:rPr>
        <w:t xml:space="preserve">. </w:t>
      </w:r>
    </w:p>
    <w:p w:rsidR="00B2713C" w:rsidRPr="00A07C19" w:rsidRDefault="007B16FE" w:rsidP="007B16FE">
      <w:pPr>
        <w:spacing w:before="240" w:after="0" w:line="360" w:lineRule="auto"/>
        <w:jc w:val="both"/>
        <w:rPr>
          <w:rFonts w:cs="David"/>
          <w:sz w:val="24"/>
          <w:szCs w:val="24"/>
          <w:rtl/>
        </w:rPr>
      </w:pPr>
      <w:r w:rsidRPr="009246CF">
        <w:rPr>
          <w:rFonts w:cs="David" w:hint="cs"/>
          <w:sz w:val="24"/>
          <w:szCs w:val="24"/>
          <w:rtl/>
        </w:rPr>
        <w:t xml:space="preserve">עוד יצוין </w:t>
      </w:r>
      <w:r w:rsidR="00B2713C" w:rsidRPr="009246CF">
        <w:rPr>
          <w:rFonts w:cs="David" w:hint="cs"/>
          <w:sz w:val="24"/>
          <w:szCs w:val="24"/>
          <w:rtl/>
        </w:rPr>
        <w:t>בהקשר זה</w:t>
      </w:r>
      <w:r w:rsidRPr="009246CF">
        <w:rPr>
          <w:rFonts w:cs="David" w:hint="cs"/>
          <w:sz w:val="24"/>
          <w:szCs w:val="24"/>
          <w:rtl/>
        </w:rPr>
        <w:t>,</w:t>
      </w:r>
      <w:r w:rsidR="00B2713C" w:rsidRPr="009246CF">
        <w:rPr>
          <w:rFonts w:cs="David" w:hint="cs"/>
          <w:sz w:val="24"/>
          <w:szCs w:val="24"/>
          <w:rtl/>
        </w:rPr>
        <w:t xml:space="preserve"> כי מחקרים שנעשו בעולם בעניין ענישת קטינים למול תכניות שיקום מצביעים על כך שתוכניות שיקום יעילות יותר מענישה מחמירה של קטינים למניעת עבריינות חוזרת</w:t>
      </w:r>
      <w:r w:rsidR="00B2713C" w:rsidRPr="009246CF">
        <w:rPr>
          <w:rStyle w:val="af"/>
          <w:rFonts w:cs="David"/>
          <w:sz w:val="24"/>
          <w:szCs w:val="24"/>
          <w:rtl/>
        </w:rPr>
        <w:footnoteReference w:id="7"/>
      </w:r>
      <w:r w:rsidR="00B2713C" w:rsidRPr="009246CF">
        <w:rPr>
          <w:rFonts w:cs="David" w:hint="cs"/>
          <w:sz w:val="24"/>
          <w:szCs w:val="24"/>
          <w:rtl/>
        </w:rPr>
        <w:t>. הספרות גם מצביעה על כך שסיכויי השיקום והחזרה להתנהגות נורמטיבית גבוהה יותר אצל קטינים עוברי חוק ביחס למבוגרים.</w:t>
      </w:r>
    </w:p>
    <w:p w:rsidR="00B7401E" w:rsidRPr="00A07C19" w:rsidRDefault="00B7401E" w:rsidP="00B7401E">
      <w:pPr>
        <w:pStyle w:val="P00"/>
        <w:spacing w:before="72"/>
        <w:ind w:right="1134"/>
        <w:rPr>
          <w:rStyle w:val="default"/>
          <w:rFonts w:cs="David"/>
          <w:highlight w:val="green"/>
          <w:rtl/>
        </w:rPr>
      </w:pPr>
    </w:p>
    <w:p w:rsidR="00D0533A" w:rsidRPr="00A07C19" w:rsidRDefault="00D0533A" w:rsidP="00D0533A">
      <w:pPr>
        <w:spacing w:before="240" w:after="0" w:line="360" w:lineRule="auto"/>
        <w:rPr>
          <w:rFonts w:cs="David"/>
          <w:b/>
          <w:bCs/>
          <w:sz w:val="24"/>
          <w:szCs w:val="24"/>
          <w:rtl/>
        </w:rPr>
      </w:pPr>
      <w:r w:rsidRPr="00A07C19">
        <w:rPr>
          <w:rFonts w:cs="David" w:hint="cs"/>
          <w:b/>
          <w:bCs/>
          <w:sz w:val="24"/>
          <w:szCs w:val="24"/>
          <w:rtl/>
        </w:rPr>
        <w:t xml:space="preserve">הצעת החוק הממשלתית </w:t>
      </w:r>
    </w:p>
    <w:p w:rsidR="00D0533A" w:rsidRPr="00A07C19" w:rsidRDefault="00AB48CE" w:rsidP="003B1EFB">
      <w:pPr>
        <w:spacing w:before="240" w:after="0" w:line="360" w:lineRule="auto"/>
        <w:jc w:val="both"/>
        <w:rPr>
          <w:rFonts w:cs="David"/>
          <w:sz w:val="24"/>
          <w:szCs w:val="24"/>
          <w:rtl/>
        </w:rPr>
      </w:pPr>
      <w:r w:rsidRPr="00A07C19">
        <w:rPr>
          <w:rFonts w:cs="David" w:hint="cs"/>
          <w:sz w:val="24"/>
          <w:szCs w:val="24"/>
          <w:rtl/>
        </w:rPr>
        <w:t>הצעת ה</w:t>
      </w:r>
      <w:r w:rsidR="00C1209C" w:rsidRPr="00A07C19">
        <w:rPr>
          <w:rFonts w:cs="David" w:hint="cs"/>
          <w:sz w:val="24"/>
          <w:szCs w:val="24"/>
          <w:rtl/>
        </w:rPr>
        <w:t xml:space="preserve">חוק הממשלתית מבקשת לקבוע הוראת שעה לפרק זמן של שלוש שנים לפיה בית המשפט יהיה רשאי לצוות </w:t>
      </w:r>
      <w:r w:rsidR="0019225D" w:rsidRPr="00A07C19">
        <w:rPr>
          <w:rFonts w:cs="David" w:hint="cs"/>
          <w:sz w:val="24"/>
          <w:szCs w:val="24"/>
          <w:rtl/>
        </w:rPr>
        <w:t>ש</w:t>
      </w:r>
      <w:r w:rsidR="00C1209C" w:rsidRPr="00A07C19">
        <w:rPr>
          <w:rFonts w:cs="David" w:hint="cs"/>
          <w:sz w:val="24"/>
          <w:szCs w:val="24"/>
          <w:rtl/>
        </w:rPr>
        <w:t>קטין שטרם מלאו לו 14 שנים ביום מתן גזר הדין</w:t>
      </w:r>
      <w:r w:rsidR="0019225D" w:rsidRPr="00A07C19">
        <w:rPr>
          <w:rFonts w:cs="David" w:hint="cs"/>
          <w:sz w:val="24"/>
          <w:szCs w:val="24"/>
          <w:rtl/>
        </w:rPr>
        <w:t xml:space="preserve"> יוחזק </w:t>
      </w:r>
      <w:r w:rsidR="00C1209C" w:rsidRPr="00A07C19">
        <w:rPr>
          <w:rFonts w:cs="David" w:hint="cs"/>
          <w:sz w:val="24"/>
          <w:szCs w:val="24"/>
          <w:rtl/>
        </w:rPr>
        <w:t xml:space="preserve"> במעון נעול</w:t>
      </w:r>
      <w:r w:rsidR="0019225D" w:rsidRPr="00A07C19">
        <w:rPr>
          <w:rFonts w:cs="David" w:hint="cs"/>
          <w:sz w:val="24"/>
          <w:szCs w:val="24"/>
          <w:rtl/>
        </w:rPr>
        <w:t xml:space="preserve"> לפרק הזמן </w:t>
      </w:r>
      <w:r w:rsidR="0019225D" w:rsidRPr="00A07C19">
        <w:rPr>
          <w:rFonts w:cs="David" w:hint="cs"/>
          <w:sz w:val="24"/>
          <w:szCs w:val="24"/>
          <w:rtl/>
        </w:rPr>
        <w:lastRenderedPageBreak/>
        <w:t>שיקבע</w:t>
      </w:r>
      <w:r w:rsidR="00731899">
        <w:rPr>
          <w:rFonts w:cs="David" w:hint="cs"/>
          <w:sz w:val="24"/>
          <w:szCs w:val="24"/>
          <w:rtl/>
        </w:rPr>
        <w:t>,</w:t>
      </w:r>
      <w:r w:rsidR="0019225D" w:rsidRPr="00A07C19">
        <w:rPr>
          <w:rFonts w:cs="David" w:hint="cs"/>
          <w:sz w:val="24"/>
          <w:szCs w:val="24"/>
          <w:rtl/>
        </w:rPr>
        <w:t xml:space="preserve"> וכי </w:t>
      </w:r>
      <w:r w:rsidR="00C1209C" w:rsidRPr="00A07C19">
        <w:rPr>
          <w:rFonts w:cs="David" w:hint="cs"/>
          <w:sz w:val="24"/>
          <w:szCs w:val="24"/>
          <w:rtl/>
        </w:rPr>
        <w:t xml:space="preserve">המשך נשיאת עונשו </w:t>
      </w:r>
      <w:r w:rsidR="0019225D" w:rsidRPr="00A07C19">
        <w:rPr>
          <w:rFonts w:cs="David" w:hint="cs"/>
          <w:sz w:val="24"/>
          <w:szCs w:val="24"/>
          <w:rtl/>
        </w:rPr>
        <w:t xml:space="preserve">תרוצה </w:t>
      </w:r>
      <w:r w:rsidR="00C1209C" w:rsidRPr="00A07C19">
        <w:rPr>
          <w:rFonts w:cs="David" w:hint="cs"/>
          <w:sz w:val="24"/>
          <w:szCs w:val="24"/>
          <w:rtl/>
        </w:rPr>
        <w:t>במאסר בשל</w:t>
      </w:r>
      <w:r w:rsidR="003B1EFB">
        <w:rPr>
          <w:rFonts w:cs="David" w:hint="cs"/>
          <w:sz w:val="24"/>
          <w:szCs w:val="24"/>
          <w:rtl/>
        </w:rPr>
        <w:t xml:space="preserve">ב מאוחר יותר, ובלבד שבעת העברתו למאסר </w:t>
      </w:r>
      <w:r w:rsidR="00C1209C" w:rsidRPr="00A07C19">
        <w:rPr>
          <w:rFonts w:cs="David" w:hint="cs"/>
          <w:sz w:val="24"/>
          <w:szCs w:val="24"/>
          <w:rtl/>
        </w:rPr>
        <w:t>ימלאו לקט</w:t>
      </w:r>
      <w:r w:rsidR="00127D20" w:rsidRPr="00A07C19">
        <w:rPr>
          <w:rFonts w:cs="David" w:hint="cs"/>
          <w:sz w:val="24"/>
          <w:szCs w:val="24"/>
          <w:rtl/>
        </w:rPr>
        <w:t>י</w:t>
      </w:r>
      <w:r w:rsidR="00C1209C" w:rsidRPr="00A07C19">
        <w:rPr>
          <w:rFonts w:cs="David" w:hint="cs"/>
          <w:sz w:val="24"/>
          <w:szCs w:val="24"/>
          <w:rtl/>
        </w:rPr>
        <w:t xml:space="preserve">ן 14 שנים לפחות. </w:t>
      </w:r>
    </w:p>
    <w:p w:rsidR="00127D20" w:rsidRPr="00A07C19" w:rsidRDefault="00127D20" w:rsidP="00127D20">
      <w:pPr>
        <w:spacing w:before="240" w:after="0" w:line="360" w:lineRule="auto"/>
        <w:jc w:val="both"/>
        <w:rPr>
          <w:rFonts w:cs="David"/>
          <w:sz w:val="24"/>
          <w:szCs w:val="24"/>
          <w:rtl/>
        </w:rPr>
      </w:pPr>
      <w:r w:rsidRPr="00A07C19">
        <w:rPr>
          <w:rFonts w:cs="David" w:hint="cs"/>
          <w:sz w:val="24"/>
          <w:szCs w:val="24"/>
          <w:rtl/>
        </w:rPr>
        <w:t>בטרם יורה בית המשפט כאמור, עליו לשקול, בין היתר, את נסיבות המקרה, השפעת המאסר על הקטין, גילו של הקטין בעת ביצוע העבירה ונסיבותיו האישיות</w:t>
      </w:r>
      <w:r w:rsidR="0018699E">
        <w:rPr>
          <w:rFonts w:cs="David" w:hint="cs"/>
          <w:sz w:val="24"/>
          <w:szCs w:val="24"/>
          <w:rtl/>
        </w:rPr>
        <w:t xml:space="preserve"> של הקטין</w:t>
      </w:r>
      <w:r w:rsidRPr="00A07C19">
        <w:rPr>
          <w:rFonts w:cs="David" w:hint="cs"/>
          <w:sz w:val="24"/>
          <w:szCs w:val="24"/>
          <w:rtl/>
        </w:rPr>
        <w:t xml:space="preserve">. </w:t>
      </w:r>
    </w:p>
    <w:p w:rsidR="00C1209C" w:rsidRPr="00A07C19" w:rsidRDefault="003F56B8" w:rsidP="00127D20">
      <w:pPr>
        <w:spacing w:before="240" w:after="0" w:line="360" w:lineRule="auto"/>
        <w:jc w:val="both"/>
        <w:rPr>
          <w:rFonts w:cs="David"/>
          <w:sz w:val="24"/>
          <w:szCs w:val="24"/>
          <w:rtl/>
        </w:rPr>
      </w:pPr>
      <w:r w:rsidRPr="00A07C19">
        <w:rPr>
          <w:rFonts w:cs="David" w:hint="cs"/>
          <w:sz w:val="24"/>
          <w:szCs w:val="24"/>
          <w:rtl/>
        </w:rPr>
        <w:t xml:space="preserve">מוצע שסמכות זו תתגבש כאשר הקטין הורשע בעבירות של הריגה, רצח או ניסיון </w:t>
      </w:r>
      <w:r w:rsidR="00127D20" w:rsidRPr="00A07C19">
        <w:rPr>
          <w:rFonts w:cs="David" w:hint="cs"/>
          <w:sz w:val="24"/>
          <w:szCs w:val="24"/>
          <w:rtl/>
        </w:rPr>
        <w:t>ל</w:t>
      </w:r>
      <w:r w:rsidRPr="00A07C19">
        <w:rPr>
          <w:rFonts w:cs="David" w:hint="cs"/>
          <w:sz w:val="24"/>
          <w:szCs w:val="24"/>
          <w:rtl/>
        </w:rPr>
        <w:t xml:space="preserve">רצח (סעיפים 298, 300 או 305 לחוק העונשין, </w:t>
      </w:r>
      <w:proofErr w:type="spellStart"/>
      <w:r w:rsidRPr="00A07C19">
        <w:rPr>
          <w:rFonts w:cs="David" w:hint="cs"/>
          <w:sz w:val="24"/>
          <w:szCs w:val="24"/>
          <w:rtl/>
        </w:rPr>
        <w:t>התשל"ז</w:t>
      </w:r>
      <w:proofErr w:type="spellEnd"/>
      <w:r w:rsidRPr="00A07C19">
        <w:rPr>
          <w:rFonts w:cs="David" w:hint="cs"/>
          <w:sz w:val="24"/>
          <w:szCs w:val="24"/>
          <w:rtl/>
        </w:rPr>
        <w:t xml:space="preserve">- 1977). </w:t>
      </w:r>
    </w:p>
    <w:p w:rsidR="00E766E6" w:rsidRDefault="0019225D" w:rsidP="00E766E6">
      <w:pPr>
        <w:spacing w:before="120" w:after="0" w:line="360" w:lineRule="auto"/>
        <w:jc w:val="both"/>
        <w:rPr>
          <w:rFonts w:cs="David"/>
          <w:sz w:val="24"/>
          <w:szCs w:val="24"/>
          <w:rtl/>
        </w:rPr>
      </w:pPr>
      <w:r w:rsidRPr="00A07C19">
        <w:rPr>
          <w:rFonts w:cs="David" w:hint="cs"/>
          <w:sz w:val="24"/>
          <w:szCs w:val="24"/>
          <w:rtl/>
        </w:rPr>
        <w:t>עוד מוצע לקבוע כי במקרה בו ציווה בית המשפט כאמור, יורה על קיום דיון לקראת תום תקופת ההחזקה במעון הנעול ו</w:t>
      </w:r>
      <w:r w:rsidRPr="00A07C19">
        <w:rPr>
          <w:rFonts w:cs="David" w:hint="cs"/>
          <w:sz w:val="24"/>
          <w:szCs w:val="24"/>
          <w:u w:val="single"/>
          <w:rtl/>
        </w:rPr>
        <w:t xml:space="preserve">לפני </w:t>
      </w:r>
      <w:r w:rsidRPr="00A07C19">
        <w:rPr>
          <w:rFonts w:cs="David" w:hint="cs"/>
          <w:sz w:val="24"/>
          <w:szCs w:val="24"/>
          <w:rtl/>
        </w:rPr>
        <w:t>העברתו של הקטין למאסר (דיון מעקב). בדיון כאמור, רשאי בית המשפט, לאחר שיוגשו לו תסקיר קצין מבחן וחוות דעתו של הממונה על המעונות</w:t>
      </w:r>
      <w:r w:rsidR="003B1EFB">
        <w:rPr>
          <w:rFonts w:cs="David" w:hint="cs"/>
          <w:sz w:val="24"/>
          <w:szCs w:val="24"/>
          <w:rtl/>
        </w:rPr>
        <w:t>,</w:t>
      </w:r>
      <w:r w:rsidRPr="00A07C19">
        <w:rPr>
          <w:rFonts w:cs="David" w:hint="cs"/>
          <w:sz w:val="24"/>
          <w:szCs w:val="24"/>
          <w:rtl/>
        </w:rPr>
        <w:t xml:space="preserve"> ולאחר ששקל</w:t>
      </w:r>
      <w:r w:rsidR="0018699E">
        <w:rPr>
          <w:rFonts w:cs="David" w:hint="cs"/>
          <w:sz w:val="24"/>
          <w:szCs w:val="24"/>
          <w:rtl/>
        </w:rPr>
        <w:t xml:space="preserve"> את השיקולים המנויים לעיל (נסיבות המקרה, השפעת המאסר, גיל הקטין בעת ביצוע העבירה ונסיבותיו האישיות)</w:t>
      </w:r>
      <w:r w:rsidRPr="00A07C19">
        <w:rPr>
          <w:rFonts w:cs="David" w:hint="cs"/>
          <w:sz w:val="24"/>
          <w:szCs w:val="24"/>
          <w:rtl/>
        </w:rPr>
        <w:t xml:space="preserve">, להורות </w:t>
      </w:r>
      <w:r w:rsidR="00E766E6">
        <w:rPr>
          <w:rFonts w:cs="David" w:hint="cs"/>
          <w:sz w:val="24"/>
          <w:szCs w:val="24"/>
          <w:rtl/>
        </w:rPr>
        <w:t>על אחד מאלה:</w:t>
      </w:r>
    </w:p>
    <w:p w:rsidR="00E766E6" w:rsidRPr="00E766E6" w:rsidRDefault="0019225D" w:rsidP="00E766E6">
      <w:pPr>
        <w:pStyle w:val="a3"/>
        <w:numPr>
          <w:ilvl w:val="0"/>
          <w:numId w:val="5"/>
        </w:numPr>
        <w:spacing w:before="120" w:after="0" w:line="360" w:lineRule="auto"/>
        <w:jc w:val="both"/>
        <w:rPr>
          <w:rFonts w:cs="David"/>
          <w:sz w:val="24"/>
          <w:szCs w:val="24"/>
          <w:rtl/>
        </w:rPr>
      </w:pPr>
      <w:r w:rsidRPr="00E766E6">
        <w:rPr>
          <w:rFonts w:cs="David" w:hint="cs"/>
          <w:sz w:val="24"/>
          <w:szCs w:val="24"/>
          <w:rtl/>
        </w:rPr>
        <w:t>דחיית מועד העברתו של הקטין למאסר</w:t>
      </w:r>
      <w:r w:rsidR="00E766E6" w:rsidRPr="00E766E6">
        <w:rPr>
          <w:rFonts w:cs="David" w:hint="cs"/>
          <w:sz w:val="24"/>
          <w:szCs w:val="24"/>
          <w:rtl/>
        </w:rPr>
        <w:t>.</w:t>
      </w:r>
    </w:p>
    <w:p w:rsidR="00E766E6" w:rsidRPr="00E766E6" w:rsidRDefault="0019225D" w:rsidP="00E766E6">
      <w:pPr>
        <w:pStyle w:val="a3"/>
        <w:numPr>
          <w:ilvl w:val="0"/>
          <w:numId w:val="5"/>
        </w:numPr>
        <w:spacing w:before="120" w:after="0" w:line="360" w:lineRule="auto"/>
        <w:jc w:val="both"/>
        <w:rPr>
          <w:rFonts w:cs="David"/>
          <w:sz w:val="24"/>
          <w:szCs w:val="24"/>
          <w:rtl/>
        </w:rPr>
      </w:pPr>
      <w:r w:rsidRPr="00E766E6">
        <w:rPr>
          <w:rFonts w:cs="David" w:hint="cs"/>
          <w:sz w:val="24"/>
          <w:szCs w:val="24"/>
          <w:rtl/>
        </w:rPr>
        <w:t>קיצור תקופת המאסר שקבע</w:t>
      </w:r>
      <w:r w:rsidR="00E766E6" w:rsidRPr="00E766E6">
        <w:rPr>
          <w:rFonts w:cs="David" w:hint="cs"/>
          <w:sz w:val="24"/>
          <w:szCs w:val="24"/>
          <w:rtl/>
        </w:rPr>
        <w:t>.</w:t>
      </w:r>
    </w:p>
    <w:p w:rsidR="00E766E6" w:rsidRPr="00E766E6" w:rsidRDefault="00E766E6" w:rsidP="00E766E6">
      <w:pPr>
        <w:pStyle w:val="a3"/>
        <w:numPr>
          <w:ilvl w:val="0"/>
          <w:numId w:val="5"/>
        </w:numPr>
        <w:spacing w:before="120" w:after="0" w:line="360" w:lineRule="auto"/>
        <w:jc w:val="both"/>
        <w:rPr>
          <w:rFonts w:cs="David"/>
          <w:sz w:val="24"/>
          <w:szCs w:val="24"/>
          <w:rtl/>
        </w:rPr>
      </w:pPr>
      <w:r w:rsidRPr="00E766E6">
        <w:rPr>
          <w:rFonts w:cs="David" w:hint="cs"/>
          <w:sz w:val="24"/>
          <w:szCs w:val="24"/>
          <w:rtl/>
        </w:rPr>
        <w:t>ב</w:t>
      </w:r>
      <w:r w:rsidR="0019225D" w:rsidRPr="00E766E6">
        <w:rPr>
          <w:rFonts w:cs="David" w:hint="cs"/>
          <w:sz w:val="24"/>
          <w:szCs w:val="24"/>
          <w:rtl/>
        </w:rPr>
        <w:t>יטול</w:t>
      </w:r>
      <w:r w:rsidRPr="00E766E6">
        <w:rPr>
          <w:rFonts w:cs="David" w:hint="cs"/>
          <w:sz w:val="24"/>
          <w:szCs w:val="24"/>
          <w:rtl/>
        </w:rPr>
        <w:t xml:space="preserve"> תקופת המאסר</w:t>
      </w:r>
      <w:r w:rsidR="0019225D" w:rsidRPr="00E766E6">
        <w:rPr>
          <w:rFonts w:cs="David" w:hint="cs"/>
          <w:sz w:val="24"/>
          <w:szCs w:val="24"/>
          <w:rtl/>
        </w:rPr>
        <w:t xml:space="preserve">. </w:t>
      </w:r>
    </w:p>
    <w:p w:rsidR="0019225D" w:rsidRPr="00A07C19" w:rsidRDefault="0019225D" w:rsidP="00E766E6">
      <w:pPr>
        <w:spacing w:before="240" w:after="0" w:line="360" w:lineRule="auto"/>
        <w:jc w:val="both"/>
        <w:rPr>
          <w:rFonts w:cs="David"/>
          <w:sz w:val="24"/>
          <w:szCs w:val="24"/>
          <w:rtl/>
        </w:rPr>
      </w:pPr>
      <w:r w:rsidRPr="00A07C19">
        <w:rPr>
          <w:rFonts w:cs="David" w:hint="cs"/>
          <w:sz w:val="24"/>
          <w:szCs w:val="24"/>
          <w:rtl/>
        </w:rPr>
        <w:t xml:space="preserve">כל עוד הקטין מוחזק במעון </w:t>
      </w:r>
      <w:r w:rsidR="003B1EFB">
        <w:rPr>
          <w:rFonts w:cs="David" w:hint="cs"/>
          <w:sz w:val="24"/>
          <w:szCs w:val="24"/>
          <w:rtl/>
        </w:rPr>
        <w:t>ה</w:t>
      </w:r>
      <w:r w:rsidRPr="00A07C19">
        <w:rPr>
          <w:rFonts w:cs="David" w:hint="cs"/>
          <w:sz w:val="24"/>
          <w:szCs w:val="24"/>
          <w:rtl/>
        </w:rPr>
        <w:t>נעול, רשאי בית המשפט להורות על קיום דיוני מעקב נוספים</w:t>
      </w:r>
      <w:r w:rsidR="003A32B6" w:rsidRPr="00A07C19">
        <w:rPr>
          <w:rFonts w:cs="David" w:hint="cs"/>
          <w:sz w:val="24"/>
          <w:szCs w:val="24"/>
          <w:rtl/>
        </w:rPr>
        <w:t xml:space="preserve"> בהם יהיו נתונות לו סמכויות כאמור</w:t>
      </w:r>
      <w:r w:rsidRPr="00A07C19">
        <w:rPr>
          <w:rFonts w:cs="David" w:hint="cs"/>
          <w:sz w:val="24"/>
          <w:szCs w:val="24"/>
          <w:rtl/>
        </w:rPr>
        <w:t xml:space="preserve">. </w:t>
      </w:r>
      <w:r w:rsidR="005C2D7D" w:rsidRPr="00A07C19">
        <w:rPr>
          <w:rFonts w:cs="David" w:hint="cs"/>
          <w:sz w:val="24"/>
          <w:szCs w:val="24"/>
          <w:rtl/>
        </w:rPr>
        <w:t xml:space="preserve"> </w:t>
      </w:r>
    </w:p>
    <w:p w:rsidR="00C1209C" w:rsidRPr="00A07C19" w:rsidRDefault="00A90E5A" w:rsidP="00A90E5A">
      <w:pPr>
        <w:spacing w:before="240" w:after="0" w:line="360" w:lineRule="auto"/>
        <w:jc w:val="both"/>
        <w:rPr>
          <w:rFonts w:cs="David"/>
          <w:sz w:val="24"/>
          <w:szCs w:val="24"/>
          <w:rtl/>
        </w:rPr>
      </w:pPr>
      <w:r w:rsidRPr="00A07C19">
        <w:rPr>
          <w:rFonts w:cs="David" w:hint="cs"/>
          <w:sz w:val="24"/>
          <w:szCs w:val="24"/>
          <w:rtl/>
        </w:rPr>
        <w:t xml:space="preserve">נוכח רגישות ההסדר המוצע וההשלכות המשמעותיות שלו על גזירת דינם של קטינים, ובמטרה לבחון את השפעתו של התיקון, מוצע </w:t>
      </w:r>
      <w:r w:rsidR="003B1EFB">
        <w:rPr>
          <w:rFonts w:cs="David" w:hint="cs"/>
          <w:sz w:val="24"/>
          <w:szCs w:val="24"/>
          <w:rtl/>
        </w:rPr>
        <w:t xml:space="preserve">כאמור </w:t>
      </w:r>
      <w:r w:rsidRPr="00A07C19">
        <w:rPr>
          <w:rFonts w:cs="David" w:hint="cs"/>
          <w:sz w:val="24"/>
          <w:szCs w:val="24"/>
          <w:rtl/>
        </w:rPr>
        <w:t>לקבוע את התיקון כהוראת שעה לתקופה של שלוש שנים.</w:t>
      </w:r>
    </w:p>
    <w:p w:rsidR="00927B03" w:rsidRPr="00A07C19" w:rsidRDefault="00B21FB3" w:rsidP="000727C7">
      <w:pPr>
        <w:spacing w:before="240" w:after="0" w:line="360" w:lineRule="auto"/>
        <w:jc w:val="both"/>
        <w:rPr>
          <w:rFonts w:cs="David"/>
          <w:sz w:val="24"/>
          <w:szCs w:val="24"/>
          <w:rtl/>
        </w:rPr>
      </w:pPr>
      <w:r w:rsidRPr="00A07C19">
        <w:rPr>
          <w:rFonts w:cs="David" w:hint="cs"/>
          <w:sz w:val="24"/>
          <w:szCs w:val="24"/>
          <w:rtl/>
        </w:rPr>
        <w:t>לפי דברי ההסבר להצעת החוק, התיקון המוצע גובש נוכח ביצוען של  עבירות קשות על ידי קטינים צעירים בעת האחרונה</w:t>
      </w:r>
      <w:r w:rsidR="00927B03" w:rsidRPr="00A07C19">
        <w:rPr>
          <w:rFonts w:cs="David" w:hint="cs"/>
          <w:sz w:val="24"/>
          <w:szCs w:val="24"/>
          <w:rtl/>
        </w:rPr>
        <w:t xml:space="preserve"> והרצון לתת ביטוי גם לשיקולי גמול והרתעה באותם מקרים חמורים</w:t>
      </w:r>
      <w:r w:rsidRPr="00A07C19">
        <w:rPr>
          <w:rFonts w:cs="David" w:hint="cs"/>
          <w:sz w:val="24"/>
          <w:szCs w:val="24"/>
          <w:rtl/>
        </w:rPr>
        <w:t xml:space="preserve">. </w:t>
      </w:r>
    </w:p>
    <w:p w:rsidR="009932E2" w:rsidRPr="00A07C19" w:rsidRDefault="00B21FB3" w:rsidP="003B1EFB">
      <w:pPr>
        <w:spacing w:before="240" w:after="0" w:line="360" w:lineRule="auto"/>
        <w:jc w:val="both"/>
        <w:rPr>
          <w:rFonts w:cs="David"/>
          <w:sz w:val="24"/>
          <w:szCs w:val="24"/>
          <w:rtl/>
        </w:rPr>
      </w:pPr>
      <w:r w:rsidRPr="00A07C19">
        <w:rPr>
          <w:rFonts w:cs="David" w:hint="cs"/>
          <w:sz w:val="24"/>
          <w:szCs w:val="24"/>
          <w:rtl/>
        </w:rPr>
        <w:t>עוד נ</w:t>
      </w:r>
      <w:r w:rsidR="00927B03" w:rsidRPr="00A07C19">
        <w:rPr>
          <w:rFonts w:cs="David" w:hint="cs"/>
          <w:sz w:val="24"/>
          <w:szCs w:val="24"/>
          <w:rtl/>
        </w:rPr>
        <w:t>אמר בדבר</w:t>
      </w:r>
      <w:r w:rsidR="007A7BDA">
        <w:rPr>
          <w:rFonts w:cs="David" w:hint="cs"/>
          <w:sz w:val="24"/>
          <w:szCs w:val="24"/>
          <w:rtl/>
        </w:rPr>
        <w:t>י</w:t>
      </w:r>
      <w:r w:rsidR="00927B03" w:rsidRPr="00A07C19">
        <w:rPr>
          <w:rFonts w:cs="David" w:hint="cs"/>
          <w:sz w:val="24"/>
          <w:szCs w:val="24"/>
          <w:rtl/>
        </w:rPr>
        <w:t xml:space="preserve"> ההסבר </w:t>
      </w:r>
      <w:r w:rsidRPr="00A07C19">
        <w:rPr>
          <w:rFonts w:cs="David" w:hint="cs"/>
          <w:sz w:val="24"/>
          <w:szCs w:val="24"/>
          <w:rtl/>
        </w:rPr>
        <w:t xml:space="preserve">כי ההתנגשות בין קטינות לבין שיקולי ההרתעה, המניעה והגמול מתחדדת במיוחד במקרה של עברות חמורות של רצח, הריגה וניסיון רצח בהן הערך המוגן הוא קדושת החיים. במצבים אלה, </w:t>
      </w:r>
      <w:r w:rsidR="00927B03" w:rsidRPr="00A07C19">
        <w:rPr>
          <w:rFonts w:cs="David" w:hint="cs"/>
          <w:sz w:val="24"/>
          <w:szCs w:val="24"/>
          <w:rtl/>
        </w:rPr>
        <w:t xml:space="preserve">כך נטען, </w:t>
      </w:r>
      <w:r w:rsidRPr="00A07C19">
        <w:rPr>
          <w:rFonts w:cs="David" w:hint="cs"/>
          <w:sz w:val="24"/>
          <w:szCs w:val="24"/>
          <w:rtl/>
        </w:rPr>
        <w:t>העונש שבית המשפט מוסמך לגזור על קטין שטרם מלאו לו 14 שנים בעת מתן גזר הדין</w:t>
      </w:r>
      <w:r w:rsidR="007A7BDA">
        <w:rPr>
          <w:rFonts w:cs="David" w:hint="cs"/>
          <w:sz w:val="24"/>
          <w:szCs w:val="24"/>
          <w:rtl/>
        </w:rPr>
        <w:t xml:space="preserve"> </w:t>
      </w:r>
      <w:r w:rsidRPr="00A07C19">
        <w:rPr>
          <w:rFonts w:cs="David" w:hint="cs"/>
          <w:sz w:val="24"/>
          <w:szCs w:val="24"/>
          <w:rtl/>
        </w:rPr>
        <w:t>- מעון נעול עד גיל 20</w:t>
      </w:r>
      <w:r w:rsidR="007A7BDA">
        <w:rPr>
          <w:rFonts w:cs="David" w:hint="cs"/>
          <w:sz w:val="24"/>
          <w:szCs w:val="24"/>
          <w:rtl/>
        </w:rPr>
        <w:t xml:space="preserve"> </w:t>
      </w:r>
      <w:r w:rsidRPr="00A07C19">
        <w:rPr>
          <w:rFonts w:cs="David" w:hint="cs"/>
          <w:sz w:val="24"/>
          <w:szCs w:val="24"/>
          <w:rtl/>
        </w:rPr>
        <w:t>- לעיתים אינו נותן ביטוי הולם לעקרונות אלה.</w:t>
      </w:r>
      <w:r w:rsidR="000727C7" w:rsidRPr="00A07C19">
        <w:rPr>
          <w:rFonts w:cs="David" w:hint="cs"/>
          <w:sz w:val="24"/>
          <w:szCs w:val="24"/>
          <w:rtl/>
        </w:rPr>
        <w:t xml:space="preserve"> במטרה לצמצם את הפער ולתת ביטוי גם לאינטרס הציבורי ולשיקולי הר</w:t>
      </w:r>
      <w:r w:rsidR="003B1EFB">
        <w:rPr>
          <w:rFonts w:cs="David" w:hint="cs"/>
          <w:sz w:val="24"/>
          <w:szCs w:val="24"/>
          <w:rtl/>
        </w:rPr>
        <w:t>ת</w:t>
      </w:r>
      <w:r w:rsidR="000727C7" w:rsidRPr="00A07C19">
        <w:rPr>
          <w:rFonts w:cs="David" w:hint="cs"/>
          <w:sz w:val="24"/>
          <w:szCs w:val="24"/>
          <w:rtl/>
        </w:rPr>
        <w:t>עה, מניע</w:t>
      </w:r>
      <w:r w:rsidR="00927B03" w:rsidRPr="00A07C19">
        <w:rPr>
          <w:rFonts w:cs="David" w:hint="cs"/>
          <w:sz w:val="24"/>
          <w:szCs w:val="24"/>
          <w:rtl/>
        </w:rPr>
        <w:t>ה וגמול במקרים החמורים ביותר מוצע לתקן את החוק</w:t>
      </w:r>
      <w:r w:rsidR="003B1EFB">
        <w:rPr>
          <w:rFonts w:cs="David" w:hint="cs"/>
          <w:sz w:val="24"/>
          <w:szCs w:val="24"/>
          <w:rtl/>
        </w:rPr>
        <w:t xml:space="preserve"> באופן האמור</w:t>
      </w:r>
      <w:r w:rsidR="00927B03" w:rsidRPr="00A07C19">
        <w:rPr>
          <w:rFonts w:cs="David" w:hint="cs"/>
          <w:sz w:val="24"/>
          <w:szCs w:val="24"/>
          <w:rtl/>
        </w:rPr>
        <w:t>.</w:t>
      </w:r>
    </w:p>
    <w:p w:rsidR="00487FAB" w:rsidRPr="00A07C19" w:rsidRDefault="00487FAB" w:rsidP="009932E2">
      <w:pPr>
        <w:spacing w:before="240" w:after="0" w:line="360" w:lineRule="auto"/>
        <w:jc w:val="both"/>
        <w:rPr>
          <w:rFonts w:cs="David"/>
          <w:b/>
          <w:bCs/>
          <w:sz w:val="24"/>
          <w:szCs w:val="24"/>
          <w:rtl/>
        </w:rPr>
      </w:pPr>
      <w:r w:rsidRPr="00A07C19">
        <w:rPr>
          <w:rFonts w:cs="David" w:hint="cs"/>
          <w:b/>
          <w:bCs/>
          <w:sz w:val="24"/>
          <w:szCs w:val="24"/>
          <w:rtl/>
        </w:rPr>
        <w:t>הצעת החוק הפרטית של חה"כ ענת ברקו</w:t>
      </w:r>
    </w:p>
    <w:p w:rsidR="000A2332" w:rsidRDefault="00487FAB" w:rsidP="00CF798D">
      <w:pPr>
        <w:spacing w:before="240" w:after="0" w:line="360" w:lineRule="auto"/>
        <w:jc w:val="both"/>
        <w:rPr>
          <w:rFonts w:cs="David"/>
          <w:sz w:val="24"/>
          <w:szCs w:val="24"/>
          <w:rtl/>
        </w:rPr>
      </w:pPr>
      <w:r w:rsidRPr="00A07C19">
        <w:rPr>
          <w:rFonts w:cs="David" w:hint="cs"/>
          <w:sz w:val="24"/>
          <w:szCs w:val="24"/>
          <w:rtl/>
        </w:rPr>
        <w:t xml:space="preserve">בהצעת חוק 2207/20 </w:t>
      </w:r>
      <w:r w:rsidR="00960589" w:rsidRPr="00A07C19">
        <w:rPr>
          <w:rFonts w:cs="David" w:hint="cs"/>
          <w:sz w:val="24"/>
          <w:szCs w:val="24"/>
          <w:rtl/>
        </w:rPr>
        <w:t xml:space="preserve">של חה"כ ברקו </w:t>
      </w:r>
      <w:r w:rsidRPr="00A07C19">
        <w:rPr>
          <w:rFonts w:cs="David" w:hint="cs"/>
          <w:sz w:val="24"/>
          <w:szCs w:val="24"/>
          <w:rtl/>
        </w:rPr>
        <w:t>מוצע</w:t>
      </w:r>
      <w:r w:rsidR="00772DC7" w:rsidRPr="00A07C19">
        <w:rPr>
          <w:rFonts w:cs="David" w:hint="cs"/>
          <w:sz w:val="24"/>
          <w:szCs w:val="24"/>
          <w:rtl/>
        </w:rPr>
        <w:t xml:space="preserve"> לקבוע כי ההוראה בדבר אי הטלת עונש מאסר על קטין שטרם מלאו לו 14 שנה לא תחול על קטין שהורשע בעבירה שהיא מעשה טרור</w:t>
      </w:r>
      <w:r w:rsidR="00960589" w:rsidRPr="00A07C19">
        <w:rPr>
          <w:rFonts w:cs="David" w:hint="cs"/>
          <w:sz w:val="24"/>
          <w:szCs w:val="24"/>
          <w:rtl/>
        </w:rPr>
        <w:t>.</w:t>
      </w:r>
      <w:r w:rsidR="00772DC7" w:rsidRPr="00A07C19">
        <w:rPr>
          <w:rFonts w:cs="David" w:hint="cs"/>
          <w:sz w:val="24"/>
          <w:szCs w:val="24"/>
          <w:rtl/>
        </w:rPr>
        <w:t xml:space="preserve"> ואולם</w:t>
      </w:r>
      <w:r w:rsidR="00960589" w:rsidRPr="00A07C19">
        <w:rPr>
          <w:rFonts w:cs="David" w:hint="cs"/>
          <w:sz w:val="24"/>
          <w:szCs w:val="24"/>
          <w:rtl/>
        </w:rPr>
        <w:t>, מוצע לקב</w:t>
      </w:r>
      <w:r w:rsidR="00653E79" w:rsidRPr="00A07C19">
        <w:rPr>
          <w:rFonts w:cs="David" w:hint="cs"/>
          <w:sz w:val="24"/>
          <w:szCs w:val="24"/>
          <w:rtl/>
        </w:rPr>
        <w:t>ו</w:t>
      </w:r>
      <w:r w:rsidR="00960589" w:rsidRPr="00A07C19">
        <w:rPr>
          <w:rFonts w:cs="David" w:hint="cs"/>
          <w:sz w:val="24"/>
          <w:szCs w:val="24"/>
          <w:rtl/>
        </w:rPr>
        <w:t xml:space="preserve">ע, כי </w:t>
      </w:r>
      <w:r w:rsidR="00772DC7" w:rsidRPr="00A07C19">
        <w:rPr>
          <w:rFonts w:cs="David" w:hint="cs"/>
          <w:sz w:val="24"/>
          <w:szCs w:val="24"/>
          <w:rtl/>
        </w:rPr>
        <w:t xml:space="preserve"> הוא ירצה את עונש המאסר שנגזר עליו במעון נעול עד שימלאו לו 14. מוצע </w:t>
      </w:r>
      <w:r w:rsidR="00CF798D">
        <w:rPr>
          <w:rFonts w:cs="David" w:hint="cs"/>
          <w:sz w:val="24"/>
          <w:szCs w:val="24"/>
          <w:rtl/>
        </w:rPr>
        <w:t>להגדיר "</w:t>
      </w:r>
      <w:r w:rsidR="00772DC7" w:rsidRPr="00A07C19">
        <w:rPr>
          <w:rFonts w:cs="David" w:hint="cs"/>
          <w:sz w:val="24"/>
          <w:szCs w:val="24"/>
          <w:rtl/>
        </w:rPr>
        <w:t>מעשה טרור</w:t>
      </w:r>
      <w:r w:rsidR="00CF798D">
        <w:rPr>
          <w:rFonts w:cs="David" w:hint="cs"/>
          <w:sz w:val="24"/>
          <w:szCs w:val="24"/>
          <w:rtl/>
        </w:rPr>
        <w:t>"</w:t>
      </w:r>
      <w:r w:rsidR="00772DC7" w:rsidRPr="00A07C19">
        <w:rPr>
          <w:rFonts w:cs="David" w:hint="cs"/>
          <w:sz w:val="24"/>
          <w:szCs w:val="24"/>
          <w:rtl/>
        </w:rPr>
        <w:t xml:space="preserve"> כהגדרתו בחוק איסור מימון טרור, התשס"ה-2005</w:t>
      </w:r>
      <w:r w:rsidR="00653E79" w:rsidRPr="00A07C19">
        <w:rPr>
          <w:rFonts w:cs="David" w:hint="cs"/>
          <w:sz w:val="24"/>
          <w:szCs w:val="24"/>
          <w:rtl/>
        </w:rPr>
        <w:t xml:space="preserve">. </w:t>
      </w:r>
    </w:p>
    <w:p w:rsidR="00487FAB" w:rsidRPr="00A07C19" w:rsidRDefault="00772DC7" w:rsidP="00811333">
      <w:pPr>
        <w:spacing w:before="240" w:after="0" w:line="360" w:lineRule="auto"/>
        <w:jc w:val="both"/>
        <w:rPr>
          <w:rFonts w:cs="David"/>
          <w:sz w:val="24"/>
          <w:szCs w:val="24"/>
          <w:rtl/>
        </w:rPr>
      </w:pPr>
      <w:r w:rsidRPr="00A07C19">
        <w:rPr>
          <w:rFonts w:cs="David" w:hint="cs"/>
          <w:sz w:val="24"/>
          <w:szCs w:val="24"/>
          <w:rtl/>
        </w:rPr>
        <w:lastRenderedPageBreak/>
        <w:t xml:space="preserve">לפי דברי ההסבר להצעה, </w:t>
      </w:r>
      <w:r w:rsidR="000A2332">
        <w:rPr>
          <w:rFonts w:cs="David" w:hint="cs"/>
          <w:sz w:val="24"/>
          <w:szCs w:val="24"/>
          <w:rtl/>
        </w:rPr>
        <w:t xml:space="preserve">חומרתם של </w:t>
      </w:r>
      <w:r w:rsidR="00487FAB" w:rsidRPr="00A07C19">
        <w:rPr>
          <w:rFonts w:cs="David"/>
          <w:sz w:val="24"/>
          <w:szCs w:val="24"/>
          <w:rtl/>
        </w:rPr>
        <w:t>מעשי הטרור הגורמים לנפגעים בנפש וברכוש, והעובדה כי מעשי טרור אלה מ</w:t>
      </w:r>
      <w:r w:rsidR="000A2332">
        <w:rPr>
          <w:rFonts w:cs="David" w:hint="cs"/>
          <w:sz w:val="24"/>
          <w:szCs w:val="24"/>
          <w:rtl/>
        </w:rPr>
        <w:t xml:space="preserve">בוצעים </w:t>
      </w:r>
      <w:r w:rsidR="00487FAB" w:rsidRPr="00A07C19">
        <w:rPr>
          <w:rFonts w:cs="David"/>
          <w:sz w:val="24"/>
          <w:szCs w:val="24"/>
          <w:rtl/>
        </w:rPr>
        <w:t xml:space="preserve">גם על ידי קטינים, </w:t>
      </w:r>
      <w:r w:rsidR="00811333">
        <w:rPr>
          <w:rFonts w:cs="David" w:hint="cs"/>
          <w:sz w:val="24"/>
          <w:szCs w:val="24"/>
          <w:rtl/>
        </w:rPr>
        <w:t xml:space="preserve">מחייבות </w:t>
      </w:r>
      <w:r w:rsidR="00487FAB" w:rsidRPr="00A07C19">
        <w:rPr>
          <w:rFonts w:cs="David"/>
          <w:sz w:val="24"/>
          <w:szCs w:val="24"/>
          <w:rtl/>
        </w:rPr>
        <w:t xml:space="preserve">התייחסות מחמירה גם לקטינים שהורשעו בעבירות, קל וחומר בעבירות חמורות. זאת כדי שלא יוכלו ליהנות מזכויות הניתנות לקטין שעבר עבירה על רקע </w:t>
      </w:r>
      <w:r w:rsidR="00487FAB" w:rsidRPr="00C76BF5">
        <w:rPr>
          <w:rFonts w:cs="David"/>
          <w:sz w:val="24"/>
          <w:szCs w:val="24"/>
          <w:rtl/>
        </w:rPr>
        <w:t>פלילי.</w:t>
      </w:r>
      <w:r w:rsidR="00960589" w:rsidRPr="00C76BF5">
        <w:rPr>
          <w:rFonts w:cs="David" w:hint="cs"/>
          <w:sz w:val="24"/>
          <w:szCs w:val="24"/>
          <w:rtl/>
        </w:rPr>
        <w:t xml:space="preserve"> ב</w:t>
      </w:r>
      <w:r w:rsidR="00653E79" w:rsidRPr="00C76BF5">
        <w:rPr>
          <w:rFonts w:cs="David" w:hint="cs"/>
          <w:sz w:val="24"/>
          <w:szCs w:val="24"/>
          <w:rtl/>
        </w:rPr>
        <w:t xml:space="preserve">פנייתה של </w:t>
      </w:r>
      <w:r w:rsidR="00960589" w:rsidRPr="00C76BF5">
        <w:rPr>
          <w:rFonts w:cs="David" w:hint="cs"/>
          <w:sz w:val="24"/>
          <w:szCs w:val="24"/>
          <w:rtl/>
        </w:rPr>
        <w:t xml:space="preserve">חה"כ ברקו בנושא לשרת המשפטים הבהירה חה"כ כי ההצעה </w:t>
      </w:r>
      <w:r w:rsidR="005A572B" w:rsidRPr="00C76BF5">
        <w:rPr>
          <w:rFonts w:cs="David" w:hint="cs"/>
          <w:sz w:val="24"/>
          <w:szCs w:val="24"/>
          <w:rtl/>
        </w:rPr>
        <w:t>"</w:t>
      </w:r>
      <w:r w:rsidR="00960589" w:rsidRPr="00C76BF5">
        <w:rPr>
          <w:rFonts w:cs="David" w:hint="cs"/>
          <w:sz w:val="24"/>
          <w:szCs w:val="24"/>
          <w:rtl/>
        </w:rPr>
        <w:t xml:space="preserve">נועדה בעיקר למנוע ניצול של </w:t>
      </w:r>
      <w:r w:rsidR="005A572B" w:rsidRPr="00C76BF5">
        <w:rPr>
          <w:rFonts w:cs="David" w:hint="cs"/>
          <w:sz w:val="24"/>
          <w:szCs w:val="24"/>
          <w:rtl/>
        </w:rPr>
        <w:t xml:space="preserve">ילדים </w:t>
      </w:r>
      <w:r w:rsidR="00960589" w:rsidRPr="00C76BF5">
        <w:rPr>
          <w:rFonts w:cs="David" w:hint="cs"/>
          <w:sz w:val="24"/>
          <w:szCs w:val="24"/>
          <w:rtl/>
        </w:rPr>
        <w:t xml:space="preserve">לצרכי פיגועי טרור מתוך ההבנה </w:t>
      </w:r>
      <w:r w:rsidR="005A572B" w:rsidRPr="00C76BF5">
        <w:rPr>
          <w:rFonts w:cs="David" w:hint="cs"/>
          <w:sz w:val="24"/>
          <w:szCs w:val="24"/>
          <w:rtl/>
        </w:rPr>
        <w:t xml:space="preserve">כי </w:t>
      </w:r>
      <w:r w:rsidR="00960589" w:rsidRPr="00C76BF5">
        <w:rPr>
          <w:rFonts w:cs="David" w:hint="cs"/>
          <w:sz w:val="24"/>
          <w:szCs w:val="24"/>
          <w:rtl/>
        </w:rPr>
        <w:t>יש להם אפשרות לחמוק מעונשי מאסר</w:t>
      </w:r>
      <w:r w:rsidR="005A572B" w:rsidRPr="00C76BF5">
        <w:rPr>
          <w:rFonts w:cs="David" w:hint="cs"/>
          <w:sz w:val="24"/>
          <w:szCs w:val="24"/>
          <w:rtl/>
        </w:rPr>
        <w:t>"</w:t>
      </w:r>
      <w:r w:rsidR="00960589" w:rsidRPr="00C76BF5">
        <w:rPr>
          <w:rFonts w:cs="David" w:hint="cs"/>
          <w:sz w:val="24"/>
          <w:szCs w:val="24"/>
          <w:rtl/>
        </w:rPr>
        <w:t>.</w:t>
      </w:r>
      <w:r w:rsidR="00960589" w:rsidRPr="00A07C19">
        <w:rPr>
          <w:rFonts w:cs="David" w:hint="cs"/>
          <w:sz w:val="24"/>
          <w:szCs w:val="24"/>
          <w:rtl/>
        </w:rPr>
        <w:t xml:space="preserve"> </w:t>
      </w:r>
    </w:p>
    <w:p w:rsidR="00D71193" w:rsidRPr="00A07C19" w:rsidRDefault="00D71193" w:rsidP="00D71193">
      <w:pPr>
        <w:spacing w:before="240" w:after="0" w:line="360" w:lineRule="auto"/>
        <w:jc w:val="both"/>
        <w:rPr>
          <w:rFonts w:cs="David"/>
          <w:sz w:val="24"/>
          <w:szCs w:val="24"/>
          <w:rtl/>
        </w:rPr>
      </w:pPr>
      <w:r w:rsidRPr="00A07C19">
        <w:rPr>
          <w:rFonts w:cs="David" w:hint="cs"/>
          <w:sz w:val="24"/>
          <w:szCs w:val="24"/>
          <w:rtl/>
        </w:rPr>
        <w:t>הכוונה היא למזג את הצעת החוק הפרטית ולשלבה בהצעת החוק הממשלתית</w:t>
      </w:r>
      <w:r w:rsidR="00C204CE">
        <w:rPr>
          <w:rFonts w:cs="David" w:hint="cs"/>
          <w:sz w:val="24"/>
          <w:szCs w:val="24"/>
          <w:rtl/>
        </w:rPr>
        <w:t>, לפי הנוסח שעליו יוחלט בוועדה לגבי ההצעה הממשלתית</w:t>
      </w:r>
      <w:r w:rsidRPr="00A07C19">
        <w:rPr>
          <w:rFonts w:cs="David" w:hint="cs"/>
          <w:sz w:val="24"/>
          <w:szCs w:val="24"/>
          <w:rtl/>
        </w:rPr>
        <w:t xml:space="preserve">. </w:t>
      </w:r>
    </w:p>
    <w:p w:rsidR="00D0533A" w:rsidRPr="00A07C19" w:rsidRDefault="00D0533A" w:rsidP="00D0533A">
      <w:pPr>
        <w:spacing w:before="240" w:after="0" w:line="360" w:lineRule="auto"/>
        <w:jc w:val="both"/>
        <w:rPr>
          <w:rFonts w:cs="David"/>
          <w:b/>
          <w:bCs/>
          <w:sz w:val="24"/>
          <w:szCs w:val="24"/>
          <w:rtl/>
        </w:rPr>
      </w:pPr>
      <w:r w:rsidRPr="00A07C19">
        <w:rPr>
          <w:rFonts w:cs="David" w:hint="cs"/>
          <w:b/>
          <w:bCs/>
          <w:sz w:val="24"/>
          <w:szCs w:val="24"/>
          <w:rtl/>
        </w:rPr>
        <w:t>סוגיות לדיון</w:t>
      </w:r>
    </w:p>
    <w:p w:rsidR="001E14A0" w:rsidRPr="00A07C19" w:rsidRDefault="001E14A0" w:rsidP="00794672">
      <w:pPr>
        <w:pStyle w:val="a3"/>
        <w:numPr>
          <w:ilvl w:val="0"/>
          <w:numId w:val="3"/>
        </w:numPr>
        <w:spacing w:before="240" w:after="0" w:line="360" w:lineRule="auto"/>
        <w:jc w:val="both"/>
        <w:rPr>
          <w:rFonts w:cs="David"/>
          <w:sz w:val="24"/>
          <w:szCs w:val="24"/>
        </w:rPr>
      </w:pPr>
      <w:r w:rsidRPr="00A07C19">
        <w:rPr>
          <w:rFonts w:cs="David" w:hint="cs"/>
          <w:sz w:val="24"/>
          <w:szCs w:val="24"/>
          <w:rtl/>
        </w:rPr>
        <w:t>מוצע לקבל נתונים בדבר מספר ההרשעות של קטינים בעבירות רצח, ניסיון לרצח והריגה שנגזר דינם בטרם מלאו להם 14 שנה</w:t>
      </w:r>
      <w:r w:rsidR="00BC0840">
        <w:rPr>
          <w:rFonts w:cs="David" w:hint="cs"/>
          <w:sz w:val="24"/>
          <w:szCs w:val="24"/>
          <w:rtl/>
        </w:rPr>
        <w:t>,</w:t>
      </w:r>
      <w:r w:rsidR="00F61220" w:rsidRPr="00A07C19">
        <w:rPr>
          <w:rFonts w:cs="David" w:hint="cs"/>
          <w:sz w:val="24"/>
          <w:szCs w:val="24"/>
          <w:rtl/>
        </w:rPr>
        <w:t xml:space="preserve"> </w:t>
      </w:r>
      <w:r w:rsidR="00D71193" w:rsidRPr="00A07C19">
        <w:rPr>
          <w:rFonts w:cs="David" w:hint="cs"/>
          <w:sz w:val="24"/>
          <w:szCs w:val="24"/>
          <w:rtl/>
        </w:rPr>
        <w:t xml:space="preserve">או שנגזר דינם </w:t>
      </w:r>
      <w:r w:rsidR="00AE5F95">
        <w:rPr>
          <w:rFonts w:cs="David" w:hint="cs"/>
          <w:sz w:val="24"/>
          <w:szCs w:val="24"/>
          <w:rtl/>
        </w:rPr>
        <w:t>כשמ</w:t>
      </w:r>
      <w:r w:rsidR="002335C1">
        <w:rPr>
          <w:rFonts w:cs="David" w:hint="cs"/>
          <w:sz w:val="24"/>
          <w:szCs w:val="24"/>
          <w:rtl/>
        </w:rPr>
        <w:t>ל</w:t>
      </w:r>
      <w:r w:rsidR="00AE5F95">
        <w:rPr>
          <w:rFonts w:cs="David" w:hint="cs"/>
          <w:sz w:val="24"/>
          <w:szCs w:val="24"/>
          <w:rtl/>
        </w:rPr>
        <w:t>או להם 14 שנים אך טרם מלאו להם</w:t>
      </w:r>
      <w:r w:rsidR="00F61220" w:rsidRPr="00A07C19">
        <w:rPr>
          <w:rFonts w:cs="David" w:hint="cs"/>
          <w:sz w:val="24"/>
          <w:szCs w:val="24"/>
          <w:rtl/>
        </w:rPr>
        <w:t xml:space="preserve"> 15 </w:t>
      </w:r>
      <w:r w:rsidR="00AE5F95">
        <w:rPr>
          <w:rFonts w:cs="David" w:hint="cs"/>
          <w:sz w:val="24"/>
          <w:szCs w:val="24"/>
          <w:rtl/>
        </w:rPr>
        <w:t xml:space="preserve">שנים </w:t>
      </w:r>
      <w:r w:rsidR="00C66B5E" w:rsidRPr="00A07C19">
        <w:rPr>
          <w:rFonts w:cs="David" w:hint="cs"/>
          <w:sz w:val="24"/>
          <w:szCs w:val="24"/>
          <w:rtl/>
        </w:rPr>
        <w:t>(</w:t>
      </w:r>
      <w:r w:rsidR="00F61220" w:rsidRPr="00A07C19">
        <w:rPr>
          <w:rFonts w:cs="David" w:hint="cs"/>
          <w:sz w:val="24"/>
          <w:szCs w:val="24"/>
          <w:rtl/>
        </w:rPr>
        <w:t>יתכן שקטין ביצע את העבירה בטרם הגיע</w:t>
      </w:r>
      <w:r w:rsidR="002C6CA7" w:rsidRPr="00A07C19">
        <w:rPr>
          <w:rFonts w:cs="David" w:hint="cs"/>
          <w:sz w:val="24"/>
          <w:szCs w:val="24"/>
          <w:rtl/>
        </w:rPr>
        <w:t>ו</w:t>
      </w:r>
      <w:r w:rsidR="00F61220" w:rsidRPr="00A07C19">
        <w:rPr>
          <w:rFonts w:cs="David" w:hint="cs"/>
          <w:sz w:val="24"/>
          <w:szCs w:val="24"/>
          <w:rtl/>
        </w:rPr>
        <w:t xml:space="preserve"> לגיל 14 </w:t>
      </w:r>
      <w:r w:rsidR="00D71193" w:rsidRPr="00A07C19">
        <w:rPr>
          <w:rFonts w:cs="David" w:hint="cs"/>
          <w:sz w:val="24"/>
          <w:szCs w:val="24"/>
          <w:rtl/>
        </w:rPr>
        <w:t>אך דינו נגזר לאחר מכן</w:t>
      </w:r>
      <w:r w:rsidR="00C66B5E" w:rsidRPr="00A07C19">
        <w:rPr>
          <w:rFonts w:cs="David" w:hint="cs"/>
          <w:sz w:val="24"/>
          <w:szCs w:val="24"/>
          <w:rtl/>
        </w:rPr>
        <w:t>)</w:t>
      </w:r>
      <w:r w:rsidR="00D71193" w:rsidRPr="00A07C19">
        <w:rPr>
          <w:rFonts w:cs="David" w:hint="cs"/>
          <w:sz w:val="24"/>
          <w:szCs w:val="24"/>
          <w:rtl/>
        </w:rPr>
        <w:t xml:space="preserve">; </w:t>
      </w:r>
      <w:r w:rsidR="002C6CA7" w:rsidRPr="00A07C19">
        <w:rPr>
          <w:rFonts w:cs="David" w:hint="cs"/>
          <w:sz w:val="24"/>
          <w:szCs w:val="24"/>
          <w:rtl/>
        </w:rPr>
        <w:t xml:space="preserve">מוצע לבדוק </w:t>
      </w:r>
      <w:r w:rsidR="00F61220" w:rsidRPr="00A07C19">
        <w:rPr>
          <w:rFonts w:cs="David" w:hint="cs"/>
          <w:sz w:val="24"/>
          <w:szCs w:val="24"/>
          <w:rtl/>
        </w:rPr>
        <w:t xml:space="preserve">האם במקרים </w:t>
      </w:r>
      <w:r w:rsidR="00D71193" w:rsidRPr="00A07C19">
        <w:rPr>
          <w:rFonts w:cs="David" w:hint="cs"/>
          <w:sz w:val="24"/>
          <w:szCs w:val="24"/>
          <w:rtl/>
        </w:rPr>
        <w:t xml:space="preserve">הללו </w:t>
      </w:r>
      <w:r w:rsidR="00F61220" w:rsidRPr="00A07C19">
        <w:rPr>
          <w:rFonts w:cs="David" w:hint="cs"/>
          <w:sz w:val="24"/>
          <w:szCs w:val="24"/>
          <w:rtl/>
        </w:rPr>
        <w:t xml:space="preserve">היה צורך לדעת גורמי אכיפת החוק לשלוח </w:t>
      </w:r>
      <w:r w:rsidR="003B1EFB">
        <w:rPr>
          <w:rFonts w:cs="David" w:hint="cs"/>
          <w:sz w:val="24"/>
          <w:szCs w:val="24"/>
          <w:rtl/>
        </w:rPr>
        <w:t xml:space="preserve">את אותם קטינים </w:t>
      </w:r>
      <w:r w:rsidR="00F61220" w:rsidRPr="00A07C19">
        <w:rPr>
          <w:rFonts w:cs="David" w:hint="cs"/>
          <w:sz w:val="24"/>
          <w:szCs w:val="24"/>
          <w:rtl/>
        </w:rPr>
        <w:t>למאסר במקום למעון נעול</w:t>
      </w:r>
      <w:r w:rsidR="00794672">
        <w:rPr>
          <w:rFonts w:cs="David" w:hint="cs"/>
          <w:sz w:val="24"/>
          <w:szCs w:val="24"/>
          <w:rtl/>
        </w:rPr>
        <w:t xml:space="preserve"> - </w:t>
      </w:r>
      <w:r w:rsidR="00E1545D">
        <w:rPr>
          <w:rFonts w:cs="David" w:hint="cs"/>
          <w:sz w:val="24"/>
          <w:szCs w:val="24"/>
          <w:rtl/>
        </w:rPr>
        <w:t>מה מידת האחריות שניתן לייחס לילדים מתחת לגיל 14, מה השפעת המאסר על ילדים בגיל כזה?</w:t>
      </w:r>
    </w:p>
    <w:p w:rsidR="001D647D" w:rsidRPr="004C7647" w:rsidRDefault="00D0533A" w:rsidP="00794672">
      <w:pPr>
        <w:pStyle w:val="a3"/>
        <w:numPr>
          <w:ilvl w:val="0"/>
          <w:numId w:val="3"/>
        </w:numPr>
        <w:spacing w:before="240" w:after="0" w:line="360" w:lineRule="auto"/>
        <w:jc w:val="both"/>
        <w:rPr>
          <w:rFonts w:cs="David"/>
          <w:sz w:val="24"/>
          <w:szCs w:val="24"/>
        </w:rPr>
      </w:pPr>
      <w:r w:rsidRPr="004C7647">
        <w:rPr>
          <w:rFonts w:cs="David" w:hint="cs"/>
          <w:sz w:val="24"/>
          <w:szCs w:val="24"/>
          <w:rtl/>
        </w:rPr>
        <w:t xml:space="preserve">מוצע לדון </w:t>
      </w:r>
      <w:r w:rsidRPr="00794672">
        <w:rPr>
          <w:rFonts w:cs="David" w:hint="cs"/>
          <w:sz w:val="24"/>
          <w:szCs w:val="24"/>
          <w:rtl/>
        </w:rPr>
        <w:t>בשאלת ההצדקה לסטות</w:t>
      </w:r>
      <w:r w:rsidRPr="004C7647">
        <w:rPr>
          <w:rFonts w:cs="David" w:hint="cs"/>
          <w:sz w:val="24"/>
          <w:szCs w:val="24"/>
          <w:rtl/>
        </w:rPr>
        <w:t xml:space="preserve"> מ</w:t>
      </w:r>
      <w:r w:rsidR="00121C4D" w:rsidRPr="004C7647">
        <w:rPr>
          <w:rFonts w:cs="David" w:hint="cs"/>
          <w:sz w:val="24"/>
          <w:szCs w:val="24"/>
          <w:rtl/>
        </w:rPr>
        <w:t>עקרונות חוק הנוער</w:t>
      </w:r>
      <w:r w:rsidR="00AE5F95" w:rsidRPr="004C7647">
        <w:rPr>
          <w:rFonts w:cs="David" w:hint="cs"/>
          <w:sz w:val="24"/>
          <w:szCs w:val="24"/>
          <w:rtl/>
        </w:rPr>
        <w:t>,</w:t>
      </w:r>
      <w:r w:rsidR="00121C4D" w:rsidRPr="004C7647">
        <w:rPr>
          <w:rFonts w:cs="David" w:hint="cs"/>
          <w:sz w:val="24"/>
          <w:szCs w:val="24"/>
          <w:rtl/>
        </w:rPr>
        <w:t xml:space="preserve"> </w:t>
      </w:r>
      <w:r w:rsidR="00D71193" w:rsidRPr="004C7647">
        <w:rPr>
          <w:rFonts w:cs="David" w:hint="cs"/>
          <w:sz w:val="24"/>
          <w:szCs w:val="24"/>
          <w:rtl/>
        </w:rPr>
        <w:t>שבמרכזם עומד השיקום ומ</w:t>
      </w:r>
      <w:r w:rsidR="00013EEB" w:rsidRPr="004C7647">
        <w:rPr>
          <w:rFonts w:cs="David" w:hint="cs"/>
          <w:sz w:val="24"/>
          <w:szCs w:val="24"/>
          <w:rtl/>
        </w:rPr>
        <w:t>התיקונים שנערכו בו בשנים האחרות</w:t>
      </w:r>
      <w:r w:rsidR="000961B7">
        <w:rPr>
          <w:rFonts w:cs="David" w:hint="cs"/>
          <w:sz w:val="24"/>
          <w:szCs w:val="24"/>
          <w:rtl/>
        </w:rPr>
        <w:t>.</w:t>
      </w:r>
      <w:r w:rsidR="004C7647" w:rsidRPr="004C7647">
        <w:rPr>
          <w:rFonts w:cs="David" w:hint="cs"/>
          <w:sz w:val="24"/>
          <w:szCs w:val="24"/>
          <w:rtl/>
        </w:rPr>
        <w:t xml:space="preserve"> </w:t>
      </w:r>
      <w:r w:rsidR="004B2816" w:rsidRPr="004C7647">
        <w:rPr>
          <w:rFonts w:cs="David" w:hint="cs"/>
          <w:sz w:val="24"/>
          <w:szCs w:val="24"/>
          <w:rtl/>
        </w:rPr>
        <w:t xml:space="preserve">האם יש שיקולים מקצועיים שמצביעים על צורך לסטות </w:t>
      </w:r>
      <w:r w:rsidR="00D13987" w:rsidRPr="004C7647">
        <w:rPr>
          <w:rFonts w:cs="David" w:hint="cs"/>
          <w:sz w:val="24"/>
          <w:szCs w:val="24"/>
          <w:rtl/>
        </w:rPr>
        <w:t xml:space="preserve">בעבירות המוצעות מהשיקול המרכזי </w:t>
      </w:r>
      <w:r w:rsidR="00F61220" w:rsidRPr="004C7647">
        <w:rPr>
          <w:rFonts w:cs="David" w:hint="cs"/>
          <w:sz w:val="24"/>
          <w:szCs w:val="24"/>
          <w:rtl/>
        </w:rPr>
        <w:t xml:space="preserve">של שיקום </w:t>
      </w:r>
      <w:r w:rsidR="004B2816" w:rsidRPr="004C7647">
        <w:rPr>
          <w:rFonts w:cs="David" w:hint="cs"/>
          <w:sz w:val="24"/>
          <w:szCs w:val="24"/>
          <w:rtl/>
        </w:rPr>
        <w:t>ולאפשר מאסר</w:t>
      </w:r>
      <w:r w:rsidR="00D13987" w:rsidRPr="004C7647">
        <w:rPr>
          <w:rFonts w:cs="David" w:hint="cs"/>
          <w:sz w:val="24"/>
          <w:szCs w:val="24"/>
          <w:rtl/>
        </w:rPr>
        <w:t xml:space="preserve"> גם בגיל כה צעיר</w:t>
      </w:r>
      <w:r w:rsidR="004B2816" w:rsidRPr="004C7647">
        <w:rPr>
          <w:rFonts w:cs="David" w:hint="cs"/>
          <w:sz w:val="24"/>
          <w:szCs w:val="24"/>
          <w:rtl/>
        </w:rPr>
        <w:t>?</w:t>
      </w:r>
      <w:r w:rsidR="00F61220" w:rsidRPr="004C7647">
        <w:rPr>
          <w:rFonts w:cs="David" w:hint="cs"/>
          <w:sz w:val="24"/>
          <w:szCs w:val="24"/>
          <w:rtl/>
        </w:rPr>
        <w:t xml:space="preserve"> </w:t>
      </w:r>
      <w:r w:rsidR="004C7647" w:rsidRPr="004C7647">
        <w:rPr>
          <w:rFonts w:cs="David" w:hint="cs"/>
          <w:sz w:val="24"/>
          <w:szCs w:val="24"/>
          <w:rtl/>
        </w:rPr>
        <w:t xml:space="preserve">נוכח </w:t>
      </w:r>
      <w:r w:rsidR="00D13987" w:rsidRPr="004C7647">
        <w:rPr>
          <w:rFonts w:cs="David" w:hint="cs"/>
          <w:sz w:val="24"/>
          <w:szCs w:val="24"/>
          <w:rtl/>
        </w:rPr>
        <w:t xml:space="preserve">דברי ההסבר, </w:t>
      </w:r>
      <w:r w:rsidR="004C7647">
        <w:rPr>
          <w:rFonts w:cs="David" w:hint="cs"/>
          <w:sz w:val="24"/>
          <w:szCs w:val="24"/>
          <w:rtl/>
        </w:rPr>
        <w:t xml:space="preserve">שלפיהם </w:t>
      </w:r>
      <w:r w:rsidR="00D13987" w:rsidRPr="004C7647">
        <w:rPr>
          <w:rFonts w:cs="David" w:hint="cs"/>
          <w:sz w:val="24"/>
          <w:szCs w:val="24"/>
          <w:rtl/>
        </w:rPr>
        <w:t xml:space="preserve">המטרה היא לתת ביטוי גם לשיקולי גמול והרתעה, מוצע לבדוק </w:t>
      </w:r>
      <w:r w:rsidR="00B67700" w:rsidRPr="004C7647">
        <w:rPr>
          <w:rFonts w:cs="David" w:hint="cs"/>
          <w:sz w:val="24"/>
          <w:szCs w:val="24"/>
          <w:rtl/>
        </w:rPr>
        <w:t>האם</w:t>
      </w:r>
      <w:r w:rsidR="004C7647" w:rsidRPr="004C7647">
        <w:rPr>
          <w:rFonts w:cs="David" w:hint="cs"/>
          <w:sz w:val="24"/>
          <w:szCs w:val="24"/>
          <w:rtl/>
        </w:rPr>
        <w:t xml:space="preserve"> לא ניתן להסתפק ב</w:t>
      </w:r>
      <w:r w:rsidR="00B67700" w:rsidRPr="004C7647">
        <w:rPr>
          <w:rFonts w:cs="David" w:hint="cs"/>
          <w:sz w:val="24"/>
          <w:szCs w:val="24"/>
          <w:rtl/>
        </w:rPr>
        <w:t>מעון נעול לתקופה ממ</w:t>
      </w:r>
      <w:r w:rsidR="0003295F" w:rsidRPr="004C7647">
        <w:rPr>
          <w:rFonts w:cs="David" w:hint="cs"/>
          <w:sz w:val="24"/>
          <w:szCs w:val="24"/>
          <w:rtl/>
        </w:rPr>
        <w:t>ו</w:t>
      </w:r>
      <w:r w:rsidR="00B67700" w:rsidRPr="004C7647">
        <w:rPr>
          <w:rFonts w:cs="David" w:hint="cs"/>
          <w:sz w:val="24"/>
          <w:szCs w:val="24"/>
          <w:rtl/>
        </w:rPr>
        <w:t xml:space="preserve">שכת </w:t>
      </w:r>
      <w:r w:rsidR="004C7647" w:rsidRPr="004C7647">
        <w:rPr>
          <w:rFonts w:cs="David" w:hint="cs"/>
          <w:sz w:val="24"/>
          <w:szCs w:val="24"/>
          <w:rtl/>
        </w:rPr>
        <w:t xml:space="preserve">כדי לענות </w:t>
      </w:r>
      <w:r w:rsidR="00B67700" w:rsidRPr="004C7647">
        <w:rPr>
          <w:rFonts w:cs="David" w:hint="cs"/>
          <w:sz w:val="24"/>
          <w:szCs w:val="24"/>
          <w:rtl/>
        </w:rPr>
        <w:t>על שיקולי הרתעה והרחקה מהחברה</w:t>
      </w:r>
      <w:r w:rsidR="0003295F" w:rsidRPr="004C7647">
        <w:rPr>
          <w:rFonts w:cs="David" w:hint="cs"/>
          <w:sz w:val="24"/>
          <w:szCs w:val="24"/>
          <w:rtl/>
        </w:rPr>
        <w:t>?</w:t>
      </w:r>
      <w:r w:rsidR="00B67700" w:rsidRPr="004C7647">
        <w:rPr>
          <w:rFonts w:cs="David" w:hint="cs"/>
          <w:sz w:val="24"/>
          <w:szCs w:val="24"/>
          <w:rtl/>
        </w:rPr>
        <w:t xml:space="preserve"> </w:t>
      </w:r>
      <w:r w:rsidR="000961B7">
        <w:rPr>
          <w:rFonts w:cs="David" w:hint="cs"/>
          <w:sz w:val="24"/>
          <w:szCs w:val="24"/>
          <w:rtl/>
        </w:rPr>
        <w:t xml:space="preserve">כמו כן, </w:t>
      </w:r>
      <w:r w:rsidR="00D13987" w:rsidRPr="004C7647">
        <w:rPr>
          <w:rFonts w:cs="David" w:hint="cs"/>
          <w:sz w:val="24"/>
          <w:szCs w:val="24"/>
          <w:rtl/>
        </w:rPr>
        <w:t xml:space="preserve">נוכח </w:t>
      </w:r>
      <w:r w:rsidR="00013EEB" w:rsidRPr="004C7647">
        <w:rPr>
          <w:rFonts w:cs="David" w:hint="cs"/>
          <w:sz w:val="24"/>
          <w:szCs w:val="24"/>
          <w:rtl/>
        </w:rPr>
        <w:t>ה</w:t>
      </w:r>
      <w:r w:rsidR="00D13987" w:rsidRPr="004C7647">
        <w:rPr>
          <w:rFonts w:cs="David" w:hint="cs"/>
          <w:sz w:val="24"/>
          <w:szCs w:val="24"/>
          <w:rtl/>
        </w:rPr>
        <w:t>מחקרים שנעשו בארה"ב ובקנדה</w:t>
      </w:r>
      <w:r w:rsidR="000961B7">
        <w:rPr>
          <w:rFonts w:cs="David" w:hint="cs"/>
          <w:sz w:val="24"/>
          <w:szCs w:val="24"/>
          <w:rtl/>
        </w:rPr>
        <w:t>,</w:t>
      </w:r>
      <w:r w:rsidR="00D13987" w:rsidRPr="004C7647">
        <w:rPr>
          <w:rFonts w:cs="David" w:hint="cs"/>
          <w:sz w:val="24"/>
          <w:szCs w:val="24"/>
          <w:rtl/>
        </w:rPr>
        <w:t xml:space="preserve"> </w:t>
      </w:r>
      <w:r w:rsidR="00013EEB" w:rsidRPr="004C7647">
        <w:rPr>
          <w:rFonts w:cs="David" w:hint="cs"/>
          <w:sz w:val="24"/>
          <w:szCs w:val="24"/>
          <w:rtl/>
        </w:rPr>
        <w:t>ש</w:t>
      </w:r>
      <w:r w:rsidR="00D13987" w:rsidRPr="004C7647">
        <w:rPr>
          <w:rFonts w:cs="David" w:hint="cs"/>
          <w:sz w:val="24"/>
          <w:szCs w:val="24"/>
          <w:rtl/>
        </w:rPr>
        <w:t>הצביעו על כך שתוכניות שיק</w:t>
      </w:r>
      <w:r w:rsidR="00794672">
        <w:rPr>
          <w:rFonts w:cs="David" w:hint="cs"/>
          <w:sz w:val="24"/>
          <w:szCs w:val="24"/>
          <w:rtl/>
        </w:rPr>
        <w:t xml:space="preserve">ום יעילות יותר במניעת </w:t>
      </w:r>
      <w:proofErr w:type="spellStart"/>
      <w:r w:rsidR="00794672">
        <w:rPr>
          <w:rFonts w:cs="David" w:hint="cs"/>
          <w:sz w:val="24"/>
          <w:szCs w:val="24"/>
          <w:rtl/>
        </w:rPr>
        <w:t>רצדיביזם</w:t>
      </w:r>
      <w:proofErr w:type="spellEnd"/>
      <w:r w:rsidR="00794672">
        <w:rPr>
          <w:rFonts w:cs="David" w:hint="cs"/>
          <w:sz w:val="24"/>
          <w:szCs w:val="24"/>
          <w:rtl/>
        </w:rPr>
        <w:t xml:space="preserve"> לעומת</w:t>
      </w:r>
      <w:r w:rsidR="00D13987" w:rsidRPr="004C7647">
        <w:rPr>
          <w:rFonts w:cs="David" w:hint="cs"/>
          <w:sz w:val="24"/>
          <w:szCs w:val="24"/>
          <w:rtl/>
        </w:rPr>
        <w:t xml:space="preserve"> ענישה חמורה</w:t>
      </w:r>
      <w:r w:rsidR="00D13987">
        <w:rPr>
          <w:rStyle w:val="af"/>
          <w:rFonts w:cs="David"/>
          <w:sz w:val="24"/>
          <w:szCs w:val="24"/>
          <w:rtl/>
        </w:rPr>
        <w:footnoteReference w:id="8"/>
      </w:r>
      <w:r w:rsidR="00D13987" w:rsidRPr="004C7647">
        <w:rPr>
          <w:rFonts w:cs="David" w:hint="cs"/>
          <w:sz w:val="24"/>
          <w:szCs w:val="24"/>
          <w:rtl/>
        </w:rPr>
        <w:t xml:space="preserve">, </w:t>
      </w:r>
      <w:r w:rsidR="004C7647" w:rsidRPr="004C7647">
        <w:rPr>
          <w:rFonts w:cs="David" w:hint="cs"/>
          <w:sz w:val="24"/>
          <w:szCs w:val="24"/>
          <w:rtl/>
        </w:rPr>
        <w:t xml:space="preserve">מוצע לבדוק, </w:t>
      </w:r>
      <w:r w:rsidR="00121C4D" w:rsidRPr="004C7647">
        <w:rPr>
          <w:rFonts w:cs="David" w:hint="cs"/>
          <w:sz w:val="24"/>
          <w:szCs w:val="24"/>
          <w:rtl/>
        </w:rPr>
        <w:t>האם לדעת גורמי אכיפת החוק</w:t>
      </w:r>
      <w:r w:rsidR="00013EEB" w:rsidRPr="004C7647">
        <w:rPr>
          <w:rFonts w:cs="David" w:hint="cs"/>
          <w:sz w:val="24"/>
          <w:szCs w:val="24"/>
          <w:rtl/>
        </w:rPr>
        <w:t xml:space="preserve"> והגורמים המקצועיים</w:t>
      </w:r>
      <w:r w:rsidR="00121C4D" w:rsidRPr="004C7647">
        <w:rPr>
          <w:rFonts w:cs="David" w:hint="cs"/>
          <w:sz w:val="24"/>
          <w:szCs w:val="24"/>
          <w:rtl/>
        </w:rPr>
        <w:t xml:space="preserve">, בראייה ארוכת טווח, מאסר לקטין צעיר עשוי להגן על החברה </w:t>
      </w:r>
      <w:r w:rsidR="00794672">
        <w:rPr>
          <w:rFonts w:cs="David" w:hint="cs"/>
          <w:sz w:val="24"/>
          <w:szCs w:val="24"/>
          <w:rtl/>
        </w:rPr>
        <w:t xml:space="preserve">יותר </w:t>
      </w:r>
      <w:r w:rsidR="00121C4D" w:rsidRPr="004C7647">
        <w:rPr>
          <w:rFonts w:cs="David" w:hint="cs"/>
          <w:sz w:val="24"/>
          <w:szCs w:val="24"/>
          <w:rtl/>
        </w:rPr>
        <w:t>מאשר טיפול ו</w:t>
      </w:r>
      <w:r w:rsidR="001D647D" w:rsidRPr="004C7647">
        <w:rPr>
          <w:rFonts w:cs="David" w:hint="cs"/>
          <w:sz w:val="24"/>
          <w:szCs w:val="24"/>
          <w:rtl/>
        </w:rPr>
        <w:t xml:space="preserve">שיקום של </w:t>
      </w:r>
      <w:r w:rsidR="00794672">
        <w:rPr>
          <w:rFonts w:cs="David" w:hint="cs"/>
          <w:sz w:val="24"/>
          <w:szCs w:val="24"/>
          <w:rtl/>
        </w:rPr>
        <w:t xml:space="preserve">הקטין שעבר על </w:t>
      </w:r>
      <w:r w:rsidR="001D647D" w:rsidRPr="004C7647">
        <w:rPr>
          <w:rFonts w:cs="David" w:hint="cs"/>
          <w:sz w:val="24"/>
          <w:szCs w:val="24"/>
          <w:rtl/>
        </w:rPr>
        <w:t>החוק</w:t>
      </w:r>
      <w:r w:rsidR="00121C4D" w:rsidRPr="004C7647">
        <w:rPr>
          <w:rFonts w:cs="David" w:hint="cs"/>
          <w:sz w:val="24"/>
          <w:szCs w:val="24"/>
          <w:rtl/>
        </w:rPr>
        <w:t>?</w:t>
      </w:r>
      <w:r w:rsidR="001A1131" w:rsidRPr="004C7647">
        <w:rPr>
          <w:rFonts w:cs="David" w:hint="cs"/>
          <w:sz w:val="24"/>
          <w:szCs w:val="24"/>
          <w:rtl/>
        </w:rPr>
        <w:t xml:space="preserve"> </w:t>
      </w:r>
    </w:p>
    <w:p w:rsidR="00C33009" w:rsidRPr="0017623B" w:rsidRDefault="00FF4795" w:rsidP="004E1196">
      <w:pPr>
        <w:pStyle w:val="a3"/>
        <w:numPr>
          <w:ilvl w:val="0"/>
          <w:numId w:val="3"/>
        </w:numPr>
        <w:spacing w:before="240" w:after="0" w:line="360" w:lineRule="auto"/>
        <w:jc w:val="both"/>
        <w:rPr>
          <w:rFonts w:cs="David"/>
          <w:sz w:val="24"/>
          <w:szCs w:val="24"/>
        </w:rPr>
      </w:pPr>
      <w:r w:rsidRPr="0017623B">
        <w:rPr>
          <w:rFonts w:cs="David" w:hint="cs"/>
          <w:sz w:val="24"/>
          <w:szCs w:val="24"/>
          <w:rtl/>
        </w:rPr>
        <w:t>מוצע לדון ברשימת העבירות אליהן מתייחס התיקון המוצע</w:t>
      </w:r>
      <w:r w:rsidR="004C7647" w:rsidRPr="0017623B">
        <w:rPr>
          <w:rFonts w:cs="David" w:hint="cs"/>
          <w:sz w:val="24"/>
          <w:szCs w:val="24"/>
          <w:rtl/>
        </w:rPr>
        <w:t>.</w:t>
      </w:r>
      <w:r w:rsidRPr="0017623B">
        <w:rPr>
          <w:rFonts w:cs="David" w:hint="cs"/>
          <w:sz w:val="24"/>
          <w:szCs w:val="24"/>
          <w:rtl/>
        </w:rPr>
        <w:t xml:space="preserve"> </w:t>
      </w:r>
      <w:r w:rsidR="00013EEB" w:rsidRPr="0017623B">
        <w:rPr>
          <w:rFonts w:cs="David" w:hint="cs"/>
          <w:sz w:val="24"/>
          <w:szCs w:val="24"/>
          <w:rtl/>
        </w:rPr>
        <w:t>ב</w:t>
      </w:r>
      <w:r w:rsidRPr="0017623B">
        <w:rPr>
          <w:rFonts w:cs="David" w:hint="cs"/>
          <w:sz w:val="24"/>
          <w:szCs w:val="24"/>
          <w:rtl/>
        </w:rPr>
        <w:t>עבירת הרצח והניסיון לרצח, נדרש יסוד נפשי מיוחד</w:t>
      </w:r>
      <w:r w:rsidR="00794672">
        <w:rPr>
          <w:rFonts w:cs="David" w:hint="cs"/>
          <w:sz w:val="24"/>
          <w:szCs w:val="24"/>
          <w:rtl/>
        </w:rPr>
        <w:t xml:space="preserve"> של כוונה להמית</w:t>
      </w:r>
      <w:r w:rsidRPr="0017623B">
        <w:rPr>
          <w:rFonts w:cs="David" w:hint="cs"/>
          <w:sz w:val="24"/>
          <w:szCs w:val="24"/>
          <w:rtl/>
        </w:rPr>
        <w:t xml:space="preserve">, מדוע מבקשים לכלול </w:t>
      </w:r>
      <w:r w:rsidR="009A3098" w:rsidRPr="0017623B">
        <w:rPr>
          <w:rFonts w:cs="David" w:hint="cs"/>
          <w:sz w:val="24"/>
          <w:szCs w:val="24"/>
          <w:rtl/>
        </w:rPr>
        <w:t xml:space="preserve">גם </w:t>
      </w:r>
      <w:r w:rsidRPr="0017623B">
        <w:rPr>
          <w:rFonts w:cs="David" w:hint="cs"/>
          <w:sz w:val="24"/>
          <w:szCs w:val="24"/>
          <w:rtl/>
        </w:rPr>
        <w:t>את עבירת ההריגה</w:t>
      </w:r>
      <w:r w:rsidR="00013EEB" w:rsidRPr="0017623B">
        <w:rPr>
          <w:rFonts w:cs="David" w:hint="cs"/>
          <w:sz w:val="24"/>
          <w:szCs w:val="24"/>
          <w:rtl/>
        </w:rPr>
        <w:t>?</w:t>
      </w:r>
      <w:r w:rsidRPr="0017623B">
        <w:rPr>
          <w:rFonts w:cs="David" w:hint="cs"/>
          <w:sz w:val="24"/>
          <w:szCs w:val="24"/>
          <w:rtl/>
        </w:rPr>
        <w:t xml:space="preserve"> </w:t>
      </w:r>
      <w:r w:rsidR="00794672">
        <w:rPr>
          <w:rFonts w:cs="David" w:hint="cs"/>
          <w:sz w:val="24"/>
          <w:szCs w:val="24"/>
          <w:rtl/>
        </w:rPr>
        <w:t>האם לא קיים חשש שבעתיד תורחב רשימת העבירות שבגי</w:t>
      </w:r>
      <w:r w:rsidR="004E1196">
        <w:rPr>
          <w:rFonts w:cs="David" w:hint="cs"/>
          <w:sz w:val="24"/>
          <w:szCs w:val="24"/>
          <w:rtl/>
        </w:rPr>
        <w:t xml:space="preserve">ן ביצוען </w:t>
      </w:r>
      <w:r w:rsidR="00C33009" w:rsidRPr="0017623B">
        <w:rPr>
          <w:rFonts w:cs="David" w:hint="cs"/>
          <w:sz w:val="24"/>
          <w:szCs w:val="24"/>
          <w:rtl/>
        </w:rPr>
        <w:t xml:space="preserve">ניתן יהיה לשלוח ילדים למאסר </w:t>
      </w:r>
      <w:r w:rsidR="004C7647" w:rsidRPr="0017623B">
        <w:rPr>
          <w:rFonts w:cs="David" w:hint="cs"/>
          <w:sz w:val="24"/>
          <w:szCs w:val="24"/>
          <w:rtl/>
        </w:rPr>
        <w:t>בגיל כה צעיר</w:t>
      </w:r>
      <w:r w:rsidR="004E1196">
        <w:rPr>
          <w:rFonts w:cs="David" w:hint="cs"/>
          <w:sz w:val="24"/>
          <w:szCs w:val="24"/>
          <w:rtl/>
        </w:rPr>
        <w:t>?</w:t>
      </w:r>
      <w:r w:rsidR="003F66E6" w:rsidRPr="0017623B">
        <w:rPr>
          <w:rFonts w:cs="David" w:hint="cs"/>
          <w:sz w:val="24"/>
          <w:szCs w:val="24"/>
          <w:rtl/>
        </w:rPr>
        <w:t xml:space="preserve"> </w:t>
      </w:r>
    </w:p>
    <w:p w:rsidR="000C44D2" w:rsidRDefault="000C44D2" w:rsidP="004E1196">
      <w:pPr>
        <w:pStyle w:val="a3"/>
        <w:numPr>
          <w:ilvl w:val="0"/>
          <w:numId w:val="3"/>
        </w:numPr>
        <w:spacing w:before="240" w:after="0" w:line="360" w:lineRule="auto"/>
        <w:jc w:val="both"/>
        <w:rPr>
          <w:rFonts w:cs="David"/>
          <w:sz w:val="24"/>
          <w:szCs w:val="24"/>
        </w:rPr>
      </w:pPr>
      <w:r w:rsidRPr="00A07C19">
        <w:rPr>
          <w:rFonts w:cs="David" w:hint="cs"/>
          <w:sz w:val="24"/>
          <w:szCs w:val="24"/>
          <w:rtl/>
        </w:rPr>
        <w:t>מוצע לדון ב</w:t>
      </w:r>
      <w:r w:rsidR="009D7EAC">
        <w:rPr>
          <w:rFonts w:cs="David" w:hint="cs"/>
          <w:sz w:val="24"/>
          <w:szCs w:val="24"/>
          <w:rtl/>
        </w:rPr>
        <w:t xml:space="preserve">תקופת תוקפה של </w:t>
      </w:r>
      <w:r w:rsidR="00F1445E">
        <w:rPr>
          <w:rFonts w:cs="David" w:hint="cs"/>
          <w:sz w:val="24"/>
          <w:szCs w:val="24"/>
          <w:rtl/>
        </w:rPr>
        <w:t>ה</w:t>
      </w:r>
      <w:r w:rsidRPr="00A07C19">
        <w:rPr>
          <w:rFonts w:cs="David" w:hint="cs"/>
          <w:sz w:val="24"/>
          <w:szCs w:val="24"/>
          <w:rtl/>
        </w:rPr>
        <w:t>וראת השעה</w:t>
      </w:r>
      <w:r w:rsidR="00C33009">
        <w:rPr>
          <w:rFonts w:cs="David" w:hint="cs"/>
          <w:sz w:val="24"/>
          <w:szCs w:val="24"/>
          <w:rtl/>
        </w:rPr>
        <w:t>,</w:t>
      </w:r>
      <w:r w:rsidR="00167762" w:rsidRPr="00A07C19">
        <w:rPr>
          <w:rFonts w:cs="David" w:hint="cs"/>
          <w:sz w:val="24"/>
          <w:szCs w:val="24"/>
          <w:rtl/>
        </w:rPr>
        <w:t xml:space="preserve"> האם נדרש פרק זמן של שלוש שנים כדי לבחון את </w:t>
      </w:r>
      <w:r w:rsidR="009D7EAC">
        <w:rPr>
          <w:rFonts w:cs="David" w:hint="cs"/>
          <w:sz w:val="24"/>
          <w:szCs w:val="24"/>
          <w:rtl/>
        </w:rPr>
        <w:t>הצורך בה</w:t>
      </w:r>
      <w:r w:rsidR="004E1196">
        <w:rPr>
          <w:rFonts w:cs="David" w:hint="cs"/>
          <w:sz w:val="24"/>
          <w:szCs w:val="24"/>
          <w:rtl/>
        </w:rPr>
        <w:t>?</w:t>
      </w:r>
    </w:p>
    <w:sectPr w:rsidR="000C44D2" w:rsidSect="007620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6E4C" w:rsidRDefault="00C56E4C" w:rsidP="00913D81">
      <w:pPr>
        <w:spacing w:after="0" w:line="240" w:lineRule="auto"/>
      </w:pPr>
      <w:r>
        <w:separator/>
      </w:r>
    </w:p>
  </w:endnote>
  <w:endnote w:type="continuationSeparator" w:id="0">
    <w:p w:rsidR="00C56E4C" w:rsidRDefault="00C56E4C" w:rsidP="00913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Arial TUR">
    <w:altName w:val="Arial"/>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6E4C" w:rsidRDefault="00C56E4C" w:rsidP="00913D81">
      <w:pPr>
        <w:spacing w:after="0" w:line="240" w:lineRule="auto"/>
      </w:pPr>
      <w:r>
        <w:separator/>
      </w:r>
    </w:p>
  </w:footnote>
  <w:footnote w:type="continuationSeparator" w:id="0">
    <w:p w:rsidR="00C56E4C" w:rsidRDefault="00C56E4C" w:rsidP="00913D81">
      <w:pPr>
        <w:spacing w:after="0" w:line="240" w:lineRule="auto"/>
      </w:pPr>
      <w:r>
        <w:continuationSeparator/>
      </w:r>
    </w:p>
  </w:footnote>
  <w:footnote w:id="1">
    <w:p w:rsidR="00CD5468" w:rsidRDefault="00CD5468" w:rsidP="00CD5468">
      <w:pPr>
        <w:pStyle w:val="ad"/>
        <w:rPr>
          <w:rtl/>
        </w:rPr>
      </w:pPr>
      <w:r>
        <w:rPr>
          <w:rStyle w:val="af"/>
        </w:rPr>
        <w:footnoteRef/>
      </w:r>
      <w:r>
        <w:rPr>
          <w:rtl/>
        </w:rPr>
        <w:t xml:space="preserve"> </w:t>
      </w:r>
      <w:r>
        <w:rPr>
          <w:rFonts w:hint="cs"/>
          <w:rtl/>
        </w:rPr>
        <w:t xml:space="preserve">ע"פ 10715/05 </w:t>
      </w:r>
      <w:r w:rsidRPr="00A07C19">
        <w:rPr>
          <w:rFonts w:hint="cs"/>
          <w:b/>
          <w:bCs/>
          <w:rtl/>
        </w:rPr>
        <w:t>פלוני נגד מדינת ישראל</w:t>
      </w:r>
      <w:r>
        <w:rPr>
          <w:rFonts w:hint="cs"/>
          <w:rtl/>
        </w:rPr>
        <w:t xml:space="preserve"> (פורסם ביום 4.9.07).</w:t>
      </w:r>
    </w:p>
  </w:footnote>
  <w:footnote w:id="2">
    <w:p w:rsidR="00CD5468" w:rsidRDefault="00CD5468" w:rsidP="00CD5468">
      <w:pPr>
        <w:pStyle w:val="ad"/>
        <w:rPr>
          <w:rtl/>
        </w:rPr>
      </w:pPr>
      <w:r>
        <w:rPr>
          <w:rStyle w:val="af"/>
        </w:rPr>
        <w:footnoteRef/>
      </w:r>
      <w:r w:rsidRPr="00CD5468">
        <w:rPr>
          <w:rFonts w:cs="Arial" w:hint="cs"/>
          <w:rtl/>
        </w:rPr>
        <w:t>ע</w:t>
      </w:r>
      <w:r w:rsidRPr="00CD5468">
        <w:rPr>
          <w:rFonts w:cs="Arial"/>
          <w:rtl/>
        </w:rPr>
        <w:t>"</w:t>
      </w:r>
      <w:r w:rsidRPr="00CD5468">
        <w:rPr>
          <w:rFonts w:cs="Arial" w:hint="cs"/>
          <w:rtl/>
        </w:rPr>
        <w:t>פ</w:t>
      </w:r>
      <w:r w:rsidRPr="00CD5468">
        <w:rPr>
          <w:rFonts w:cs="Arial"/>
          <w:rtl/>
        </w:rPr>
        <w:t xml:space="preserve"> 7113/08 </w:t>
      </w:r>
      <w:r w:rsidRPr="00CD5468">
        <w:rPr>
          <w:rFonts w:cs="Arial" w:hint="cs"/>
          <w:b/>
          <w:bCs/>
          <w:rtl/>
        </w:rPr>
        <w:t>פלוני</w:t>
      </w:r>
      <w:r w:rsidRPr="00CD5468">
        <w:rPr>
          <w:rFonts w:cs="Arial"/>
          <w:b/>
          <w:bCs/>
          <w:rtl/>
        </w:rPr>
        <w:t xml:space="preserve"> </w:t>
      </w:r>
      <w:r w:rsidRPr="00CD5468">
        <w:rPr>
          <w:rFonts w:cs="Arial" w:hint="cs"/>
          <w:b/>
          <w:bCs/>
          <w:rtl/>
        </w:rPr>
        <w:t>נגד</w:t>
      </w:r>
      <w:r w:rsidRPr="00CD5468">
        <w:rPr>
          <w:rFonts w:cs="Arial"/>
          <w:b/>
          <w:bCs/>
          <w:rtl/>
        </w:rPr>
        <w:t xml:space="preserve"> </w:t>
      </w:r>
      <w:r w:rsidRPr="00CD5468">
        <w:rPr>
          <w:rFonts w:cs="Arial" w:hint="cs"/>
          <w:b/>
          <w:bCs/>
          <w:rtl/>
        </w:rPr>
        <w:t>מדינת</w:t>
      </w:r>
      <w:r w:rsidRPr="00CD5468">
        <w:rPr>
          <w:rFonts w:cs="Arial"/>
          <w:b/>
          <w:bCs/>
          <w:rtl/>
        </w:rPr>
        <w:t xml:space="preserve"> </w:t>
      </w:r>
      <w:r w:rsidRPr="00CD5468">
        <w:rPr>
          <w:rFonts w:cs="Arial" w:hint="cs"/>
          <w:b/>
          <w:bCs/>
          <w:rtl/>
        </w:rPr>
        <w:t>ישראל</w:t>
      </w:r>
      <w:r w:rsidRPr="00CD5468">
        <w:rPr>
          <w:rFonts w:cs="Arial"/>
          <w:rtl/>
        </w:rPr>
        <w:t xml:space="preserve"> (</w:t>
      </w:r>
      <w:r>
        <w:rPr>
          <w:rFonts w:cs="Arial" w:hint="cs"/>
          <w:rtl/>
        </w:rPr>
        <w:t>פורסם ב</w:t>
      </w:r>
      <w:r w:rsidRPr="00CD5468">
        <w:rPr>
          <w:rFonts w:cs="Arial" w:hint="cs"/>
          <w:rtl/>
        </w:rPr>
        <w:t>יום</w:t>
      </w:r>
      <w:r w:rsidRPr="00CD5468">
        <w:rPr>
          <w:rFonts w:cs="Arial"/>
          <w:rtl/>
        </w:rPr>
        <w:t xml:space="preserve"> 15.12.08</w:t>
      </w:r>
      <w:r>
        <w:rPr>
          <w:rFonts w:cs="Arial" w:hint="cs"/>
          <w:rtl/>
        </w:rPr>
        <w:t>).</w:t>
      </w:r>
    </w:p>
  </w:footnote>
  <w:footnote w:id="3">
    <w:p w:rsidR="00CD5468" w:rsidRDefault="00CD5468" w:rsidP="00CD5468">
      <w:pPr>
        <w:spacing w:before="240" w:after="0" w:line="360" w:lineRule="auto"/>
        <w:jc w:val="both"/>
      </w:pPr>
      <w:r>
        <w:rPr>
          <w:rStyle w:val="af"/>
        </w:rPr>
        <w:footnoteRef/>
      </w:r>
      <w:r>
        <w:rPr>
          <w:rtl/>
        </w:rPr>
        <w:t xml:space="preserve"> </w:t>
      </w:r>
      <w:r w:rsidRPr="00CD5468">
        <w:rPr>
          <w:rFonts w:cs="David" w:hint="cs"/>
          <w:sz w:val="20"/>
          <w:szCs w:val="20"/>
          <w:rtl/>
        </w:rPr>
        <w:t xml:space="preserve">ע"פ 3673/15 </w:t>
      </w:r>
      <w:r w:rsidRPr="00CD5468">
        <w:rPr>
          <w:rFonts w:cs="David" w:hint="cs"/>
          <w:b/>
          <w:bCs/>
          <w:sz w:val="20"/>
          <w:szCs w:val="20"/>
          <w:rtl/>
        </w:rPr>
        <w:t>פלוני נגד מדינת ישראל</w:t>
      </w:r>
      <w:r w:rsidRPr="00CD5468">
        <w:rPr>
          <w:rFonts w:cs="David" w:hint="cs"/>
          <w:sz w:val="20"/>
          <w:szCs w:val="20"/>
          <w:rtl/>
        </w:rPr>
        <w:t xml:space="preserve"> (</w:t>
      </w:r>
      <w:r>
        <w:rPr>
          <w:rFonts w:cs="David" w:hint="cs"/>
          <w:sz w:val="20"/>
          <w:szCs w:val="20"/>
          <w:rtl/>
        </w:rPr>
        <w:t>פורסם ביום 14.3.16).</w:t>
      </w:r>
    </w:p>
  </w:footnote>
  <w:footnote w:id="4">
    <w:p w:rsidR="00CD5468" w:rsidRDefault="00CD5468" w:rsidP="00CD5468">
      <w:pPr>
        <w:pStyle w:val="ad"/>
      </w:pPr>
      <w:r>
        <w:rPr>
          <w:rStyle w:val="af"/>
        </w:rPr>
        <w:footnoteRef/>
      </w:r>
      <w:r>
        <w:rPr>
          <w:rtl/>
        </w:rPr>
        <w:t xml:space="preserve"> </w:t>
      </w:r>
      <w:r w:rsidRPr="00CD5468">
        <w:rPr>
          <w:rFonts w:cs="David" w:hint="cs"/>
          <w:rtl/>
        </w:rPr>
        <w:t xml:space="preserve">ע"פ 10715/05 </w:t>
      </w:r>
      <w:r w:rsidRPr="00CD5468">
        <w:rPr>
          <w:rFonts w:cs="David" w:hint="cs"/>
          <w:b/>
          <w:bCs/>
          <w:rtl/>
        </w:rPr>
        <w:t>פלוני נגד מדינת ישראל</w:t>
      </w:r>
      <w:r w:rsidRPr="00CD5468">
        <w:rPr>
          <w:rFonts w:cs="David" w:hint="cs"/>
          <w:rtl/>
        </w:rPr>
        <w:t xml:space="preserve"> (פורסם ביום 4.9.07)</w:t>
      </w:r>
      <w:r>
        <w:rPr>
          <w:rFonts w:hint="cs"/>
          <w:rtl/>
        </w:rPr>
        <w:t>.</w:t>
      </w:r>
    </w:p>
  </w:footnote>
  <w:footnote w:id="5">
    <w:p w:rsidR="00DE581A" w:rsidRPr="00DE581A" w:rsidRDefault="00DE581A" w:rsidP="00DE581A">
      <w:pPr>
        <w:pStyle w:val="ad"/>
        <w:rPr>
          <w:rFonts w:cs="David"/>
        </w:rPr>
      </w:pPr>
      <w:r w:rsidRPr="00DE581A">
        <w:rPr>
          <w:rStyle w:val="af"/>
          <w:rFonts w:cs="David"/>
        </w:rPr>
        <w:footnoteRef/>
      </w:r>
      <w:r w:rsidRPr="00DE581A">
        <w:rPr>
          <w:rFonts w:cs="David"/>
          <w:rtl/>
        </w:rPr>
        <w:t xml:space="preserve"> </w:t>
      </w:r>
      <w:r w:rsidRPr="00DE581A">
        <w:rPr>
          <w:rFonts w:cs="David" w:hint="cs"/>
          <w:rtl/>
        </w:rPr>
        <w:t xml:space="preserve">ע"פ 534/04 </w:t>
      </w:r>
      <w:r w:rsidRPr="00DE581A">
        <w:rPr>
          <w:rFonts w:cs="David" w:hint="cs"/>
          <w:b/>
          <w:bCs/>
          <w:rtl/>
        </w:rPr>
        <w:t>פלוני נגד מדינת ישראל</w:t>
      </w:r>
      <w:r w:rsidRPr="00DE581A">
        <w:rPr>
          <w:rFonts w:cs="David" w:hint="cs"/>
          <w:rtl/>
        </w:rPr>
        <w:t xml:space="preserve"> (פורסם ביום 20.1.05).</w:t>
      </w:r>
    </w:p>
  </w:footnote>
  <w:footnote w:id="6">
    <w:p w:rsidR="00DE581A" w:rsidRPr="00DE581A" w:rsidRDefault="00DE581A" w:rsidP="00DE581A">
      <w:pPr>
        <w:pStyle w:val="ad"/>
        <w:rPr>
          <w:rFonts w:cs="David"/>
        </w:rPr>
      </w:pPr>
      <w:r w:rsidRPr="00DE581A">
        <w:rPr>
          <w:rStyle w:val="af"/>
          <w:rFonts w:cs="David"/>
        </w:rPr>
        <w:footnoteRef/>
      </w:r>
      <w:r w:rsidRPr="00DE581A">
        <w:rPr>
          <w:rFonts w:cs="David"/>
          <w:rtl/>
        </w:rPr>
        <w:t xml:space="preserve"> </w:t>
      </w:r>
      <w:r w:rsidRPr="00DE581A">
        <w:rPr>
          <w:rFonts w:ascii="Arial TUR" w:hAnsi="Arial TUR" w:cs="David" w:hint="cs"/>
          <w:spacing w:val="10"/>
          <w:rtl/>
        </w:rPr>
        <w:t xml:space="preserve">ע"פ 7781/12 </w:t>
      </w:r>
      <w:r w:rsidRPr="00DE581A">
        <w:rPr>
          <w:rFonts w:ascii="Arial TUR" w:hAnsi="Arial TUR" w:cs="David" w:hint="cs"/>
          <w:b/>
          <w:bCs/>
          <w:spacing w:val="10"/>
          <w:rtl/>
        </w:rPr>
        <w:t>פלוני נגד מדינת ישראל</w:t>
      </w:r>
      <w:r w:rsidRPr="00DE581A">
        <w:rPr>
          <w:rFonts w:ascii="Arial TUR" w:hAnsi="Arial TUR" w:cs="David" w:hint="cs"/>
          <w:spacing w:val="10"/>
          <w:rtl/>
        </w:rPr>
        <w:t xml:space="preserve"> (פורסם ביום 25.6.13).</w:t>
      </w:r>
    </w:p>
  </w:footnote>
  <w:footnote w:id="7">
    <w:p w:rsidR="00B2713C" w:rsidRDefault="00B2713C" w:rsidP="00B2713C">
      <w:pPr>
        <w:pStyle w:val="ad"/>
      </w:pPr>
      <w:r w:rsidRPr="004C7647">
        <w:rPr>
          <w:rStyle w:val="af"/>
        </w:rPr>
        <w:footnoteRef/>
      </w:r>
      <w:r w:rsidRPr="004C7647">
        <w:rPr>
          <w:rtl/>
        </w:rPr>
        <w:t xml:space="preserve"> </w:t>
      </w:r>
      <w:r w:rsidRPr="004C7647">
        <w:rPr>
          <w:rFonts w:hint="cs"/>
          <w:rtl/>
        </w:rPr>
        <w:t xml:space="preserve">ל. סולומון </w:t>
      </w:r>
      <w:proofErr w:type="spellStart"/>
      <w:r w:rsidRPr="004C7647">
        <w:rPr>
          <w:rFonts w:hint="cs"/>
          <w:rtl/>
        </w:rPr>
        <w:t>ומ</w:t>
      </w:r>
      <w:proofErr w:type="spellEnd"/>
      <w:r w:rsidRPr="004C7647">
        <w:rPr>
          <w:rFonts w:hint="cs"/>
          <w:rtl/>
        </w:rPr>
        <w:t xml:space="preserve">. אהרוני </w:t>
      </w:r>
      <w:r w:rsidRPr="004C7647">
        <w:rPr>
          <w:rFonts w:hint="cs"/>
          <w:b/>
          <w:bCs/>
          <w:rtl/>
        </w:rPr>
        <w:t>לקחי ה"יד</w:t>
      </w:r>
      <w:r w:rsidRPr="001A1131">
        <w:rPr>
          <w:rFonts w:hint="cs"/>
          <w:b/>
          <w:bCs/>
          <w:rtl/>
        </w:rPr>
        <w:t xml:space="preserve"> החזקה"- מסקנות המחקר בדבר התמודדות עם עבריינות ואלימות נוער בארה"ב ובקנדה</w:t>
      </w:r>
      <w:r>
        <w:rPr>
          <w:rFonts w:hint="cs"/>
          <w:b/>
          <w:bCs/>
          <w:rtl/>
        </w:rPr>
        <w:t xml:space="preserve"> </w:t>
      </w:r>
      <w:r w:rsidRPr="00847910">
        <w:rPr>
          <w:rFonts w:hint="cs"/>
          <w:rtl/>
        </w:rPr>
        <w:t>(דצמבר 2005)</w:t>
      </w:r>
      <w:r>
        <w:rPr>
          <w:rFonts w:hint="cs"/>
          <w:rtl/>
        </w:rPr>
        <w:t>.</w:t>
      </w:r>
    </w:p>
  </w:footnote>
  <w:footnote w:id="8">
    <w:p w:rsidR="00D13987" w:rsidRPr="00847910" w:rsidRDefault="00D13987" w:rsidP="00D13987">
      <w:pPr>
        <w:pStyle w:val="ad"/>
      </w:pPr>
      <w:r w:rsidRPr="009246CF">
        <w:rPr>
          <w:rStyle w:val="af"/>
        </w:rPr>
        <w:footnoteRef/>
      </w:r>
      <w:r w:rsidRPr="009246CF">
        <w:rPr>
          <w:rtl/>
        </w:rPr>
        <w:t xml:space="preserve"> </w:t>
      </w:r>
      <w:r w:rsidRPr="009246CF">
        <w:rPr>
          <w:rFonts w:hint="cs"/>
          <w:rtl/>
        </w:rPr>
        <w:t xml:space="preserve">ל. סולומון </w:t>
      </w:r>
      <w:proofErr w:type="spellStart"/>
      <w:r w:rsidRPr="009246CF">
        <w:rPr>
          <w:rFonts w:hint="cs"/>
          <w:rtl/>
        </w:rPr>
        <w:t>ומ</w:t>
      </w:r>
      <w:proofErr w:type="spellEnd"/>
      <w:r w:rsidRPr="009246CF">
        <w:rPr>
          <w:rFonts w:hint="cs"/>
          <w:rtl/>
        </w:rPr>
        <w:t xml:space="preserve">. אהרוני </w:t>
      </w:r>
      <w:r w:rsidRPr="009246CF">
        <w:rPr>
          <w:rFonts w:hint="cs"/>
          <w:b/>
          <w:bCs/>
          <w:rtl/>
        </w:rPr>
        <w:t>לקחי ה</w:t>
      </w:r>
      <w:r w:rsidRPr="001A1131">
        <w:rPr>
          <w:rFonts w:hint="cs"/>
          <w:b/>
          <w:bCs/>
          <w:rtl/>
        </w:rPr>
        <w:t>"יד החזקה"- מסקנות המחקר בדבר התמודדות עם עבריינות ואלימות נוער בארה"ב ובקנדה</w:t>
      </w:r>
      <w:r>
        <w:rPr>
          <w:rFonts w:hint="cs"/>
          <w:b/>
          <w:bCs/>
          <w:rtl/>
        </w:rPr>
        <w:t xml:space="preserve"> </w:t>
      </w:r>
      <w:r w:rsidRPr="00847910">
        <w:rPr>
          <w:rFonts w:hint="cs"/>
          <w:rtl/>
        </w:rPr>
        <w:t>(דצמבר 2005)</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E73E5"/>
    <w:multiLevelType w:val="hybridMultilevel"/>
    <w:tmpl w:val="30489AD4"/>
    <w:lvl w:ilvl="0" w:tplc="56C439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9E376A"/>
    <w:multiLevelType w:val="hybridMultilevel"/>
    <w:tmpl w:val="38A22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04646F"/>
    <w:multiLevelType w:val="hybridMultilevel"/>
    <w:tmpl w:val="1D384E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9E2FDB"/>
    <w:multiLevelType w:val="hybridMultilevel"/>
    <w:tmpl w:val="A5449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980117"/>
    <w:multiLevelType w:val="hybridMultilevel"/>
    <w:tmpl w:val="FF5ABE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33A"/>
    <w:rsid w:val="00013EEB"/>
    <w:rsid w:val="00021649"/>
    <w:rsid w:val="0003295F"/>
    <w:rsid w:val="00046754"/>
    <w:rsid w:val="0005434A"/>
    <w:rsid w:val="00060B7B"/>
    <w:rsid w:val="000628F9"/>
    <w:rsid w:val="000727C7"/>
    <w:rsid w:val="00073771"/>
    <w:rsid w:val="000757C6"/>
    <w:rsid w:val="000961B7"/>
    <w:rsid w:val="000A2332"/>
    <w:rsid w:val="000C44D2"/>
    <w:rsid w:val="000E0A59"/>
    <w:rsid w:val="000F3182"/>
    <w:rsid w:val="00121C4D"/>
    <w:rsid w:val="00127D20"/>
    <w:rsid w:val="00167762"/>
    <w:rsid w:val="00170DBD"/>
    <w:rsid w:val="0017623B"/>
    <w:rsid w:val="0018699E"/>
    <w:rsid w:val="0019225D"/>
    <w:rsid w:val="001A1131"/>
    <w:rsid w:val="001D5C49"/>
    <w:rsid w:val="001D647D"/>
    <w:rsid w:val="001E14A0"/>
    <w:rsid w:val="00204BC7"/>
    <w:rsid w:val="00226845"/>
    <w:rsid w:val="00233356"/>
    <w:rsid w:val="002335C1"/>
    <w:rsid w:val="002A41CF"/>
    <w:rsid w:val="002A4B2A"/>
    <w:rsid w:val="002A5D59"/>
    <w:rsid w:val="002B3F0A"/>
    <w:rsid w:val="002C6CA7"/>
    <w:rsid w:val="002D5DB2"/>
    <w:rsid w:val="0031763B"/>
    <w:rsid w:val="00367081"/>
    <w:rsid w:val="00371AA3"/>
    <w:rsid w:val="0037682B"/>
    <w:rsid w:val="003A32B6"/>
    <w:rsid w:val="003A7BF8"/>
    <w:rsid w:val="003B1EFB"/>
    <w:rsid w:val="003F0DDA"/>
    <w:rsid w:val="003F2C8A"/>
    <w:rsid w:val="003F56B8"/>
    <w:rsid w:val="003F66E6"/>
    <w:rsid w:val="003F74AA"/>
    <w:rsid w:val="00421F2E"/>
    <w:rsid w:val="004412B0"/>
    <w:rsid w:val="00445938"/>
    <w:rsid w:val="004856D4"/>
    <w:rsid w:val="00487FAB"/>
    <w:rsid w:val="004943A0"/>
    <w:rsid w:val="004A2DFE"/>
    <w:rsid w:val="004B2816"/>
    <w:rsid w:val="004C7647"/>
    <w:rsid w:val="004E1196"/>
    <w:rsid w:val="004F013E"/>
    <w:rsid w:val="004F3732"/>
    <w:rsid w:val="004F7933"/>
    <w:rsid w:val="00502957"/>
    <w:rsid w:val="00546C73"/>
    <w:rsid w:val="0058016D"/>
    <w:rsid w:val="005A572B"/>
    <w:rsid w:val="005B0092"/>
    <w:rsid w:val="005C2D7D"/>
    <w:rsid w:val="005D195B"/>
    <w:rsid w:val="005D314A"/>
    <w:rsid w:val="00624B3E"/>
    <w:rsid w:val="006519E4"/>
    <w:rsid w:val="00653E79"/>
    <w:rsid w:val="00664873"/>
    <w:rsid w:val="0066599B"/>
    <w:rsid w:val="00673290"/>
    <w:rsid w:val="006908B7"/>
    <w:rsid w:val="006C6A50"/>
    <w:rsid w:val="006D2C9D"/>
    <w:rsid w:val="006F08EC"/>
    <w:rsid w:val="00705309"/>
    <w:rsid w:val="00721870"/>
    <w:rsid w:val="007308C6"/>
    <w:rsid w:val="00731899"/>
    <w:rsid w:val="00732B35"/>
    <w:rsid w:val="00734486"/>
    <w:rsid w:val="0076280A"/>
    <w:rsid w:val="00772DC7"/>
    <w:rsid w:val="00782A10"/>
    <w:rsid w:val="00794672"/>
    <w:rsid w:val="007A5D16"/>
    <w:rsid w:val="007A7BDA"/>
    <w:rsid w:val="007B16FE"/>
    <w:rsid w:val="007C62C0"/>
    <w:rsid w:val="007E16E6"/>
    <w:rsid w:val="007E5534"/>
    <w:rsid w:val="007E5BC8"/>
    <w:rsid w:val="007F2C4D"/>
    <w:rsid w:val="00811333"/>
    <w:rsid w:val="008126DF"/>
    <w:rsid w:val="00844FA5"/>
    <w:rsid w:val="00847910"/>
    <w:rsid w:val="00874234"/>
    <w:rsid w:val="00875E56"/>
    <w:rsid w:val="00880F9B"/>
    <w:rsid w:val="008972A4"/>
    <w:rsid w:val="008F7096"/>
    <w:rsid w:val="00913D81"/>
    <w:rsid w:val="00917F66"/>
    <w:rsid w:val="009246CF"/>
    <w:rsid w:val="00927B03"/>
    <w:rsid w:val="0094641D"/>
    <w:rsid w:val="0095518E"/>
    <w:rsid w:val="00960589"/>
    <w:rsid w:val="00973198"/>
    <w:rsid w:val="009932E2"/>
    <w:rsid w:val="009933DF"/>
    <w:rsid w:val="009A3098"/>
    <w:rsid w:val="009B25CE"/>
    <w:rsid w:val="009B5797"/>
    <w:rsid w:val="009C1034"/>
    <w:rsid w:val="009D278D"/>
    <w:rsid w:val="009D2A9D"/>
    <w:rsid w:val="009D7EAC"/>
    <w:rsid w:val="009E01D7"/>
    <w:rsid w:val="009E191A"/>
    <w:rsid w:val="009E223C"/>
    <w:rsid w:val="009E43E6"/>
    <w:rsid w:val="009E749C"/>
    <w:rsid w:val="00A0636C"/>
    <w:rsid w:val="00A07C19"/>
    <w:rsid w:val="00A20A93"/>
    <w:rsid w:val="00A21A2A"/>
    <w:rsid w:val="00A32E4B"/>
    <w:rsid w:val="00A330E7"/>
    <w:rsid w:val="00A415B5"/>
    <w:rsid w:val="00A57189"/>
    <w:rsid w:val="00A64398"/>
    <w:rsid w:val="00A90E5A"/>
    <w:rsid w:val="00A9772B"/>
    <w:rsid w:val="00AA0E19"/>
    <w:rsid w:val="00AB48CE"/>
    <w:rsid w:val="00AD7040"/>
    <w:rsid w:val="00AE0911"/>
    <w:rsid w:val="00AE5F95"/>
    <w:rsid w:val="00AF00F7"/>
    <w:rsid w:val="00B0558A"/>
    <w:rsid w:val="00B21A8D"/>
    <w:rsid w:val="00B21FB3"/>
    <w:rsid w:val="00B2713C"/>
    <w:rsid w:val="00B367DC"/>
    <w:rsid w:val="00B43FC3"/>
    <w:rsid w:val="00B67700"/>
    <w:rsid w:val="00B7401E"/>
    <w:rsid w:val="00B742E1"/>
    <w:rsid w:val="00BA2F7D"/>
    <w:rsid w:val="00BC0840"/>
    <w:rsid w:val="00BD3373"/>
    <w:rsid w:val="00BD6261"/>
    <w:rsid w:val="00C038A9"/>
    <w:rsid w:val="00C1209C"/>
    <w:rsid w:val="00C204CE"/>
    <w:rsid w:val="00C33009"/>
    <w:rsid w:val="00C50D07"/>
    <w:rsid w:val="00C56E4C"/>
    <w:rsid w:val="00C6530C"/>
    <w:rsid w:val="00C66A88"/>
    <w:rsid w:val="00C66B5E"/>
    <w:rsid w:val="00C76BF5"/>
    <w:rsid w:val="00C814F0"/>
    <w:rsid w:val="00CB1992"/>
    <w:rsid w:val="00CD5468"/>
    <w:rsid w:val="00CE5E93"/>
    <w:rsid w:val="00CF798D"/>
    <w:rsid w:val="00D04768"/>
    <w:rsid w:val="00D0533A"/>
    <w:rsid w:val="00D076D7"/>
    <w:rsid w:val="00D11C72"/>
    <w:rsid w:val="00D12888"/>
    <w:rsid w:val="00D13987"/>
    <w:rsid w:val="00D55088"/>
    <w:rsid w:val="00D61BC7"/>
    <w:rsid w:val="00D71193"/>
    <w:rsid w:val="00DC013D"/>
    <w:rsid w:val="00DE525B"/>
    <w:rsid w:val="00DE581A"/>
    <w:rsid w:val="00E05C0B"/>
    <w:rsid w:val="00E1545D"/>
    <w:rsid w:val="00E20221"/>
    <w:rsid w:val="00E2561D"/>
    <w:rsid w:val="00E55852"/>
    <w:rsid w:val="00E61AA3"/>
    <w:rsid w:val="00E766E6"/>
    <w:rsid w:val="00E822E7"/>
    <w:rsid w:val="00ED2DED"/>
    <w:rsid w:val="00ED4AFF"/>
    <w:rsid w:val="00EE012E"/>
    <w:rsid w:val="00EE3ED2"/>
    <w:rsid w:val="00F1445E"/>
    <w:rsid w:val="00F15F11"/>
    <w:rsid w:val="00F241C9"/>
    <w:rsid w:val="00F40A99"/>
    <w:rsid w:val="00F4245F"/>
    <w:rsid w:val="00F61220"/>
    <w:rsid w:val="00F77CF6"/>
    <w:rsid w:val="00F84A9C"/>
    <w:rsid w:val="00F87DB5"/>
    <w:rsid w:val="00F956BF"/>
    <w:rsid w:val="00F967D3"/>
    <w:rsid w:val="00FC2A0A"/>
    <w:rsid w:val="00FD3A53"/>
    <w:rsid w:val="00FE5EB6"/>
    <w:rsid w:val="00FF47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7A725B-6FF4-429B-8295-6B56C0898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533A"/>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533A"/>
    <w:pPr>
      <w:ind w:left="720"/>
      <w:contextualSpacing/>
    </w:pPr>
  </w:style>
  <w:style w:type="table" w:styleId="a4">
    <w:name w:val="Table Grid"/>
    <w:basedOn w:val="a1"/>
    <w:uiPriority w:val="59"/>
    <w:rsid w:val="00D05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rsid w:val="00D0533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customStyle="1" w:styleId="P11">
    <w:name w:val="P11"/>
    <w:basedOn w:val="P00"/>
    <w:rsid w:val="00D0533A"/>
    <w:pPr>
      <w:tabs>
        <w:tab w:val="clear" w:pos="624"/>
      </w:tabs>
      <w:ind w:right="624"/>
    </w:pPr>
  </w:style>
  <w:style w:type="character" w:customStyle="1" w:styleId="default">
    <w:name w:val="default"/>
    <w:rsid w:val="00D0533A"/>
    <w:rPr>
      <w:rFonts w:ascii="Times New Roman" w:hAnsi="Times New Roman" w:cs="Times New Roman"/>
      <w:sz w:val="20"/>
      <w:szCs w:val="26"/>
    </w:rPr>
  </w:style>
  <w:style w:type="character" w:customStyle="1" w:styleId="big-number">
    <w:name w:val="big-number"/>
    <w:rsid w:val="00D0533A"/>
    <w:rPr>
      <w:rFonts w:ascii="Times New Roman" w:hAnsi="Times New Roman" w:cs="Miriam"/>
      <w:sz w:val="20"/>
      <w:szCs w:val="32"/>
    </w:rPr>
  </w:style>
  <w:style w:type="character" w:styleId="Hyperlink">
    <w:name w:val="Hyperlink"/>
    <w:rsid w:val="00D0533A"/>
    <w:rPr>
      <w:color w:val="0000FF"/>
      <w:u w:val="single"/>
    </w:rPr>
  </w:style>
  <w:style w:type="character" w:styleId="a5">
    <w:name w:val="annotation reference"/>
    <w:basedOn w:val="a0"/>
    <w:uiPriority w:val="99"/>
    <w:semiHidden/>
    <w:unhideWhenUsed/>
    <w:rsid w:val="00913D81"/>
    <w:rPr>
      <w:sz w:val="16"/>
      <w:szCs w:val="16"/>
    </w:rPr>
  </w:style>
  <w:style w:type="paragraph" w:styleId="a6">
    <w:name w:val="annotation text"/>
    <w:basedOn w:val="a"/>
    <w:link w:val="a7"/>
    <w:uiPriority w:val="99"/>
    <w:semiHidden/>
    <w:unhideWhenUsed/>
    <w:rsid w:val="00913D81"/>
    <w:pPr>
      <w:spacing w:line="240" w:lineRule="auto"/>
    </w:pPr>
    <w:rPr>
      <w:sz w:val="20"/>
      <w:szCs w:val="20"/>
    </w:rPr>
  </w:style>
  <w:style w:type="character" w:customStyle="1" w:styleId="a7">
    <w:name w:val="טקסט הערה תו"/>
    <w:basedOn w:val="a0"/>
    <w:link w:val="a6"/>
    <w:uiPriority w:val="99"/>
    <w:semiHidden/>
    <w:rsid w:val="00913D81"/>
    <w:rPr>
      <w:sz w:val="20"/>
      <w:szCs w:val="20"/>
    </w:rPr>
  </w:style>
  <w:style w:type="paragraph" w:styleId="a8">
    <w:name w:val="annotation subject"/>
    <w:basedOn w:val="a6"/>
    <w:next w:val="a6"/>
    <w:link w:val="a9"/>
    <w:uiPriority w:val="99"/>
    <w:semiHidden/>
    <w:unhideWhenUsed/>
    <w:rsid w:val="00913D81"/>
    <w:rPr>
      <w:b/>
      <w:bCs/>
    </w:rPr>
  </w:style>
  <w:style w:type="character" w:customStyle="1" w:styleId="a9">
    <w:name w:val="נושא הערה תו"/>
    <w:basedOn w:val="a7"/>
    <w:link w:val="a8"/>
    <w:uiPriority w:val="99"/>
    <w:semiHidden/>
    <w:rsid w:val="00913D81"/>
    <w:rPr>
      <w:b/>
      <w:bCs/>
      <w:sz w:val="20"/>
      <w:szCs w:val="20"/>
    </w:rPr>
  </w:style>
  <w:style w:type="paragraph" w:styleId="aa">
    <w:name w:val="Revision"/>
    <w:hidden/>
    <w:uiPriority w:val="99"/>
    <w:semiHidden/>
    <w:rsid w:val="00913D81"/>
    <w:pPr>
      <w:spacing w:after="0" w:line="240" w:lineRule="auto"/>
    </w:pPr>
  </w:style>
  <w:style w:type="paragraph" w:styleId="ab">
    <w:name w:val="Balloon Text"/>
    <w:basedOn w:val="a"/>
    <w:link w:val="ac"/>
    <w:uiPriority w:val="99"/>
    <w:semiHidden/>
    <w:unhideWhenUsed/>
    <w:rsid w:val="00913D81"/>
    <w:pPr>
      <w:spacing w:after="0" w:line="240" w:lineRule="auto"/>
    </w:pPr>
    <w:rPr>
      <w:rFonts w:ascii="Tahoma" w:hAnsi="Tahoma" w:cs="Tahoma"/>
      <w:sz w:val="18"/>
      <w:szCs w:val="18"/>
    </w:rPr>
  </w:style>
  <w:style w:type="character" w:customStyle="1" w:styleId="ac">
    <w:name w:val="טקסט בלונים תו"/>
    <w:basedOn w:val="a0"/>
    <w:link w:val="ab"/>
    <w:uiPriority w:val="99"/>
    <w:semiHidden/>
    <w:rsid w:val="00913D81"/>
    <w:rPr>
      <w:rFonts w:ascii="Tahoma" w:hAnsi="Tahoma" w:cs="Tahoma"/>
      <w:sz w:val="18"/>
      <w:szCs w:val="18"/>
    </w:rPr>
  </w:style>
  <w:style w:type="paragraph" w:styleId="ad">
    <w:name w:val="footnote text"/>
    <w:basedOn w:val="a"/>
    <w:link w:val="ae"/>
    <w:uiPriority w:val="99"/>
    <w:semiHidden/>
    <w:unhideWhenUsed/>
    <w:rsid w:val="00913D81"/>
    <w:pPr>
      <w:spacing w:after="0" w:line="240" w:lineRule="auto"/>
    </w:pPr>
    <w:rPr>
      <w:sz w:val="20"/>
      <w:szCs w:val="20"/>
    </w:rPr>
  </w:style>
  <w:style w:type="character" w:customStyle="1" w:styleId="ae">
    <w:name w:val="טקסט הערת שוליים תו"/>
    <w:basedOn w:val="a0"/>
    <w:link w:val="ad"/>
    <w:uiPriority w:val="99"/>
    <w:semiHidden/>
    <w:rsid w:val="00913D81"/>
    <w:rPr>
      <w:sz w:val="20"/>
      <w:szCs w:val="20"/>
    </w:rPr>
  </w:style>
  <w:style w:type="character" w:styleId="af">
    <w:name w:val="footnote reference"/>
    <w:basedOn w:val="a0"/>
    <w:uiPriority w:val="99"/>
    <w:semiHidden/>
    <w:unhideWhenUsed/>
    <w:rsid w:val="00913D81"/>
    <w:rPr>
      <w:vertAlign w:val="superscript"/>
    </w:rPr>
  </w:style>
  <w:style w:type="character" w:customStyle="1" w:styleId="Ruller4">
    <w:name w:val="Ruller4 תו"/>
    <w:basedOn w:val="a0"/>
    <w:link w:val="Ruller40"/>
    <w:locked/>
    <w:rsid w:val="009E191A"/>
    <w:rPr>
      <w:rFonts w:ascii="Arial TUR" w:hAnsi="Arial TUR" w:cs="FrankRuehl"/>
      <w:spacing w:val="10"/>
      <w:szCs w:val="28"/>
    </w:rPr>
  </w:style>
  <w:style w:type="paragraph" w:customStyle="1" w:styleId="Ruller40">
    <w:name w:val="Ruller4"/>
    <w:basedOn w:val="a"/>
    <w:link w:val="Ruller4"/>
    <w:rsid w:val="009E191A"/>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paragraph" w:customStyle="1" w:styleId="ruller41">
    <w:name w:val="ruller4"/>
    <w:basedOn w:val="a"/>
    <w:rsid w:val="006F08EC"/>
    <w:pPr>
      <w:overflowPunct w:val="0"/>
      <w:autoSpaceDE w:val="0"/>
      <w:autoSpaceDN w:val="0"/>
      <w:spacing w:after="0" w:line="360" w:lineRule="auto"/>
      <w:jc w:val="both"/>
    </w:pPr>
    <w:rPr>
      <w:rFonts w:ascii="Arial TUR" w:eastAsia="Times New Roman" w:hAnsi="Arial TUR" w:cs="Arial TUR"/>
      <w:spacing w:val="10"/>
    </w:rPr>
  </w:style>
  <w:style w:type="paragraph" w:customStyle="1" w:styleId="af0">
    <w:name w:val="כללי"/>
    <w:basedOn w:val="a"/>
    <w:rsid w:val="006F08EC"/>
    <w:pPr>
      <w:overflowPunct w:val="0"/>
      <w:autoSpaceDE w:val="0"/>
      <w:autoSpaceDN w:val="0"/>
      <w:adjustRightInd w:val="0"/>
      <w:spacing w:after="240" w:line="280" w:lineRule="exact"/>
      <w:ind w:firstLine="284"/>
      <w:jc w:val="both"/>
    </w:pPr>
    <w:rPr>
      <w:rFonts w:ascii="Times New Roman" w:eastAsia="Times New Roman" w:hAnsi="Times New Roman" w:cs="FrankRuehl"/>
      <w:sz w:val="20"/>
      <w:szCs w:val="24"/>
      <w:lang w:eastAsia="he-IL"/>
    </w:rPr>
  </w:style>
  <w:style w:type="character" w:customStyle="1" w:styleId="Ruller42">
    <w:name w:val="Ruller4 תו תו"/>
    <w:basedOn w:val="a0"/>
    <w:locked/>
    <w:rsid w:val="006F08EC"/>
    <w:rPr>
      <w:rFonts w:ascii="Arial TUR" w:hAnsi="Arial TUR" w:cs="FrankRuehl" w:hint="default"/>
      <w:spacing w:val="10"/>
      <w:sz w:val="22"/>
      <w:szCs w:val="28"/>
      <w:lang w:val="en-US" w:eastAsia="he-IL" w:bidi="he-IL"/>
    </w:rPr>
  </w:style>
  <w:style w:type="paragraph" w:customStyle="1" w:styleId="Ruller5">
    <w:name w:val="Ruller5"/>
    <w:basedOn w:val="a"/>
    <w:rsid w:val="0031763B"/>
    <w:pPr>
      <w:overflowPunct w:val="0"/>
      <w:autoSpaceDE w:val="0"/>
      <w:autoSpaceDN w:val="0"/>
      <w:adjustRightInd w:val="0"/>
      <w:spacing w:after="0" w:line="240" w:lineRule="auto"/>
      <w:ind w:left="1642" w:right="1282"/>
      <w:jc w:val="both"/>
    </w:pPr>
    <w:rPr>
      <w:rFonts w:ascii="Arial TUR" w:eastAsia="Times New Roman" w:hAnsi="Arial TUR" w:cs="FrankRuehl"/>
      <w:spacing w:val="10"/>
      <w:szCs w:val="28"/>
    </w:rPr>
  </w:style>
  <w:style w:type="paragraph" w:customStyle="1" w:styleId="P22">
    <w:name w:val="P22"/>
    <w:basedOn w:val="P00"/>
    <w:rsid w:val="00EE3ED2"/>
    <w:pPr>
      <w:tabs>
        <w:tab w:val="clear" w:pos="624"/>
        <w:tab w:val="clear" w:pos="1021"/>
      </w:tabs>
      <w:ind w:right="1021"/>
    </w:pPr>
    <w:rPr>
      <w:rFonts w:cs="Times New Roman"/>
    </w:rPr>
  </w:style>
  <w:style w:type="paragraph" w:customStyle="1" w:styleId="TableText">
    <w:name w:val="Table Text"/>
    <w:basedOn w:val="a"/>
    <w:rsid w:val="00487FAB"/>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color w:val="000000"/>
      <w:sz w:val="20"/>
      <w:szCs w:val="26"/>
      <w:lang w:eastAsia="ja-JP"/>
    </w:rPr>
  </w:style>
  <w:style w:type="paragraph" w:customStyle="1" w:styleId="TableSideHeading">
    <w:name w:val="Table SideHeading"/>
    <w:basedOn w:val="TableText"/>
    <w:rsid w:val="00487FAB"/>
  </w:style>
  <w:style w:type="paragraph" w:customStyle="1" w:styleId="TableBlock">
    <w:name w:val="Table Block"/>
    <w:basedOn w:val="TableText"/>
    <w:rsid w:val="00487FAB"/>
    <w:pPr>
      <w:ind w:right="0"/>
      <w:jc w:val="both"/>
    </w:pPr>
  </w:style>
  <w:style w:type="paragraph" w:customStyle="1" w:styleId="Hesber">
    <w:name w:val="Hesber"/>
    <w:basedOn w:val="a"/>
    <w:rsid w:val="00487FAB"/>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color w:val="000000"/>
      <w:sz w:val="20"/>
      <w:szCs w:val="26"/>
      <w:lang w:eastAsia="ja-JP"/>
    </w:rPr>
  </w:style>
  <w:style w:type="paragraph" w:customStyle="1" w:styleId="HeadDivreiHesber">
    <w:name w:val="Head DivreiHesber"/>
    <w:basedOn w:val="a"/>
    <w:rsid w:val="00487FAB"/>
    <w:pPr>
      <w:widowControl w:val="0"/>
      <w:autoSpaceDE w:val="0"/>
      <w:autoSpaceDN w:val="0"/>
      <w:adjustRightInd w:val="0"/>
      <w:snapToGrid w:val="0"/>
      <w:spacing w:before="360" w:after="120" w:line="360" w:lineRule="auto"/>
      <w:jc w:val="center"/>
      <w:textAlignment w:val="center"/>
    </w:pPr>
    <w:rPr>
      <w:rFonts w:ascii="Arial" w:eastAsia="Arial Unicode MS" w:hAnsi="Arial" w:cs="David"/>
      <w:b/>
      <w:color w:val="000000"/>
      <w:spacing w:val="4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70348/25" TargetMode="External"/><Relationship Id="rId13" Type="http://schemas.openxmlformats.org/officeDocument/2006/relationships/hyperlink" Target="http://www.nevo.co.il/case/2237972" TargetMode="External"/><Relationship Id="rId18" Type="http://schemas.openxmlformats.org/officeDocument/2006/relationships/hyperlink" Target="http://www.nevo.co.il/links/psika/?link=&#1506;&#1508;%2010715/0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nevo.co.il/case/6246087" TargetMode="External"/><Relationship Id="rId17" Type="http://schemas.openxmlformats.org/officeDocument/2006/relationships/hyperlink" Target="http://www.nevo.co.il/law/70348/25.d"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www.nevo.co.il/law/70348/25.d" TargetMode="External"/><Relationship Id="rId20" Type="http://schemas.openxmlformats.org/officeDocument/2006/relationships/hyperlink" Target="http://www.nevo.co.il/links/psika/?link=&#1506;&#1508;%2010715/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evo.co.il/case/5729694"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nevo.co.il/case/6246285" TargetMode="External"/><Relationship Id="rId23" Type="http://schemas.openxmlformats.org/officeDocument/2006/relationships/customXml" Target="../customXml/item2.xml"/><Relationship Id="rId10" Type="http://schemas.openxmlformats.org/officeDocument/2006/relationships/hyperlink" Target="http://www.nevo.co.il/case/5983908" TargetMode="External"/><Relationship Id="rId19" Type="http://schemas.openxmlformats.org/officeDocument/2006/relationships/hyperlink" Target="http://www.nevo.co.il/Psika_word/elyon/0400534-padi.doc" TargetMode="External"/><Relationship Id="rId4" Type="http://schemas.openxmlformats.org/officeDocument/2006/relationships/settings" Target="settings.xml"/><Relationship Id="rId9" Type="http://schemas.openxmlformats.org/officeDocument/2006/relationships/hyperlink" Target="http://www.nevo.co.il/law/70348" TargetMode="External"/><Relationship Id="rId14" Type="http://schemas.openxmlformats.org/officeDocument/2006/relationships/hyperlink" Target="http://www.nevo.co.il/case/6248029" TargetMode="External"/><Relationship Id="rId22"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DBD04C-B237-4229-84C3-C15402D54D74}"/>
</file>

<file path=customXml/itemProps2.xml><?xml version="1.0" encoding="utf-8"?>
<ds:datastoreItem xmlns:ds="http://schemas.openxmlformats.org/officeDocument/2006/customXml" ds:itemID="{B423428D-929A-4EBE-9747-8B85145BBCF1}"/>
</file>

<file path=customXml/itemProps3.xml><?xml version="1.0" encoding="utf-8"?>
<ds:datastoreItem xmlns:ds="http://schemas.openxmlformats.org/officeDocument/2006/customXml" ds:itemID="{A339A5E7-05F7-46BB-AE95-32E8BCBE01F3}"/>
</file>

<file path=customXml/itemProps4.xml><?xml version="1.0" encoding="utf-8"?>
<ds:datastoreItem xmlns:ds="http://schemas.openxmlformats.org/officeDocument/2006/customXml" ds:itemID="{1B1E4AA0-A5FF-4962-ACFF-7D4648D687BD}"/>
</file>

<file path=docProps/app.xml><?xml version="1.0" encoding="utf-8"?>
<Properties xmlns="http://schemas.openxmlformats.org/officeDocument/2006/extended-properties" xmlns:vt="http://schemas.openxmlformats.org/officeDocument/2006/docPropsVTypes">
  <Template>Normal</Template>
  <TotalTime>0</TotalTime>
  <Pages>8</Pages>
  <Words>2775</Words>
  <Characters>13877</Characters>
  <Application>Microsoft Office Word</Application>
  <DocSecurity>4</DocSecurity>
  <Lines>115</Lines>
  <Paragraphs>33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16619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חופית עלפי</cp:lastModifiedBy>
  <cp:revision>2</cp:revision>
  <cp:lastPrinted>2016-07-04T08:40:00Z</cp:lastPrinted>
  <dcterms:created xsi:type="dcterms:W3CDTF">2016-07-04T09:40:00Z</dcterms:created>
  <dcterms:modified xsi:type="dcterms:W3CDTF">2016-07-04T09:40:00Z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2006163</vt:r8>
  </property>
</Properties>
</file>