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0526" w:rsidRPr="00FC48FA" w:rsidRDefault="00890526" w:rsidP="00890526">
      <w:pPr>
        <w:spacing w:line="240" w:lineRule="auto"/>
        <w:jc w:val="right"/>
        <w:rPr>
          <w:rFonts w:cs="David"/>
          <w:szCs w:val="22"/>
          <w:rtl/>
        </w:rPr>
      </w:pPr>
      <w:r>
        <w:rPr>
          <w:rFonts w:cs="David" w:hint="cs"/>
          <w:szCs w:val="22"/>
          <w:rtl/>
        </w:rPr>
        <w:t>י"ג בתמוז</w:t>
      </w:r>
      <w:r w:rsidRPr="00FC48FA">
        <w:rPr>
          <w:rFonts w:cs="David" w:hint="cs"/>
          <w:szCs w:val="22"/>
          <w:rtl/>
        </w:rPr>
        <w:t xml:space="preserve"> </w:t>
      </w:r>
      <w:proofErr w:type="spellStart"/>
      <w:r w:rsidRPr="00FC48FA">
        <w:rPr>
          <w:rFonts w:cs="David" w:hint="cs"/>
          <w:szCs w:val="22"/>
          <w:rtl/>
        </w:rPr>
        <w:t>התשע"ו</w:t>
      </w:r>
      <w:proofErr w:type="spellEnd"/>
    </w:p>
    <w:p w:rsidR="005329BD" w:rsidRPr="00FC48FA" w:rsidRDefault="00890526" w:rsidP="00890526">
      <w:pPr>
        <w:spacing w:line="240" w:lineRule="auto"/>
        <w:jc w:val="right"/>
        <w:rPr>
          <w:rFonts w:cs="David"/>
          <w:szCs w:val="22"/>
          <w:rtl/>
        </w:rPr>
      </w:pPr>
      <w:r>
        <w:rPr>
          <w:rFonts w:cs="David" w:hint="cs"/>
          <w:szCs w:val="22"/>
          <w:rtl/>
        </w:rPr>
        <w:t>19</w:t>
      </w:r>
      <w:r w:rsidRPr="00FC48FA">
        <w:rPr>
          <w:rFonts w:cs="David" w:hint="cs"/>
          <w:szCs w:val="22"/>
          <w:rtl/>
        </w:rPr>
        <w:t xml:space="preserve"> ביו</w:t>
      </w:r>
      <w:r>
        <w:rPr>
          <w:rFonts w:cs="David" w:hint="cs"/>
          <w:szCs w:val="22"/>
          <w:rtl/>
        </w:rPr>
        <w:t>ל</w:t>
      </w:r>
      <w:r w:rsidRPr="00FC48FA">
        <w:rPr>
          <w:rFonts w:cs="David" w:hint="cs"/>
          <w:szCs w:val="22"/>
          <w:rtl/>
        </w:rPr>
        <w:t>י 2016</w:t>
      </w:r>
    </w:p>
    <w:p w:rsidR="002D561D" w:rsidRPr="00255C8E" w:rsidRDefault="002D561D" w:rsidP="002D561D">
      <w:pPr>
        <w:spacing w:line="240" w:lineRule="auto"/>
        <w:rPr>
          <w:rFonts w:cs="David"/>
          <w:sz w:val="24"/>
          <w:rtl/>
        </w:rPr>
      </w:pPr>
      <w:r w:rsidRPr="00255C8E">
        <w:rPr>
          <w:rFonts w:cs="David" w:hint="cs"/>
          <w:sz w:val="24"/>
          <w:u w:val="single"/>
          <w:rtl/>
        </w:rPr>
        <w:t>אל</w:t>
      </w:r>
      <w:r w:rsidRPr="00255C8E">
        <w:rPr>
          <w:rFonts w:cs="David" w:hint="cs"/>
          <w:sz w:val="24"/>
          <w:rtl/>
        </w:rPr>
        <w:t>: חברי ועדת החוקה, חוק ומשפט</w:t>
      </w:r>
    </w:p>
    <w:p w:rsidR="002D561D" w:rsidRPr="00AE3501" w:rsidRDefault="002D561D" w:rsidP="002D561D">
      <w:pPr>
        <w:spacing w:line="240" w:lineRule="auto"/>
        <w:rPr>
          <w:rFonts w:cs="David"/>
          <w:sz w:val="24"/>
          <w:rtl/>
        </w:rPr>
      </w:pPr>
      <w:r w:rsidRPr="00255C8E">
        <w:rPr>
          <w:rFonts w:cs="David" w:hint="cs"/>
          <w:sz w:val="24"/>
          <w:u w:val="single"/>
          <w:rtl/>
        </w:rPr>
        <w:t>מאת</w:t>
      </w:r>
      <w:r w:rsidRPr="00255C8E">
        <w:rPr>
          <w:rFonts w:cs="David" w:hint="cs"/>
          <w:sz w:val="24"/>
          <w:rtl/>
        </w:rPr>
        <w:t>: הייעוץ ה</w:t>
      </w:r>
      <w:bookmarkStart w:id="0" w:name="_GoBack"/>
      <w:bookmarkEnd w:id="0"/>
      <w:r w:rsidRPr="00255C8E">
        <w:rPr>
          <w:rFonts w:cs="David" w:hint="cs"/>
          <w:sz w:val="24"/>
          <w:rtl/>
        </w:rPr>
        <w:t>משפטי לוועדה</w:t>
      </w:r>
    </w:p>
    <w:p w:rsidR="002D561D" w:rsidRDefault="002D561D" w:rsidP="002D561D">
      <w:pPr>
        <w:spacing w:line="240" w:lineRule="auto"/>
        <w:rPr>
          <w:rFonts w:cs="David"/>
          <w:sz w:val="24"/>
          <w:rtl/>
        </w:rPr>
      </w:pPr>
    </w:p>
    <w:p w:rsidR="008376D7" w:rsidRPr="00C46AA4" w:rsidRDefault="00394432" w:rsidP="00394432">
      <w:pPr>
        <w:pStyle w:val="a3"/>
        <w:spacing w:before="240" w:after="240" w:line="240" w:lineRule="auto"/>
        <w:jc w:val="center"/>
        <w:rPr>
          <w:rFonts w:cs="David"/>
          <w:b/>
          <w:bCs/>
          <w:sz w:val="28"/>
          <w:szCs w:val="28"/>
          <w:u w:val="single"/>
          <w:rtl/>
        </w:rPr>
      </w:pPr>
      <w:r w:rsidRPr="00D76993">
        <w:rPr>
          <w:rFonts w:cs="David" w:hint="cs"/>
          <w:b/>
          <w:bCs/>
          <w:sz w:val="28"/>
          <w:szCs w:val="28"/>
          <w:u w:val="single"/>
          <w:rtl/>
        </w:rPr>
        <w:t>הצעת חוק נציבות תלונות הציבור על מייצגי המדינה בערכאות, התשע"ו-2016 (מ-1040)</w:t>
      </w:r>
      <w:r>
        <w:rPr>
          <w:rFonts w:cs="David" w:hint="cs"/>
          <w:b/>
          <w:bCs/>
          <w:sz w:val="28"/>
          <w:szCs w:val="28"/>
          <w:u w:val="single"/>
          <w:rtl/>
        </w:rPr>
        <w:t>,</w:t>
      </w:r>
      <w:r w:rsidRPr="00D76993">
        <w:rPr>
          <w:rFonts w:cs="David" w:hint="cs"/>
          <w:b/>
          <w:bCs/>
          <w:sz w:val="28"/>
          <w:szCs w:val="28"/>
          <w:u w:val="single"/>
          <w:rtl/>
        </w:rPr>
        <w:t xml:space="preserve"> </w:t>
      </w:r>
      <w:r>
        <w:rPr>
          <w:rFonts w:cs="David" w:hint="cs"/>
          <w:b/>
          <w:bCs/>
          <w:sz w:val="28"/>
          <w:szCs w:val="28"/>
          <w:u w:val="single"/>
          <w:rtl/>
        </w:rPr>
        <w:t>ו</w:t>
      </w:r>
      <w:r w:rsidRPr="00EB1C51">
        <w:rPr>
          <w:rFonts w:cs="David" w:hint="cs"/>
          <w:b/>
          <w:bCs/>
          <w:sz w:val="28"/>
          <w:szCs w:val="28"/>
          <w:u w:val="single"/>
          <w:rtl/>
        </w:rPr>
        <w:t>הצעת חוק נציבות ביקורת על מערך התביעה וייצוג המדינה בערכאות,</w:t>
      </w:r>
      <w:r>
        <w:rPr>
          <w:rFonts w:cs="David" w:hint="cs"/>
          <w:b/>
          <w:bCs/>
          <w:sz w:val="28"/>
          <w:szCs w:val="28"/>
          <w:u w:val="single"/>
          <w:rtl/>
        </w:rPr>
        <w:t xml:space="preserve"> </w:t>
      </w:r>
      <w:r w:rsidRPr="00EB1C51">
        <w:rPr>
          <w:rFonts w:cs="David" w:hint="cs"/>
          <w:b/>
          <w:bCs/>
          <w:sz w:val="28"/>
          <w:szCs w:val="28"/>
          <w:u w:val="single"/>
          <w:rtl/>
        </w:rPr>
        <w:t xml:space="preserve">התשע"ו-2015 של חה"כ ציפי </w:t>
      </w:r>
      <w:proofErr w:type="spellStart"/>
      <w:r w:rsidRPr="00EB1C51">
        <w:rPr>
          <w:rFonts w:cs="David" w:hint="cs"/>
          <w:b/>
          <w:bCs/>
          <w:sz w:val="28"/>
          <w:szCs w:val="28"/>
          <w:u w:val="single"/>
          <w:rtl/>
        </w:rPr>
        <w:t>ליבני</w:t>
      </w:r>
      <w:proofErr w:type="spellEnd"/>
      <w:r w:rsidRPr="00EB1C51">
        <w:rPr>
          <w:rFonts w:cs="David" w:hint="cs"/>
          <w:b/>
          <w:bCs/>
          <w:sz w:val="28"/>
          <w:szCs w:val="28"/>
          <w:u w:val="single"/>
          <w:rtl/>
        </w:rPr>
        <w:t xml:space="preserve"> (פ/2136/20) </w:t>
      </w:r>
      <w:r w:rsidRPr="00EB1C51">
        <w:rPr>
          <w:rFonts w:cs="David"/>
          <w:b/>
          <w:bCs/>
          <w:sz w:val="28"/>
          <w:szCs w:val="28"/>
          <w:u w:val="single"/>
          <w:rtl/>
        </w:rPr>
        <w:t>–</w:t>
      </w:r>
      <w:r w:rsidR="008376D7">
        <w:rPr>
          <w:rFonts w:cs="David" w:hint="cs"/>
          <w:b/>
          <w:bCs/>
          <w:sz w:val="28"/>
          <w:szCs w:val="28"/>
          <w:u w:val="single"/>
          <w:rtl/>
        </w:rPr>
        <w:t>סוגיות עקרוניות</w:t>
      </w:r>
    </w:p>
    <w:p w:rsidR="00D122F2" w:rsidRPr="00F25917" w:rsidRDefault="00D122F2" w:rsidP="008376D7">
      <w:pPr>
        <w:shd w:val="clear" w:color="auto" w:fill="808080" w:themeFill="background1" w:themeFillShade="80"/>
        <w:spacing w:after="240" w:line="240" w:lineRule="auto"/>
        <w:jc w:val="center"/>
        <w:rPr>
          <w:rFonts w:cs="David"/>
          <w:b/>
          <w:bCs/>
          <w:sz w:val="32"/>
          <w:szCs w:val="32"/>
          <w:shd w:val="clear" w:color="auto" w:fill="A6A6A6" w:themeFill="background1" w:themeFillShade="A6"/>
          <w:rtl/>
        </w:rPr>
      </w:pPr>
      <w:r w:rsidRPr="00F25917">
        <w:rPr>
          <w:rFonts w:cs="David" w:hint="cs"/>
          <w:b/>
          <w:bCs/>
          <w:sz w:val="32"/>
          <w:szCs w:val="32"/>
          <w:shd w:val="clear" w:color="auto" w:fill="A6A6A6" w:themeFill="background1" w:themeFillShade="A6"/>
          <w:rtl/>
        </w:rPr>
        <w:t>כללי</w:t>
      </w:r>
    </w:p>
    <w:p w:rsidR="00627C1F" w:rsidRPr="00F25917" w:rsidRDefault="00497B8A" w:rsidP="00015FC3">
      <w:pPr>
        <w:spacing w:after="100" w:line="312" w:lineRule="auto"/>
        <w:rPr>
          <w:rFonts w:cs="David"/>
          <w:sz w:val="24"/>
          <w:rtl/>
        </w:rPr>
      </w:pPr>
      <w:r w:rsidRPr="00F25917">
        <w:rPr>
          <w:rFonts w:cs="David" w:hint="cs"/>
          <w:sz w:val="24"/>
          <w:rtl/>
        </w:rPr>
        <w:t>הקמת גוף ביקורת</w:t>
      </w:r>
      <w:r w:rsidR="00A4306B" w:rsidRPr="00F25917">
        <w:rPr>
          <w:rFonts w:cs="David" w:hint="cs"/>
          <w:sz w:val="24"/>
          <w:rtl/>
        </w:rPr>
        <w:t xml:space="preserve"> על </w:t>
      </w:r>
      <w:r w:rsidR="009F131D" w:rsidRPr="00F25917">
        <w:rPr>
          <w:rFonts w:cs="David" w:hint="cs"/>
          <w:sz w:val="24"/>
          <w:rtl/>
        </w:rPr>
        <w:t xml:space="preserve">מייצגי </w:t>
      </w:r>
      <w:r w:rsidR="00A4306B" w:rsidRPr="00F25917">
        <w:rPr>
          <w:rFonts w:cs="David" w:hint="cs"/>
          <w:sz w:val="24"/>
          <w:rtl/>
        </w:rPr>
        <w:t xml:space="preserve">המדינה בערכאות </w:t>
      </w:r>
      <w:r w:rsidR="00944A2E" w:rsidRPr="00F25917">
        <w:rPr>
          <w:rFonts w:cs="David" w:hint="cs"/>
          <w:sz w:val="24"/>
          <w:rtl/>
        </w:rPr>
        <w:t>היא סוגיה מורכבת ורגישה</w:t>
      </w:r>
      <w:r w:rsidR="00E13B65" w:rsidRPr="00F25917">
        <w:rPr>
          <w:rFonts w:cs="David" w:hint="cs"/>
          <w:sz w:val="24"/>
          <w:rtl/>
        </w:rPr>
        <w:t xml:space="preserve">, והיא דורשת איזון בין שני קטבים: </w:t>
      </w:r>
      <w:r w:rsidR="00944A2E" w:rsidRPr="00F25917">
        <w:rPr>
          <w:rFonts w:cs="David" w:hint="cs"/>
          <w:sz w:val="24"/>
          <w:rtl/>
        </w:rPr>
        <w:t>מצד אחד, נוכח הסמכויות הנרחבות הנתונות בידי מערך ייצוג המדינה בערכאות</w:t>
      </w:r>
      <w:r w:rsidR="00627C1F" w:rsidRPr="00F25917">
        <w:rPr>
          <w:rFonts w:cs="David" w:hint="cs"/>
          <w:sz w:val="24"/>
          <w:rtl/>
        </w:rPr>
        <w:t xml:space="preserve"> והמאפיינים הייחודים שלו, </w:t>
      </w:r>
      <w:r w:rsidR="00015FC3">
        <w:rPr>
          <w:rFonts w:cs="David" w:hint="cs"/>
          <w:sz w:val="24"/>
          <w:rtl/>
        </w:rPr>
        <w:t>יש צורך ב</w:t>
      </w:r>
      <w:r w:rsidR="00627C1F" w:rsidRPr="00F25917">
        <w:rPr>
          <w:rFonts w:cs="David" w:hint="cs"/>
          <w:sz w:val="24"/>
          <w:rtl/>
        </w:rPr>
        <w:t xml:space="preserve">פיקוח </w:t>
      </w:r>
      <w:r w:rsidR="00ED2ABE">
        <w:rPr>
          <w:rFonts w:cs="David" w:hint="cs"/>
          <w:sz w:val="24"/>
          <w:rtl/>
        </w:rPr>
        <w:t xml:space="preserve">וביקורת על </w:t>
      </w:r>
      <w:r w:rsidR="00015FC3">
        <w:rPr>
          <w:rFonts w:cs="David" w:hint="cs"/>
          <w:sz w:val="24"/>
          <w:rtl/>
        </w:rPr>
        <w:t>מערך זה</w:t>
      </w:r>
      <w:r w:rsidR="00ED2ABE">
        <w:rPr>
          <w:rFonts w:cs="David" w:hint="cs"/>
          <w:sz w:val="24"/>
          <w:rtl/>
        </w:rPr>
        <w:t xml:space="preserve">, </w:t>
      </w:r>
      <w:r w:rsidR="00627C1F" w:rsidRPr="00F25917">
        <w:rPr>
          <w:rFonts w:cs="David" w:hint="cs"/>
          <w:sz w:val="24"/>
          <w:rtl/>
        </w:rPr>
        <w:t>כדי להבטיח שהמייצגים יפעלו תמיד על הצד הטוב ביותר תוך שמירה על זכויות האדם ועל האינטרס הציבורי.</w:t>
      </w:r>
      <w:r w:rsidR="00E13B65" w:rsidRPr="00F25917">
        <w:rPr>
          <w:rFonts w:cs="David" w:hint="cs"/>
          <w:sz w:val="24"/>
          <w:rtl/>
        </w:rPr>
        <w:t xml:space="preserve"> </w:t>
      </w:r>
      <w:r w:rsidR="00627C1F" w:rsidRPr="00F25917">
        <w:rPr>
          <w:rFonts w:cs="David" w:hint="cs"/>
          <w:sz w:val="24"/>
          <w:rtl/>
        </w:rPr>
        <w:t>מצד שני, יש להבטיח כי הפיקוח והביקורת לא ישמשו ליצירת כלי ניגוח נגד מייצגים שישמש כדי להרתיע את המייצגים מלבצע את תפקידם, וכי תישמר עצמאות</w:t>
      </w:r>
      <w:r w:rsidR="00BC41C6" w:rsidRPr="00F25917">
        <w:rPr>
          <w:rFonts w:cs="David" w:hint="cs"/>
          <w:sz w:val="24"/>
          <w:rtl/>
        </w:rPr>
        <w:t xml:space="preserve">ם של המייצגים </w:t>
      </w:r>
      <w:r w:rsidR="00627C1F" w:rsidRPr="00F25917">
        <w:rPr>
          <w:rFonts w:cs="David" w:hint="cs"/>
          <w:sz w:val="24"/>
          <w:rtl/>
        </w:rPr>
        <w:t xml:space="preserve">והיכולת של כל </w:t>
      </w:r>
      <w:r w:rsidR="00BC41C6" w:rsidRPr="00F25917">
        <w:rPr>
          <w:rFonts w:cs="David" w:hint="cs"/>
          <w:sz w:val="24"/>
          <w:rtl/>
        </w:rPr>
        <w:t xml:space="preserve">אחד מהם </w:t>
      </w:r>
      <w:r w:rsidR="00627C1F" w:rsidRPr="00F25917">
        <w:rPr>
          <w:rFonts w:cs="David" w:hint="cs"/>
          <w:sz w:val="24"/>
          <w:rtl/>
        </w:rPr>
        <w:t>להפעיל שיקול דעת משפטי, באופן עצמאי וללא מורא.</w:t>
      </w:r>
    </w:p>
    <w:p w:rsidR="00E13B65" w:rsidRPr="00F25917" w:rsidRDefault="006778ED" w:rsidP="00BA45B0">
      <w:pPr>
        <w:spacing w:after="100" w:line="312" w:lineRule="auto"/>
        <w:rPr>
          <w:rFonts w:cs="David"/>
          <w:sz w:val="24"/>
          <w:rtl/>
        </w:rPr>
      </w:pPr>
      <w:r w:rsidRPr="00F25917">
        <w:rPr>
          <w:rFonts w:cs="David" w:hint="cs"/>
          <w:sz w:val="24"/>
          <w:rtl/>
        </w:rPr>
        <w:t>המתח בין הקטבים השונים דורש כי הטיפול בהצעות החוק המונחות על שולחן הוועדה</w:t>
      </w:r>
      <w:r w:rsidR="00F735BC">
        <w:rPr>
          <w:rFonts w:cs="David" w:hint="cs"/>
          <w:sz w:val="24"/>
          <w:rtl/>
        </w:rPr>
        <w:t>,</w:t>
      </w:r>
      <w:r w:rsidRPr="00F25917">
        <w:rPr>
          <w:rFonts w:cs="David" w:hint="cs"/>
          <w:sz w:val="24"/>
          <w:rtl/>
        </w:rPr>
        <w:t xml:space="preserve"> ייעשה באופן </w:t>
      </w:r>
      <w:r w:rsidR="00E13B65" w:rsidRPr="00F25917">
        <w:rPr>
          <w:rFonts w:cs="David" w:hint="cs"/>
          <w:sz w:val="24"/>
          <w:rtl/>
        </w:rPr>
        <w:t>זהיר ומאוזן.</w:t>
      </w:r>
    </w:p>
    <w:p w:rsidR="00497B8A" w:rsidRDefault="00497B8A" w:rsidP="00BA45B0">
      <w:pPr>
        <w:spacing w:after="100" w:line="312" w:lineRule="auto"/>
        <w:rPr>
          <w:rFonts w:cs="David"/>
          <w:sz w:val="24"/>
          <w:rtl/>
        </w:rPr>
      </w:pPr>
    </w:p>
    <w:p w:rsidR="004924FD" w:rsidRPr="00AE0A0B" w:rsidRDefault="004924FD" w:rsidP="008376D7">
      <w:pPr>
        <w:shd w:val="clear" w:color="auto" w:fill="808080" w:themeFill="background1" w:themeFillShade="80"/>
        <w:spacing w:after="240" w:line="240" w:lineRule="auto"/>
        <w:jc w:val="center"/>
        <w:rPr>
          <w:rFonts w:cs="David"/>
          <w:b/>
          <w:bCs/>
          <w:sz w:val="24"/>
          <w:rtl/>
        </w:rPr>
      </w:pPr>
      <w:r w:rsidRPr="00AE0A0B">
        <w:rPr>
          <w:rFonts w:cs="David" w:hint="cs"/>
          <w:b/>
          <w:bCs/>
          <w:sz w:val="32"/>
          <w:szCs w:val="32"/>
          <w:shd w:val="clear" w:color="auto" w:fill="A6A6A6" w:themeFill="background1" w:themeFillShade="A6"/>
          <w:rtl/>
        </w:rPr>
        <w:t xml:space="preserve">ביקורת על מערך הייצוג בערכאות </w:t>
      </w:r>
      <w:r w:rsidRPr="00AE0A0B">
        <w:rPr>
          <w:rFonts w:cs="David"/>
          <w:b/>
          <w:bCs/>
          <w:sz w:val="32"/>
          <w:szCs w:val="32"/>
          <w:shd w:val="clear" w:color="auto" w:fill="A6A6A6" w:themeFill="background1" w:themeFillShade="A6"/>
          <w:rtl/>
        </w:rPr>
        <w:t>–</w:t>
      </w:r>
      <w:r w:rsidRPr="00AE0A0B">
        <w:rPr>
          <w:rFonts w:cs="David" w:hint="cs"/>
          <w:b/>
          <w:bCs/>
          <w:sz w:val="32"/>
          <w:szCs w:val="32"/>
          <w:shd w:val="clear" w:color="auto" w:fill="A6A6A6" w:themeFill="background1" w:themeFillShade="A6"/>
          <w:rtl/>
        </w:rPr>
        <w:t xml:space="preserve"> רקע</w:t>
      </w:r>
    </w:p>
    <w:p w:rsidR="00BF2D31" w:rsidRPr="000724EC" w:rsidRDefault="001F3992" w:rsidP="00C04BFE">
      <w:pPr>
        <w:spacing w:after="100" w:line="312" w:lineRule="auto"/>
        <w:rPr>
          <w:rFonts w:cs="David"/>
          <w:sz w:val="24"/>
          <w:rtl/>
        </w:rPr>
      </w:pPr>
      <w:r w:rsidRPr="000724EC">
        <w:rPr>
          <w:rFonts w:cs="David" w:hint="cs"/>
          <w:sz w:val="24"/>
          <w:rtl/>
        </w:rPr>
        <w:t>שאלת הצורך בביקורת על מערך הייצוג בערכאות עלתה בשנים האחרונות על סדר היום הציבורי</w:t>
      </w:r>
      <w:r w:rsidR="00802B4E" w:rsidRPr="000724EC">
        <w:rPr>
          <w:rFonts w:cs="David" w:hint="cs"/>
          <w:sz w:val="24"/>
          <w:rtl/>
        </w:rPr>
        <w:t xml:space="preserve"> מספר פעמים</w:t>
      </w:r>
      <w:r w:rsidRPr="000724EC">
        <w:rPr>
          <w:rFonts w:cs="David" w:hint="cs"/>
          <w:sz w:val="24"/>
          <w:rtl/>
        </w:rPr>
        <w:t>. בשנת 2011 הונחו על שולחן הכנסת שתי הצעות חוק פרטיות שעניינן הצעה ל</w:t>
      </w:r>
      <w:r w:rsidR="00275571" w:rsidRPr="000724EC">
        <w:rPr>
          <w:rFonts w:cs="David" w:hint="cs"/>
          <w:sz w:val="24"/>
          <w:rtl/>
        </w:rPr>
        <w:t>ה</w:t>
      </w:r>
      <w:r w:rsidRPr="000724EC">
        <w:rPr>
          <w:rFonts w:cs="David" w:hint="cs"/>
          <w:sz w:val="24"/>
          <w:rtl/>
        </w:rPr>
        <w:t>קים גוף ביקורת על מערך התביעה</w:t>
      </w:r>
      <w:r w:rsidRPr="000724EC">
        <w:rPr>
          <w:rStyle w:val="aa"/>
          <w:rFonts w:cs="David"/>
          <w:sz w:val="24"/>
          <w:rtl/>
        </w:rPr>
        <w:footnoteReference w:id="1"/>
      </w:r>
      <w:r w:rsidR="00244039" w:rsidRPr="000724EC">
        <w:rPr>
          <w:rFonts w:cs="David" w:hint="cs"/>
          <w:sz w:val="24"/>
          <w:rtl/>
        </w:rPr>
        <w:t xml:space="preserve">, </w:t>
      </w:r>
      <w:r w:rsidR="00D02991" w:rsidRPr="000724EC">
        <w:rPr>
          <w:rFonts w:cs="David" w:hint="cs"/>
          <w:sz w:val="24"/>
          <w:rtl/>
        </w:rPr>
        <w:t xml:space="preserve">שהליך החקיקה שלהן לא התקדם. במקביל </w:t>
      </w:r>
      <w:r w:rsidR="00275571" w:rsidRPr="000724EC">
        <w:rPr>
          <w:rFonts w:cs="David" w:hint="cs"/>
          <w:sz w:val="24"/>
          <w:rtl/>
        </w:rPr>
        <w:t xml:space="preserve">הוועדה לענייני ביקורת המדינה קיימה מספר </w:t>
      </w:r>
      <w:r w:rsidR="00D02991" w:rsidRPr="000724EC">
        <w:rPr>
          <w:rFonts w:cs="David" w:hint="cs"/>
          <w:sz w:val="24"/>
          <w:rtl/>
        </w:rPr>
        <w:t xml:space="preserve">לא מבוטל של </w:t>
      </w:r>
      <w:r w:rsidR="00275571" w:rsidRPr="000724EC">
        <w:rPr>
          <w:rFonts w:cs="David" w:hint="cs"/>
          <w:sz w:val="24"/>
          <w:rtl/>
        </w:rPr>
        <w:t>ישיבות בנושא</w:t>
      </w:r>
      <w:r w:rsidR="00D02991" w:rsidRPr="000724EC">
        <w:rPr>
          <w:rFonts w:cs="David" w:hint="cs"/>
          <w:sz w:val="24"/>
          <w:rtl/>
        </w:rPr>
        <w:t xml:space="preserve"> בשנים 2011 ו-2012.</w:t>
      </w:r>
    </w:p>
    <w:p w:rsidR="00812398" w:rsidRPr="000724EC" w:rsidRDefault="00750DB2" w:rsidP="00C818B7">
      <w:pPr>
        <w:spacing w:after="100" w:line="312" w:lineRule="auto"/>
        <w:rPr>
          <w:rFonts w:cs="David"/>
          <w:sz w:val="24"/>
          <w:rtl/>
        </w:rPr>
      </w:pPr>
      <w:r w:rsidRPr="000724EC">
        <w:rPr>
          <w:rFonts w:cs="David" w:hint="cs"/>
          <w:sz w:val="24"/>
          <w:rtl/>
        </w:rPr>
        <w:t xml:space="preserve">בעקבות זאת, במרס 2011 הקים היועץ המשפטי לממשלה דאז, עו"ד יהודה </w:t>
      </w:r>
      <w:proofErr w:type="spellStart"/>
      <w:r w:rsidRPr="000724EC">
        <w:rPr>
          <w:rFonts w:cs="David" w:hint="cs"/>
          <w:sz w:val="24"/>
          <w:rtl/>
        </w:rPr>
        <w:t>ו</w:t>
      </w:r>
      <w:r w:rsidR="00281C55" w:rsidRPr="000724EC">
        <w:rPr>
          <w:rFonts w:cs="David" w:hint="cs"/>
          <w:sz w:val="24"/>
          <w:rtl/>
        </w:rPr>
        <w:t>י</w:t>
      </w:r>
      <w:r w:rsidRPr="000724EC">
        <w:rPr>
          <w:rFonts w:cs="David" w:hint="cs"/>
          <w:sz w:val="24"/>
          <w:rtl/>
        </w:rPr>
        <w:t>ינשטיין</w:t>
      </w:r>
      <w:proofErr w:type="spellEnd"/>
      <w:r w:rsidRPr="000724EC">
        <w:rPr>
          <w:rFonts w:cs="David" w:hint="cs"/>
          <w:sz w:val="24"/>
          <w:rtl/>
        </w:rPr>
        <w:t>, צוות לבחינת אפשרות היישום של הקמת נציבות תלונות על הפרקליטות</w:t>
      </w:r>
      <w:r w:rsidR="00812398" w:rsidRPr="000724EC">
        <w:rPr>
          <w:rFonts w:cs="David" w:hint="cs"/>
          <w:sz w:val="24"/>
          <w:rtl/>
        </w:rPr>
        <w:t xml:space="preserve"> (להלן </w:t>
      </w:r>
      <w:r w:rsidR="00812398" w:rsidRPr="000724EC">
        <w:rPr>
          <w:rFonts w:cs="David"/>
          <w:sz w:val="24"/>
          <w:rtl/>
        </w:rPr>
        <w:t>–</w:t>
      </w:r>
      <w:r w:rsidR="00812398" w:rsidRPr="000724EC">
        <w:rPr>
          <w:rFonts w:cs="David" w:hint="cs"/>
          <w:sz w:val="24"/>
          <w:rtl/>
        </w:rPr>
        <w:t xml:space="preserve"> הצוות)</w:t>
      </w:r>
      <w:r w:rsidR="00281C55" w:rsidRPr="000724EC">
        <w:rPr>
          <w:rFonts w:cs="David" w:hint="cs"/>
          <w:sz w:val="24"/>
          <w:rtl/>
        </w:rPr>
        <w:t xml:space="preserve">. </w:t>
      </w:r>
      <w:r w:rsidR="00812398" w:rsidRPr="000724EC">
        <w:rPr>
          <w:rFonts w:cs="David" w:hint="cs"/>
          <w:sz w:val="24"/>
          <w:rtl/>
        </w:rPr>
        <w:t xml:space="preserve">באפריל 2012, הגיש הצוות את הדוח הסופי ליועץ המשפטי לממשלה (להלן </w:t>
      </w:r>
      <w:r w:rsidR="00812398" w:rsidRPr="000724EC">
        <w:rPr>
          <w:rFonts w:cs="David"/>
          <w:sz w:val="24"/>
          <w:rtl/>
        </w:rPr>
        <w:t>–</w:t>
      </w:r>
      <w:r w:rsidR="00812398" w:rsidRPr="000724EC">
        <w:rPr>
          <w:rFonts w:cs="David" w:hint="cs"/>
          <w:sz w:val="24"/>
          <w:rtl/>
        </w:rPr>
        <w:t xml:space="preserve"> דוח הצוות). כותבי הדוח סברו שאין צורך בהקמת גוף נוסף שיברר </w:t>
      </w:r>
      <w:r w:rsidR="00812398" w:rsidRPr="00497B8A">
        <w:rPr>
          <w:rFonts w:cs="David" w:hint="cs"/>
          <w:sz w:val="24"/>
          <w:u w:val="single"/>
          <w:rtl/>
        </w:rPr>
        <w:t xml:space="preserve">תלונות </w:t>
      </w:r>
      <w:r w:rsidR="00497B8A" w:rsidRPr="00497B8A">
        <w:rPr>
          <w:rFonts w:cs="David" w:hint="cs"/>
          <w:sz w:val="24"/>
          <w:u w:val="single"/>
          <w:rtl/>
        </w:rPr>
        <w:t>פרטניות</w:t>
      </w:r>
      <w:r w:rsidR="00497B8A">
        <w:rPr>
          <w:rFonts w:cs="David" w:hint="cs"/>
          <w:sz w:val="24"/>
          <w:rtl/>
        </w:rPr>
        <w:t xml:space="preserve"> </w:t>
      </w:r>
      <w:r w:rsidR="00812398" w:rsidRPr="000724EC">
        <w:rPr>
          <w:rFonts w:cs="David" w:hint="cs"/>
          <w:sz w:val="24"/>
          <w:rtl/>
        </w:rPr>
        <w:t>על מערך הייצוג בערכאות</w:t>
      </w:r>
      <w:r w:rsidR="004C38FF" w:rsidRPr="000724EC">
        <w:rPr>
          <w:rStyle w:val="aa"/>
          <w:rFonts w:cs="David"/>
          <w:sz w:val="24"/>
          <w:rtl/>
        </w:rPr>
        <w:footnoteReference w:id="2"/>
      </w:r>
      <w:r w:rsidR="00812398" w:rsidRPr="000724EC">
        <w:rPr>
          <w:rFonts w:cs="David" w:hint="cs"/>
          <w:sz w:val="24"/>
          <w:rtl/>
        </w:rPr>
        <w:t xml:space="preserve"> (להלן </w:t>
      </w:r>
      <w:r w:rsidR="00812398" w:rsidRPr="000724EC">
        <w:rPr>
          <w:rFonts w:cs="David"/>
          <w:sz w:val="24"/>
          <w:rtl/>
        </w:rPr>
        <w:t>–</w:t>
      </w:r>
      <w:r w:rsidR="00812398" w:rsidRPr="000724EC">
        <w:rPr>
          <w:rFonts w:cs="David" w:hint="cs"/>
          <w:sz w:val="24"/>
          <w:rtl/>
        </w:rPr>
        <w:t xml:space="preserve"> מערך הייצוג), אך יש צורך בגוף ייעודי שיערוך </w:t>
      </w:r>
      <w:r w:rsidR="00812398" w:rsidRPr="00497B8A">
        <w:rPr>
          <w:rFonts w:cs="David" w:hint="cs"/>
          <w:sz w:val="24"/>
          <w:u w:val="single"/>
          <w:rtl/>
        </w:rPr>
        <w:t>ביקורות מערכתיות</w:t>
      </w:r>
      <w:r w:rsidR="00812398" w:rsidRPr="000724EC">
        <w:rPr>
          <w:rFonts w:cs="David" w:hint="cs"/>
          <w:sz w:val="24"/>
          <w:rtl/>
        </w:rPr>
        <w:t xml:space="preserve"> על מערך הייצוג</w:t>
      </w:r>
      <w:r w:rsidR="004C38FF" w:rsidRPr="000724EC">
        <w:rPr>
          <w:rFonts w:cs="David" w:hint="cs"/>
          <w:sz w:val="24"/>
          <w:rtl/>
        </w:rPr>
        <w:t>. ב</w:t>
      </w:r>
      <w:r w:rsidR="00812398" w:rsidRPr="000724EC">
        <w:rPr>
          <w:rFonts w:cs="David" w:hint="cs"/>
          <w:sz w:val="24"/>
          <w:rtl/>
        </w:rPr>
        <w:t>עניין זה נחלקו חברי הצוות באשר למודל הביקורת הרצוי והציגו שני מודלים. המודל הראשון</w:t>
      </w:r>
      <w:r w:rsidR="00497B8A">
        <w:rPr>
          <w:rFonts w:cs="David" w:hint="cs"/>
          <w:sz w:val="24"/>
          <w:rtl/>
        </w:rPr>
        <w:t xml:space="preserve"> (שבו תמכו </w:t>
      </w:r>
      <w:r w:rsidR="0037701C">
        <w:rPr>
          <w:rFonts w:cs="David" w:hint="cs"/>
          <w:sz w:val="24"/>
          <w:rtl/>
        </w:rPr>
        <w:t>ארבעה</w:t>
      </w:r>
      <w:r w:rsidR="00497B8A">
        <w:rPr>
          <w:rFonts w:cs="David" w:hint="cs"/>
          <w:sz w:val="24"/>
          <w:rtl/>
        </w:rPr>
        <w:t xml:space="preserve"> </w:t>
      </w:r>
      <w:r w:rsidR="00C818B7">
        <w:rPr>
          <w:rFonts w:cs="David" w:hint="cs"/>
          <w:sz w:val="24"/>
          <w:rtl/>
        </w:rPr>
        <w:t>נציגי ה</w:t>
      </w:r>
      <w:r w:rsidR="0037701C">
        <w:rPr>
          <w:rFonts w:cs="David" w:hint="cs"/>
          <w:sz w:val="24"/>
          <w:rtl/>
        </w:rPr>
        <w:t>פרקליט</w:t>
      </w:r>
      <w:r w:rsidR="00C818B7">
        <w:rPr>
          <w:rFonts w:cs="David" w:hint="cs"/>
          <w:sz w:val="24"/>
          <w:rtl/>
        </w:rPr>
        <w:t>ות</w:t>
      </w:r>
      <w:r w:rsidR="00497B8A">
        <w:rPr>
          <w:rFonts w:cs="David" w:hint="cs"/>
          <w:sz w:val="24"/>
          <w:rtl/>
        </w:rPr>
        <w:t>)</w:t>
      </w:r>
      <w:r w:rsidR="00812398" w:rsidRPr="000724EC">
        <w:rPr>
          <w:rFonts w:cs="David" w:hint="cs"/>
          <w:sz w:val="24"/>
          <w:rtl/>
        </w:rPr>
        <w:t xml:space="preserve">, </w:t>
      </w:r>
      <w:r w:rsidR="004C38FF" w:rsidRPr="000724EC">
        <w:rPr>
          <w:rFonts w:cs="David" w:hint="cs"/>
          <w:sz w:val="24"/>
          <w:rtl/>
        </w:rPr>
        <w:t xml:space="preserve">ביקש </w:t>
      </w:r>
      <w:r w:rsidR="00812398" w:rsidRPr="000724EC">
        <w:rPr>
          <w:rFonts w:cs="David" w:hint="cs"/>
          <w:sz w:val="24"/>
          <w:rtl/>
        </w:rPr>
        <w:t>להשתמש בפלטפורמה החוקית הקיימת של מבקר המדינה ולהקים מחלקה ייעודית בתוך מבקר המדינה שתפקידו יהיה ביקורת שוטפת, יזומה ומערכתית על מערך הייצוג. המודל השני</w:t>
      </w:r>
      <w:r w:rsidR="00497B8A">
        <w:rPr>
          <w:rFonts w:cs="David" w:hint="cs"/>
          <w:sz w:val="24"/>
          <w:rtl/>
        </w:rPr>
        <w:t xml:space="preserve"> (שבו תמכו ארבעה משנים של היועץ המשפטי לממשלה)</w:t>
      </w:r>
      <w:r w:rsidR="00812398" w:rsidRPr="000724EC">
        <w:rPr>
          <w:rFonts w:cs="David" w:hint="cs"/>
          <w:sz w:val="24"/>
          <w:rtl/>
        </w:rPr>
        <w:t xml:space="preserve">, </w:t>
      </w:r>
      <w:r w:rsidR="004C38FF" w:rsidRPr="000724EC">
        <w:rPr>
          <w:rFonts w:cs="David" w:hint="cs"/>
          <w:sz w:val="24"/>
          <w:rtl/>
        </w:rPr>
        <w:t xml:space="preserve">הציע </w:t>
      </w:r>
      <w:r w:rsidR="00812398" w:rsidRPr="000724EC">
        <w:rPr>
          <w:rFonts w:cs="David" w:hint="cs"/>
          <w:sz w:val="24"/>
          <w:rtl/>
        </w:rPr>
        <w:t>למנות גורם פנימי בתוך משרד המשפטים, תחת היועץ המשפטי לממשלה, שתפקידו יהיה לערוך ביקורות מערכתיות יזומות ושוטפות על מערך הייצוג.</w:t>
      </w:r>
      <w:r w:rsidR="007E39DA" w:rsidRPr="000724EC">
        <w:rPr>
          <w:rFonts w:cs="David" w:hint="cs"/>
          <w:sz w:val="24"/>
          <w:rtl/>
        </w:rPr>
        <w:t xml:space="preserve"> </w:t>
      </w:r>
    </w:p>
    <w:p w:rsidR="00F97DEA" w:rsidRPr="000724EC" w:rsidRDefault="008A6E60" w:rsidP="00C04BFE">
      <w:pPr>
        <w:spacing w:after="100" w:line="312" w:lineRule="auto"/>
        <w:rPr>
          <w:rFonts w:cs="David"/>
          <w:sz w:val="24"/>
          <w:rtl/>
        </w:rPr>
      </w:pPr>
      <w:r w:rsidRPr="000724EC">
        <w:rPr>
          <w:rFonts w:cs="David" w:hint="cs"/>
          <w:sz w:val="24"/>
          <w:rtl/>
        </w:rPr>
        <w:t xml:space="preserve">בהמשך להמלצות דוח הצוות, חתמו שרת המשפטים דאז, חה"כ ציפי </w:t>
      </w:r>
      <w:proofErr w:type="spellStart"/>
      <w:r w:rsidRPr="000724EC">
        <w:rPr>
          <w:rFonts w:cs="David" w:hint="cs"/>
          <w:sz w:val="24"/>
          <w:rtl/>
        </w:rPr>
        <w:t>ליבני</w:t>
      </w:r>
      <w:proofErr w:type="spellEnd"/>
      <w:r w:rsidRPr="000724EC">
        <w:rPr>
          <w:rFonts w:cs="David" w:hint="cs"/>
          <w:sz w:val="24"/>
          <w:rtl/>
        </w:rPr>
        <w:t xml:space="preserve">, והיועץ המשפטי לממשלה דאז, עו"ד יהודה </w:t>
      </w:r>
      <w:proofErr w:type="spellStart"/>
      <w:r w:rsidRPr="000724EC">
        <w:rPr>
          <w:rFonts w:cs="David" w:hint="cs"/>
          <w:sz w:val="24"/>
          <w:rtl/>
        </w:rPr>
        <w:t>ויינשטיין</w:t>
      </w:r>
      <w:proofErr w:type="spellEnd"/>
      <w:r w:rsidRPr="000724EC">
        <w:rPr>
          <w:rFonts w:cs="David" w:hint="cs"/>
          <w:sz w:val="24"/>
          <w:rtl/>
        </w:rPr>
        <w:t>, בספטמבר 2013, על מסמך עקרונות</w:t>
      </w:r>
      <w:r w:rsidR="00AE0A0B" w:rsidRPr="000724EC">
        <w:rPr>
          <w:rFonts w:cs="David" w:hint="cs"/>
          <w:sz w:val="24"/>
          <w:rtl/>
        </w:rPr>
        <w:t xml:space="preserve"> להקמת נציבות ביקורת על מערך </w:t>
      </w:r>
      <w:r w:rsidR="00AE0A0B" w:rsidRPr="000724EC">
        <w:rPr>
          <w:rFonts w:cs="David" w:hint="cs"/>
          <w:sz w:val="24"/>
          <w:rtl/>
        </w:rPr>
        <w:lastRenderedPageBreak/>
        <w:t xml:space="preserve">התביעה וייצוג המדינה בערכאות (להלן </w:t>
      </w:r>
      <w:r w:rsidR="00AE0A0B" w:rsidRPr="000724EC">
        <w:rPr>
          <w:rFonts w:cs="David"/>
          <w:sz w:val="24"/>
          <w:rtl/>
        </w:rPr>
        <w:t>–</w:t>
      </w:r>
      <w:r w:rsidR="00AE0A0B" w:rsidRPr="000724EC">
        <w:rPr>
          <w:rFonts w:cs="David" w:hint="cs"/>
          <w:sz w:val="24"/>
          <w:rtl/>
        </w:rPr>
        <w:t xml:space="preserve"> מסמך העקרונות).</w:t>
      </w:r>
      <w:r w:rsidRPr="000724EC">
        <w:rPr>
          <w:rFonts w:cs="David" w:hint="cs"/>
          <w:sz w:val="24"/>
          <w:rtl/>
        </w:rPr>
        <w:t xml:space="preserve"> </w:t>
      </w:r>
      <w:r w:rsidR="00AE0A0B" w:rsidRPr="000724EC">
        <w:rPr>
          <w:rFonts w:cs="David" w:hint="cs"/>
          <w:sz w:val="24"/>
          <w:rtl/>
        </w:rPr>
        <w:t xml:space="preserve">לפי מסמך העקרונות </w:t>
      </w:r>
      <w:r w:rsidR="00AE0A0B" w:rsidRPr="000724EC">
        <w:rPr>
          <w:rFonts w:cs="David"/>
          <w:sz w:val="24"/>
          <w:rtl/>
        </w:rPr>
        <w:t>–</w:t>
      </w:r>
      <w:r w:rsidR="00AE0A0B" w:rsidRPr="000724EC">
        <w:rPr>
          <w:rFonts w:cs="David" w:hint="cs"/>
          <w:sz w:val="24"/>
          <w:rtl/>
        </w:rPr>
        <w:t xml:space="preserve"> המבוסס בעיקרו על המודל השני שהוצע בדוח הצוות </w:t>
      </w:r>
      <w:r w:rsidR="00AE0A0B" w:rsidRPr="000724EC">
        <w:rPr>
          <w:rFonts w:cs="David"/>
          <w:sz w:val="24"/>
          <w:rtl/>
        </w:rPr>
        <w:t>–</w:t>
      </w:r>
      <w:r w:rsidR="00AE0A0B" w:rsidRPr="000724EC">
        <w:rPr>
          <w:rFonts w:cs="David" w:hint="cs"/>
          <w:sz w:val="24"/>
          <w:rtl/>
        </w:rPr>
        <w:t xml:space="preserve"> </w:t>
      </w:r>
      <w:r w:rsidR="00F97DEA" w:rsidRPr="000724EC">
        <w:rPr>
          <w:rFonts w:cs="David" w:hint="cs"/>
          <w:sz w:val="24"/>
          <w:rtl/>
        </w:rPr>
        <w:t xml:space="preserve">תוקם נציבות בתוך משרד המשפטים שתפקידיה יהיו: </w:t>
      </w:r>
    </w:p>
    <w:p w:rsidR="00F97DEA" w:rsidRPr="000724EC" w:rsidRDefault="00F97DEA" w:rsidP="00C04BFE">
      <w:pPr>
        <w:spacing w:after="100" w:line="312" w:lineRule="auto"/>
        <w:rPr>
          <w:rFonts w:cs="David"/>
          <w:sz w:val="24"/>
          <w:rtl/>
        </w:rPr>
      </w:pPr>
      <w:r w:rsidRPr="000724EC">
        <w:rPr>
          <w:rFonts w:cs="David" w:hint="cs"/>
          <w:sz w:val="24"/>
          <w:rtl/>
        </w:rPr>
        <w:t xml:space="preserve">(1) </w:t>
      </w:r>
      <w:r w:rsidRPr="000724EC">
        <w:rPr>
          <w:rFonts w:cs="David"/>
          <w:sz w:val="24"/>
          <w:rtl/>
        </w:rPr>
        <w:t xml:space="preserve">לבצע </w:t>
      </w:r>
      <w:r w:rsidRPr="000724EC">
        <w:rPr>
          <w:rFonts w:cs="David" w:hint="cs"/>
          <w:sz w:val="24"/>
          <w:rtl/>
        </w:rPr>
        <w:t xml:space="preserve">ביקורת </w:t>
      </w:r>
      <w:r w:rsidRPr="000724EC">
        <w:rPr>
          <w:rFonts w:cs="David"/>
          <w:sz w:val="24"/>
          <w:rtl/>
        </w:rPr>
        <w:t>מערכתית, שתעסוק בהיבטים</w:t>
      </w:r>
      <w:r w:rsidRPr="000724EC">
        <w:rPr>
          <w:rFonts w:cs="David" w:hint="cs"/>
          <w:sz w:val="24"/>
          <w:rtl/>
        </w:rPr>
        <w:t xml:space="preserve"> </w:t>
      </w:r>
      <w:r w:rsidRPr="000724EC">
        <w:rPr>
          <w:rFonts w:cs="David"/>
          <w:sz w:val="24"/>
          <w:rtl/>
        </w:rPr>
        <w:t>של ניהול תקין, אחידות ביישום המדיניות והנהלים, שקיפות תהליכי העבודה, אתיקה מקצועית ויעילות</w:t>
      </w:r>
      <w:r w:rsidRPr="000724EC">
        <w:rPr>
          <w:rFonts w:cs="David" w:hint="cs"/>
          <w:sz w:val="24"/>
          <w:rtl/>
        </w:rPr>
        <w:t xml:space="preserve">, וכל זאת מבלי </w:t>
      </w:r>
      <w:r w:rsidRPr="000724EC">
        <w:rPr>
          <w:rFonts w:cs="David"/>
          <w:sz w:val="24"/>
          <w:rtl/>
        </w:rPr>
        <w:t>להתערב בעצמאות שיקול דעתם המקצועית של המבוקרים</w:t>
      </w:r>
      <w:r w:rsidRPr="000724EC">
        <w:rPr>
          <w:rFonts w:cs="David" w:hint="cs"/>
          <w:sz w:val="24"/>
          <w:rtl/>
        </w:rPr>
        <w:t>. תכנית הביקורת השנתית תיקבע על ידי הנציב, כאשר שר המשפטים והיועץ המשפטי לממשלה יהיו רשאים לבקש מהנציב לבצע מטלות ביקורת נוספות.</w:t>
      </w:r>
    </w:p>
    <w:p w:rsidR="00244039" w:rsidRPr="000724EC" w:rsidRDefault="00F97DEA" w:rsidP="00C04BFE">
      <w:pPr>
        <w:spacing w:after="100" w:line="312" w:lineRule="auto"/>
        <w:rPr>
          <w:rFonts w:cs="David"/>
          <w:sz w:val="24"/>
          <w:rtl/>
        </w:rPr>
      </w:pPr>
      <w:r w:rsidRPr="000724EC">
        <w:rPr>
          <w:rFonts w:cs="David" w:hint="cs"/>
          <w:sz w:val="24"/>
          <w:rtl/>
        </w:rPr>
        <w:t xml:space="preserve"> (2) </w:t>
      </w:r>
      <w:r w:rsidRPr="000724EC">
        <w:rPr>
          <w:rFonts w:cs="David"/>
          <w:sz w:val="24"/>
          <w:rtl/>
        </w:rPr>
        <w:t xml:space="preserve">לברר תלונות </w:t>
      </w:r>
      <w:r w:rsidRPr="000724EC">
        <w:rPr>
          <w:rFonts w:cs="David" w:hint="cs"/>
          <w:sz w:val="24"/>
          <w:rtl/>
        </w:rPr>
        <w:t xml:space="preserve">פרטניות על מייצגים במקרים הבאים: הגשת תלונה על ידי עצמו שרואה את עצמו נפגע בשל התנהגות של מייצג; במהלך הבדיקה המערכתית התגלה אירוע שלדעת הנציב יש מקום למצות את בירורו; שר המשפטים או היועץ המשפטי לממשלה ביקשו לברר אירוע מסוים. </w:t>
      </w:r>
    </w:p>
    <w:p w:rsidR="00AE0A0B" w:rsidRPr="000724EC" w:rsidRDefault="00F97DEA" w:rsidP="00C04BFE">
      <w:pPr>
        <w:spacing w:after="100" w:line="312" w:lineRule="auto"/>
        <w:rPr>
          <w:rFonts w:cs="David"/>
          <w:sz w:val="24"/>
          <w:rtl/>
        </w:rPr>
      </w:pPr>
      <w:r w:rsidRPr="000724EC">
        <w:rPr>
          <w:rFonts w:cs="David" w:hint="cs"/>
          <w:sz w:val="24"/>
          <w:rtl/>
        </w:rPr>
        <w:t>על פי מסמך העקרונות</w:t>
      </w:r>
      <w:r w:rsidRPr="000724EC">
        <w:rPr>
          <w:rFonts w:cs="David"/>
          <w:sz w:val="24"/>
          <w:rtl/>
        </w:rPr>
        <w:t xml:space="preserve">, </w:t>
      </w:r>
      <w:r w:rsidRPr="000724EC">
        <w:rPr>
          <w:rFonts w:cs="David" w:hint="cs"/>
          <w:sz w:val="24"/>
          <w:rtl/>
        </w:rPr>
        <w:t>על מנת שלא לפגוע בעצמאות התביעה</w:t>
      </w:r>
      <w:r w:rsidR="004415E0">
        <w:rPr>
          <w:rFonts w:cs="David" w:hint="cs"/>
          <w:sz w:val="24"/>
          <w:rtl/>
        </w:rPr>
        <w:t>,</w:t>
      </w:r>
      <w:r w:rsidRPr="000724EC">
        <w:rPr>
          <w:rFonts w:cs="David" w:hint="cs"/>
          <w:sz w:val="24"/>
          <w:rtl/>
        </w:rPr>
        <w:t xml:space="preserve"> הנציב לא יבדוק </w:t>
      </w:r>
      <w:r w:rsidRPr="000724EC">
        <w:rPr>
          <w:rFonts w:cs="David"/>
          <w:sz w:val="24"/>
          <w:rtl/>
        </w:rPr>
        <w:t>תלונות הנוגעות להפעלת</w:t>
      </w:r>
      <w:r w:rsidRPr="000724EC">
        <w:rPr>
          <w:rFonts w:cs="David" w:hint="cs"/>
          <w:sz w:val="24"/>
          <w:rtl/>
        </w:rPr>
        <w:t xml:space="preserve"> </w:t>
      </w:r>
      <w:r w:rsidRPr="000724EC">
        <w:rPr>
          <w:rFonts w:cs="David"/>
          <w:sz w:val="24"/>
          <w:rtl/>
        </w:rPr>
        <w:t xml:space="preserve">שיקול הדעת המשפטי של התובע, ובמקרה של ספק </w:t>
      </w:r>
      <w:r w:rsidRPr="000724EC">
        <w:rPr>
          <w:rFonts w:cs="David" w:hint="cs"/>
          <w:sz w:val="24"/>
          <w:rtl/>
        </w:rPr>
        <w:t xml:space="preserve">אם מדובר בהפעלת שיקול דעת משפטי </w:t>
      </w:r>
      <w:r w:rsidRPr="000724EC">
        <w:rPr>
          <w:rFonts w:cs="David"/>
          <w:sz w:val="24"/>
          <w:rtl/>
        </w:rPr>
        <w:t>–</w:t>
      </w:r>
      <w:r w:rsidRPr="000724EC">
        <w:rPr>
          <w:rFonts w:cs="David" w:hint="cs"/>
          <w:sz w:val="24"/>
          <w:rtl/>
        </w:rPr>
        <w:t xml:space="preserve"> היועץ המשפטי לממשלה</w:t>
      </w:r>
      <w:r w:rsidRPr="000724EC">
        <w:rPr>
          <w:rFonts w:cs="David"/>
          <w:sz w:val="24"/>
          <w:rtl/>
        </w:rPr>
        <w:t xml:space="preserve"> יכריע. </w:t>
      </w:r>
      <w:r w:rsidRPr="000724EC">
        <w:rPr>
          <w:rFonts w:cs="David" w:hint="cs"/>
          <w:sz w:val="24"/>
          <w:rtl/>
        </w:rPr>
        <w:t xml:space="preserve">כמו כן, כדי להימנע מפגיעה בהליך משפטי מתנהל, נקבע כי ככלל, </w:t>
      </w:r>
      <w:r w:rsidRPr="000724EC">
        <w:rPr>
          <w:rFonts w:cs="David"/>
          <w:sz w:val="24"/>
          <w:rtl/>
        </w:rPr>
        <w:t>תלונה תתברר רק לאחר סיום ההליך המשפטי</w:t>
      </w:r>
      <w:r w:rsidRPr="000724EC">
        <w:rPr>
          <w:rFonts w:cs="David" w:hint="cs"/>
          <w:sz w:val="24"/>
          <w:rtl/>
        </w:rPr>
        <w:t xml:space="preserve">. עוד נקבע, כי הנציבות לא תבדוק תלונה בעניין שניתן להגיש עליו ערר או ערעור על פי דין, או שמתנהלת לגביו חקירת משטרה, וכי </w:t>
      </w:r>
      <w:r w:rsidRPr="000724EC">
        <w:rPr>
          <w:rFonts w:cs="David"/>
          <w:sz w:val="24"/>
          <w:rtl/>
        </w:rPr>
        <w:t xml:space="preserve">הנציב לא </w:t>
      </w:r>
      <w:r w:rsidRPr="000724EC">
        <w:rPr>
          <w:rFonts w:cs="David" w:hint="cs"/>
          <w:sz w:val="24"/>
          <w:rtl/>
        </w:rPr>
        <w:t>י</w:t>
      </w:r>
      <w:r w:rsidRPr="000724EC">
        <w:rPr>
          <w:rFonts w:cs="David"/>
          <w:sz w:val="24"/>
          <w:rtl/>
        </w:rPr>
        <w:t>בדוק</w:t>
      </w:r>
      <w:r w:rsidRPr="000724EC">
        <w:rPr>
          <w:rFonts w:cs="David" w:hint="cs"/>
          <w:sz w:val="24"/>
          <w:rtl/>
        </w:rPr>
        <w:t xml:space="preserve"> </w:t>
      </w:r>
      <w:r w:rsidRPr="000724EC">
        <w:rPr>
          <w:rFonts w:cs="David"/>
          <w:sz w:val="24"/>
          <w:rtl/>
        </w:rPr>
        <w:t xml:space="preserve">את החלטות </w:t>
      </w:r>
      <w:r w:rsidRPr="000724EC">
        <w:rPr>
          <w:rFonts w:cs="David" w:hint="cs"/>
          <w:sz w:val="24"/>
          <w:rtl/>
        </w:rPr>
        <w:t xml:space="preserve">היועץ המשפטי לממשלה בכובעו </w:t>
      </w:r>
      <w:r w:rsidRPr="000724EC">
        <w:rPr>
          <w:rFonts w:cs="David"/>
          <w:sz w:val="24"/>
          <w:rtl/>
        </w:rPr>
        <w:t>כראש התביעה הכללית</w:t>
      </w:r>
      <w:r w:rsidRPr="000724EC">
        <w:rPr>
          <w:rFonts w:cs="David" w:hint="cs"/>
          <w:sz w:val="24"/>
          <w:rtl/>
        </w:rPr>
        <w:t>.</w:t>
      </w:r>
    </w:p>
    <w:p w:rsidR="00F97DEA" w:rsidRPr="000724EC" w:rsidRDefault="00AE0A0B" w:rsidP="00C04BFE">
      <w:pPr>
        <w:spacing w:after="100" w:line="312" w:lineRule="auto"/>
        <w:rPr>
          <w:rFonts w:cs="David"/>
          <w:sz w:val="24"/>
          <w:rtl/>
        </w:rPr>
      </w:pPr>
      <w:r w:rsidRPr="000724EC">
        <w:rPr>
          <w:rFonts w:cs="David" w:hint="cs"/>
          <w:sz w:val="24"/>
          <w:rtl/>
        </w:rPr>
        <w:t>מסמך העקרונות היווה את הבסיס להקמתה של נציבות ביקורת על מערך התביעה וייצוג המדינה בערכאות (</w:t>
      </w:r>
      <w:proofErr w:type="spellStart"/>
      <w:r w:rsidRPr="000724EC">
        <w:rPr>
          <w:rFonts w:cs="David" w:hint="cs"/>
          <w:sz w:val="24"/>
          <w:rtl/>
        </w:rPr>
        <w:t>נבת"מ</w:t>
      </w:r>
      <w:proofErr w:type="spellEnd"/>
      <w:r w:rsidRPr="000724EC">
        <w:rPr>
          <w:rFonts w:cs="David" w:hint="cs"/>
          <w:sz w:val="24"/>
          <w:rtl/>
        </w:rPr>
        <w:t>) באפריל 2014</w:t>
      </w:r>
      <w:r w:rsidR="00F97DEA" w:rsidRPr="000724EC">
        <w:rPr>
          <w:rFonts w:cs="David" w:hint="cs"/>
          <w:sz w:val="24"/>
          <w:rtl/>
        </w:rPr>
        <w:t>.</w:t>
      </w:r>
    </w:p>
    <w:p w:rsidR="00F97DEA" w:rsidRPr="000724EC" w:rsidRDefault="00244039" w:rsidP="002A71F0">
      <w:pPr>
        <w:spacing w:after="100" w:line="312" w:lineRule="auto"/>
        <w:rPr>
          <w:rFonts w:cs="David"/>
          <w:sz w:val="24"/>
          <w:rtl/>
        </w:rPr>
      </w:pPr>
      <w:r w:rsidRPr="000724EC">
        <w:rPr>
          <w:rFonts w:cs="David" w:hint="cs"/>
          <w:sz w:val="24"/>
          <w:rtl/>
        </w:rPr>
        <w:t xml:space="preserve">נוכח הקביעה שבמסמך העקרונות ולפיה בחלוף שנה מיום הקמת </w:t>
      </w:r>
      <w:proofErr w:type="spellStart"/>
      <w:r w:rsidRPr="000724EC">
        <w:rPr>
          <w:rFonts w:cs="David" w:hint="cs"/>
          <w:sz w:val="24"/>
          <w:rtl/>
        </w:rPr>
        <w:t>נתב"מ</w:t>
      </w:r>
      <w:proofErr w:type="spellEnd"/>
      <w:r w:rsidRPr="000724EC">
        <w:rPr>
          <w:rFonts w:cs="David" w:hint="cs"/>
          <w:sz w:val="24"/>
          <w:rtl/>
        </w:rPr>
        <w:t xml:space="preserve"> תיערך בחינה של פעילותה ו</w:t>
      </w:r>
      <w:r w:rsidR="00F97DEA" w:rsidRPr="000724EC">
        <w:rPr>
          <w:rFonts w:cs="David" w:hint="cs"/>
          <w:sz w:val="24"/>
          <w:rtl/>
        </w:rPr>
        <w:t xml:space="preserve">בשל </w:t>
      </w:r>
      <w:r w:rsidRPr="000724EC">
        <w:rPr>
          <w:rFonts w:cs="David" w:hint="cs"/>
          <w:sz w:val="24"/>
          <w:rtl/>
        </w:rPr>
        <w:t>ה</w:t>
      </w:r>
      <w:r w:rsidR="00F97DEA" w:rsidRPr="000724EC">
        <w:rPr>
          <w:rFonts w:cs="David" w:hint="cs"/>
          <w:sz w:val="24"/>
          <w:rtl/>
        </w:rPr>
        <w:t xml:space="preserve">סכסוך </w:t>
      </w:r>
      <w:r w:rsidRPr="000724EC">
        <w:rPr>
          <w:rFonts w:cs="David" w:hint="cs"/>
          <w:sz w:val="24"/>
          <w:rtl/>
        </w:rPr>
        <w:t>ה</w:t>
      </w:r>
      <w:r w:rsidR="00F97DEA" w:rsidRPr="000724EC">
        <w:rPr>
          <w:rFonts w:cs="David" w:hint="cs"/>
          <w:sz w:val="24"/>
          <w:rtl/>
        </w:rPr>
        <w:t xml:space="preserve">מתמשך </w:t>
      </w:r>
      <w:r w:rsidRPr="000724EC">
        <w:rPr>
          <w:rFonts w:cs="David" w:hint="cs"/>
          <w:sz w:val="24"/>
          <w:rtl/>
        </w:rPr>
        <w:t>ש</w:t>
      </w:r>
      <w:r w:rsidR="00F97DEA" w:rsidRPr="000724EC">
        <w:rPr>
          <w:rFonts w:cs="David" w:hint="cs"/>
          <w:sz w:val="24"/>
          <w:rtl/>
        </w:rPr>
        <w:t xml:space="preserve">בין </w:t>
      </w:r>
      <w:proofErr w:type="spellStart"/>
      <w:r w:rsidR="00F97DEA" w:rsidRPr="000724EC">
        <w:rPr>
          <w:rFonts w:cs="David" w:hint="cs"/>
          <w:sz w:val="24"/>
          <w:rtl/>
        </w:rPr>
        <w:t>נבת"מ</w:t>
      </w:r>
      <w:proofErr w:type="spellEnd"/>
      <w:r w:rsidR="00F97DEA" w:rsidRPr="000724EC">
        <w:rPr>
          <w:rFonts w:cs="David" w:hint="cs"/>
          <w:sz w:val="24"/>
          <w:rtl/>
        </w:rPr>
        <w:t xml:space="preserve"> לבין ארגון הפרקליטים, פנו שרת המשפטים, חה"כ איילת שקד, והיועץ המשפטי לממשלה דאז, עו"ד יהודה </w:t>
      </w:r>
      <w:proofErr w:type="spellStart"/>
      <w:r w:rsidR="00F97DEA" w:rsidRPr="000724EC">
        <w:rPr>
          <w:rFonts w:cs="David" w:hint="cs"/>
          <w:sz w:val="24"/>
          <w:rtl/>
        </w:rPr>
        <w:t>ויינשטיין</w:t>
      </w:r>
      <w:proofErr w:type="spellEnd"/>
      <w:r w:rsidR="00F97DEA" w:rsidRPr="000724EC">
        <w:rPr>
          <w:rFonts w:cs="David" w:hint="cs"/>
          <w:sz w:val="24"/>
          <w:rtl/>
        </w:rPr>
        <w:t xml:space="preserve">, ביוני 2015 לשופט בית המשפט העליון </w:t>
      </w:r>
      <w:r w:rsidRPr="000724EC">
        <w:rPr>
          <w:rFonts w:cs="David" w:hint="cs"/>
          <w:sz w:val="24"/>
          <w:rtl/>
        </w:rPr>
        <w:t>(</w:t>
      </w:r>
      <w:r w:rsidR="00F97DEA" w:rsidRPr="000724EC">
        <w:rPr>
          <w:rFonts w:cs="David" w:hint="cs"/>
          <w:sz w:val="24"/>
          <w:rtl/>
        </w:rPr>
        <w:t>בדימוס</w:t>
      </w:r>
      <w:r w:rsidRPr="000724EC">
        <w:rPr>
          <w:rFonts w:cs="David" w:hint="cs"/>
          <w:sz w:val="24"/>
          <w:rtl/>
        </w:rPr>
        <w:t>)</w:t>
      </w:r>
      <w:r w:rsidR="00F97DEA" w:rsidRPr="000724EC">
        <w:rPr>
          <w:rFonts w:cs="David" w:hint="cs"/>
          <w:sz w:val="24"/>
          <w:rtl/>
        </w:rPr>
        <w:t xml:space="preserve"> ומבקר המדינה </w:t>
      </w:r>
      <w:r w:rsidRPr="000724EC">
        <w:rPr>
          <w:rFonts w:cs="David" w:hint="cs"/>
          <w:sz w:val="24"/>
          <w:rtl/>
        </w:rPr>
        <w:t>(</w:t>
      </w:r>
      <w:r w:rsidR="00F97DEA" w:rsidRPr="000724EC">
        <w:rPr>
          <w:rFonts w:cs="David" w:hint="cs"/>
          <w:sz w:val="24"/>
          <w:rtl/>
        </w:rPr>
        <w:t>בדימוס</w:t>
      </w:r>
      <w:r w:rsidRPr="000724EC">
        <w:rPr>
          <w:rFonts w:cs="David" w:hint="cs"/>
          <w:sz w:val="24"/>
          <w:rtl/>
        </w:rPr>
        <w:t>)</w:t>
      </w:r>
      <w:r w:rsidR="00F97DEA" w:rsidRPr="000724EC">
        <w:rPr>
          <w:rFonts w:cs="David" w:hint="cs"/>
          <w:sz w:val="24"/>
          <w:rtl/>
        </w:rPr>
        <w:t xml:space="preserve"> אליעזר גולדברג, בבקשה לבחון את פעילות </w:t>
      </w:r>
      <w:proofErr w:type="spellStart"/>
      <w:r w:rsidR="00F97DEA" w:rsidRPr="000724EC">
        <w:rPr>
          <w:rFonts w:cs="David" w:hint="cs"/>
          <w:sz w:val="24"/>
          <w:rtl/>
        </w:rPr>
        <w:t>נתב"מ</w:t>
      </w:r>
      <w:proofErr w:type="spellEnd"/>
      <w:r w:rsidR="00F97DEA" w:rsidRPr="000724EC">
        <w:rPr>
          <w:rFonts w:cs="David" w:hint="cs"/>
          <w:sz w:val="24"/>
          <w:rtl/>
        </w:rPr>
        <w:t xml:space="preserve">. 4 חודשים לאחר מכן, באוקטובר 2015, הגיש השופט גולדברג את מסקנותיו (להלן </w:t>
      </w:r>
      <w:r w:rsidR="00F97DEA" w:rsidRPr="000724EC">
        <w:rPr>
          <w:rFonts w:cs="David"/>
          <w:sz w:val="24"/>
          <w:rtl/>
        </w:rPr>
        <w:t>–</w:t>
      </w:r>
      <w:r w:rsidR="00F97DEA" w:rsidRPr="000724EC">
        <w:rPr>
          <w:rFonts w:cs="David" w:hint="cs"/>
          <w:sz w:val="24"/>
          <w:rtl/>
        </w:rPr>
        <w:t xml:space="preserve"> דוח גולדברג). המלצות דוח גולדברג גרסו</w:t>
      </w:r>
      <w:r w:rsidRPr="000724EC">
        <w:rPr>
          <w:rFonts w:cs="David" w:hint="cs"/>
          <w:sz w:val="24"/>
          <w:rtl/>
        </w:rPr>
        <w:t>, בניגוד למתווה שבמסמך העקרונות,</w:t>
      </w:r>
      <w:r w:rsidR="00F97DEA" w:rsidRPr="000724EC">
        <w:rPr>
          <w:rFonts w:cs="David" w:hint="cs"/>
          <w:sz w:val="24"/>
          <w:rtl/>
        </w:rPr>
        <w:t xml:space="preserve"> כי יש לפצל בין ש</w:t>
      </w:r>
      <w:r w:rsidR="002A71F0">
        <w:rPr>
          <w:rFonts w:cs="David" w:hint="cs"/>
          <w:sz w:val="24"/>
          <w:rtl/>
        </w:rPr>
        <w:t>נ</w:t>
      </w:r>
      <w:r w:rsidR="00F97DEA" w:rsidRPr="000724EC">
        <w:rPr>
          <w:rFonts w:cs="David" w:hint="cs"/>
          <w:sz w:val="24"/>
          <w:rtl/>
        </w:rPr>
        <w:t xml:space="preserve">י תפקידי הביקורת. את הביקורת המערכתית סבר השופט גולדברג כי יש לבצע באמצעות מבקר פנימי ייעודי שיתמנה במשרד המשפטים, על פי מתכונת חוק הביקורת הפנימית, התשנ"ב-1992 (להלן </w:t>
      </w:r>
      <w:r w:rsidR="00F97DEA" w:rsidRPr="000724EC">
        <w:rPr>
          <w:rFonts w:cs="David"/>
          <w:sz w:val="24"/>
          <w:rtl/>
        </w:rPr>
        <w:t>–</w:t>
      </w:r>
      <w:r w:rsidR="00F97DEA" w:rsidRPr="000724EC">
        <w:rPr>
          <w:rFonts w:cs="David" w:hint="cs"/>
          <w:sz w:val="24"/>
          <w:rtl/>
        </w:rPr>
        <w:t xml:space="preserve"> חוק הביקורת הפנימית), והיועץ המשפטי לממשלה יהיה ממונה עליו.</w:t>
      </w:r>
      <w:r w:rsidR="00255CDD" w:rsidRPr="000724EC">
        <w:rPr>
          <w:rFonts w:cs="David" w:hint="cs"/>
          <w:sz w:val="24"/>
          <w:rtl/>
        </w:rPr>
        <w:t xml:space="preserve"> </w:t>
      </w:r>
      <w:r w:rsidR="00F97DEA" w:rsidRPr="000724EC">
        <w:rPr>
          <w:rFonts w:cs="David" w:hint="cs"/>
          <w:sz w:val="24"/>
          <w:rtl/>
        </w:rPr>
        <w:t xml:space="preserve">במקביל, סבר השופט גולדברג כי יש להקים, מכוח החוק, נציבות תלונות ציבור על מערך ייצוג </w:t>
      </w:r>
      <w:r w:rsidR="007007AB" w:rsidRPr="000724EC">
        <w:rPr>
          <w:rFonts w:cs="David" w:hint="cs"/>
          <w:sz w:val="24"/>
          <w:rtl/>
        </w:rPr>
        <w:t>המדינה בערכאות שתברר תלונות פרטניות על פעולות של מייצגים. כדי להימנע משימוש בנציבות ככלי ניגוח במייצגים, הציע השופט גולדברג</w:t>
      </w:r>
      <w:r w:rsidR="000724EC" w:rsidRPr="000724EC">
        <w:rPr>
          <w:rFonts w:cs="David" w:hint="cs"/>
          <w:sz w:val="24"/>
          <w:rtl/>
        </w:rPr>
        <w:t xml:space="preserve">, בין היתר, את </w:t>
      </w:r>
      <w:r w:rsidR="007007AB" w:rsidRPr="000724EC">
        <w:rPr>
          <w:rFonts w:cs="David" w:hint="cs"/>
          <w:sz w:val="24"/>
          <w:rtl/>
        </w:rPr>
        <w:t xml:space="preserve"> </w:t>
      </w:r>
      <w:r w:rsidR="000724EC" w:rsidRPr="000724EC">
        <w:rPr>
          <w:rFonts w:cs="David" w:hint="cs"/>
          <w:sz w:val="24"/>
          <w:rtl/>
        </w:rPr>
        <w:t>ה</w:t>
      </w:r>
      <w:r w:rsidR="007007AB" w:rsidRPr="000724EC">
        <w:rPr>
          <w:rFonts w:cs="David" w:hint="cs"/>
          <w:sz w:val="24"/>
          <w:rtl/>
        </w:rPr>
        <w:t>סייגים</w:t>
      </w:r>
      <w:r w:rsidR="000724EC" w:rsidRPr="000724EC">
        <w:rPr>
          <w:rFonts w:cs="David" w:hint="cs"/>
          <w:sz w:val="24"/>
          <w:rtl/>
        </w:rPr>
        <w:t xml:space="preserve"> הבאים</w:t>
      </w:r>
      <w:r w:rsidR="007007AB" w:rsidRPr="000724EC">
        <w:rPr>
          <w:rFonts w:cs="David" w:hint="cs"/>
          <w:sz w:val="24"/>
          <w:rtl/>
        </w:rPr>
        <w:t xml:space="preserve">: תפקידו של הנציב יהיה רק להמליץ על ליקויים ודרך תיקונם ולא להטיל סנקציות משמעתיות; תלונה שנוגעת לשיקול הדעת המשפטי של מייצג לא תתברר; המתלונן יידרש לאמת את העובדות הנטענות על ידו בתלונה באמצעות תצהיר; לא תתקבל תלונה אנונימית; לא תתברר תלונה כשההליך תלוי ועומד בבית המשפט, ועוד. המלצה מפורשת בדוח גולדברג </w:t>
      </w:r>
      <w:proofErr w:type="spellStart"/>
      <w:r w:rsidR="007007AB" w:rsidRPr="000724EC">
        <w:rPr>
          <w:rFonts w:cs="David" w:hint="cs"/>
          <w:sz w:val="24"/>
          <w:rtl/>
        </w:rPr>
        <w:t>היתה</w:t>
      </w:r>
      <w:proofErr w:type="spellEnd"/>
      <w:r w:rsidR="007007AB" w:rsidRPr="000724EC">
        <w:rPr>
          <w:rFonts w:cs="David" w:hint="cs"/>
          <w:sz w:val="24"/>
          <w:rtl/>
        </w:rPr>
        <w:t xml:space="preserve"> להכפיף את היועץ המשפטי לממשלה לסמכות הנציב, כך שהנציב יהיה מוסמך לברר תלונה גם כנגד היועץ עצמו.</w:t>
      </w:r>
    </w:p>
    <w:p w:rsidR="006B0975" w:rsidRPr="000724EC" w:rsidRDefault="006B0975" w:rsidP="00C04BFE">
      <w:pPr>
        <w:spacing w:after="100" w:line="312" w:lineRule="auto"/>
        <w:rPr>
          <w:rFonts w:cs="David"/>
          <w:sz w:val="24"/>
          <w:rtl/>
        </w:rPr>
      </w:pPr>
      <w:r w:rsidRPr="000724EC">
        <w:rPr>
          <w:rFonts w:cs="David" w:hint="cs"/>
          <w:sz w:val="24"/>
          <w:rtl/>
        </w:rPr>
        <w:t>כעת, מונחות על שולחן הוועדה שתי הצעות חוק שמאמצות מודלים שונים של ביקורת:</w:t>
      </w:r>
    </w:p>
    <w:p w:rsidR="006B0975" w:rsidRPr="000724EC" w:rsidRDefault="006B0975" w:rsidP="00C04BFE">
      <w:pPr>
        <w:pStyle w:val="a3"/>
        <w:numPr>
          <w:ilvl w:val="0"/>
          <w:numId w:val="9"/>
        </w:numPr>
        <w:spacing w:after="100" w:line="312" w:lineRule="auto"/>
        <w:rPr>
          <w:rFonts w:cs="David"/>
          <w:sz w:val="24"/>
        </w:rPr>
      </w:pPr>
      <w:r w:rsidRPr="000724EC">
        <w:rPr>
          <w:rFonts w:cs="David" w:hint="cs"/>
          <w:sz w:val="24"/>
          <w:rtl/>
        </w:rPr>
        <w:t xml:space="preserve">הצעת חוק נציבות תלונות הציבור על מייצגי המדינה בערכאות, התשע"ו-2016 (להלן </w:t>
      </w:r>
      <w:r w:rsidRPr="000724EC">
        <w:rPr>
          <w:rFonts w:cs="David"/>
          <w:sz w:val="24"/>
          <w:rtl/>
        </w:rPr>
        <w:t>–</w:t>
      </w:r>
      <w:r w:rsidRPr="000724EC">
        <w:rPr>
          <w:rFonts w:cs="David" w:hint="cs"/>
          <w:sz w:val="24"/>
          <w:rtl/>
        </w:rPr>
        <w:t xml:space="preserve"> הצעת החוק הממשלתית), שבמידה רבה משקפת את המלצות דוח גולדברג.</w:t>
      </w:r>
    </w:p>
    <w:p w:rsidR="006B0975" w:rsidRPr="000724EC" w:rsidRDefault="006B0975" w:rsidP="00C04BFE">
      <w:pPr>
        <w:pStyle w:val="a3"/>
        <w:numPr>
          <w:ilvl w:val="0"/>
          <w:numId w:val="9"/>
        </w:numPr>
        <w:spacing w:after="100" w:line="312" w:lineRule="auto"/>
        <w:rPr>
          <w:rFonts w:cs="David"/>
          <w:sz w:val="24"/>
          <w:rtl/>
        </w:rPr>
      </w:pPr>
      <w:r w:rsidRPr="000724EC">
        <w:rPr>
          <w:rFonts w:cs="David" w:hint="cs"/>
          <w:sz w:val="24"/>
          <w:rtl/>
        </w:rPr>
        <w:t xml:space="preserve">הצעת חוק נציבות ביקורת על מערך התביעה וייצוג המדינה בערכאות, התשע"ו-2015, של חה"כ ציפי </w:t>
      </w:r>
      <w:proofErr w:type="spellStart"/>
      <w:r w:rsidRPr="000724EC">
        <w:rPr>
          <w:rFonts w:cs="David" w:hint="cs"/>
          <w:sz w:val="24"/>
          <w:rtl/>
        </w:rPr>
        <w:t>ליבני</w:t>
      </w:r>
      <w:proofErr w:type="spellEnd"/>
      <w:r w:rsidRPr="000724EC">
        <w:rPr>
          <w:rFonts w:cs="David" w:hint="cs"/>
          <w:sz w:val="24"/>
          <w:rtl/>
        </w:rPr>
        <w:t xml:space="preserve"> (להלן </w:t>
      </w:r>
      <w:r w:rsidRPr="000724EC">
        <w:rPr>
          <w:rFonts w:cs="David"/>
          <w:sz w:val="24"/>
          <w:rtl/>
        </w:rPr>
        <w:t>–</w:t>
      </w:r>
      <w:r w:rsidRPr="000724EC">
        <w:rPr>
          <w:rFonts w:cs="David" w:hint="cs"/>
          <w:sz w:val="24"/>
          <w:rtl/>
        </w:rPr>
        <w:t xml:space="preserve"> הצעת החוק הפרטית), שבמידה רבה משקפת את מסמך העקרונות.</w:t>
      </w:r>
    </w:p>
    <w:p w:rsidR="00CC4083" w:rsidRPr="000724EC" w:rsidRDefault="00CC4083" w:rsidP="00C04BFE">
      <w:pPr>
        <w:spacing w:after="100" w:line="312" w:lineRule="auto"/>
        <w:rPr>
          <w:rFonts w:cs="David"/>
          <w:sz w:val="24"/>
        </w:rPr>
      </w:pPr>
      <w:r w:rsidRPr="000724EC">
        <w:rPr>
          <w:rFonts w:cs="David" w:hint="cs"/>
          <w:sz w:val="24"/>
          <w:rtl/>
        </w:rPr>
        <w:t xml:space="preserve">להלן יוצגו </w:t>
      </w:r>
      <w:r w:rsidR="00D97747" w:rsidRPr="000724EC">
        <w:rPr>
          <w:rFonts w:cs="David" w:hint="cs"/>
          <w:sz w:val="24"/>
          <w:rtl/>
        </w:rPr>
        <w:t xml:space="preserve">הסוגיות </w:t>
      </w:r>
      <w:r w:rsidRPr="000724EC">
        <w:rPr>
          <w:rFonts w:cs="David" w:hint="cs"/>
          <w:sz w:val="24"/>
          <w:rtl/>
        </w:rPr>
        <w:t>המרכזיות</w:t>
      </w:r>
      <w:r w:rsidR="00D97747" w:rsidRPr="000724EC">
        <w:rPr>
          <w:rFonts w:cs="David" w:hint="cs"/>
          <w:sz w:val="24"/>
          <w:rtl/>
        </w:rPr>
        <w:t xml:space="preserve"> שהצעות החוק מעוררות</w:t>
      </w:r>
      <w:r w:rsidRPr="000724EC">
        <w:rPr>
          <w:rFonts w:cs="David" w:hint="cs"/>
          <w:sz w:val="24"/>
          <w:rtl/>
        </w:rPr>
        <w:t>.</w:t>
      </w:r>
      <w:r w:rsidR="002A71F0">
        <w:rPr>
          <w:rFonts w:cs="David" w:hint="cs"/>
          <w:sz w:val="24"/>
          <w:rtl/>
        </w:rPr>
        <w:t xml:space="preserve"> במסמך זה לא נעיר הערות פרטניות לסעיפים </w:t>
      </w:r>
      <w:r w:rsidR="000A528B">
        <w:rPr>
          <w:rFonts w:cs="David" w:hint="cs"/>
          <w:sz w:val="24"/>
          <w:rtl/>
        </w:rPr>
        <w:t>ש</w:t>
      </w:r>
      <w:r w:rsidR="002A71F0">
        <w:rPr>
          <w:rFonts w:cs="David" w:hint="cs"/>
          <w:sz w:val="24"/>
          <w:rtl/>
        </w:rPr>
        <w:t>כן הללו ייבחנו לאור המודל העקרוני שבו תבחר הוועדה.</w:t>
      </w:r>
    </w:p>
    <w:p w:rsidR="006B0975" w:rsidRDefault="006B0975" w:rsidP="00C04BFE">
      <w:pPr>
        <w:spacing w:after="100" w:line="312" w:lineRule="auto"/>
        <w:rPr>
          <w:rFonts w:cs="David"/>
          <w:sz w:val="24"/>
          <w:rtl/>
        </w:rPr>
      </w:pPr>
    </w:p>
    <w:p w:rsidR="006B0975" w:rsidRPr="00780AD3" w:rsidRDefault="006B0975" w:rsidP="008376D7">
      <w:pPr>
        <w:shd w:val="clear" w:color="auto" w:fill="808080" w:themeFill="background1" w:themeFillShade="80"/>
        <w:spacing w:after="240" w:line="240" w:lineRule="auto"/>
        <w:jc w:val="center"/>
        <w:rPr>
          <w:rFonts w:cs="David"/>
          <w:b/>
          <w:bCs/>
          <w:sz w:val="24"/>
          <w:rtl/>
        </w:rPr>
      </w:pPr>
      <w:r>
        <w:rPr>
          <w:rFonts w:cs="David" w:hint="cs"/>
          <w:b/>
          <w:bCs/>
          <w:sz w:val="32"/>
          <w:szCs w:val="32"/>
          <w:shd w:val="clear" w:color="auto" w:fill="A6A6A6" w:themeFill="background1" w:themeFillShade="A6"/>
          <w:rtl/>
        </w:rPr>
        <w:lastRenderedPageBreak/>
        <w:t>מטרות הביקורת ומודלים של ביקורת</w:t>
      </w:r>
      <w:r w:rsidR="009B7D51">
        <w:rPr>
          <w:rFonts w:cs="David" w:hint="cs"/>
          <w:b/>
          <w:bCs/>
          <w:sz w:val="32"/>
          <w:szCs w:val="32"/>
          <w:shd w:val="clear" w:color="auto" w:fill="A6A6A6" w:themeFill="background1" w:themeFillShade="A6"/>
          <w:rtl/>
        </w:rPr>
        <w:t xml:space="preserve"> </w:t>
      </w:r>
      <w:r w:rsidR="009B7D51">
        <w:rPr>
          <w:rFonts w:cs="David"/>
          <w:b/>
          <w:bCs/>
          <w:sz w:val="32"/>
          <w:szCs w:val="32"/>
          <w:shd w:val="clear" w:color="auto" w:fill="A6A6A6" w:themeFill="background1" w:themeFillShade="A6"/>
          <w:rtl/>
        </w:rPr>
        <w:t>–</w:t>
      </w:r>
      <w:r w:rsidR="009B7D51">
        <w:rPr>
          <w:rFonts w:cs="David" w:hint="cs"/>
          <w:b/>
          <w:bCs/>
          <w:sz w:val="32"/>
          <w:szCs w:val="32"/>
          <w:shd w:val="clear" w:color="auto" w:fill="A6A6A6" w:themeFill="background1" w:themeFillShade="A6"/>
          <w:rtl/>
        </w:rPr>
        <w:t xml:space="preserve"> שיקולים עקרוניים</w:t>
      </w:r>
    </w:p>
    <w:p w:rsidR="006B0975" w:rsidRPr="00E23DDD" w:rsidRDefault="006B0975" w:rsidP="00C04BFE">
      <w:pPr>
        <w:spacing w:after="100" w:line="312" w:lineRule="auto"/>
        <w:rPr>
          <w:rFonts w:cs="David"/>
          <w:sz w:val="24"/>
          <w:rtl/>
        </w:rPr>
      </w:pPr>
      <w:r w:rsidRPr="00E23DDD">
        <w:rPr>
          <w:rFonts w:cs="David" w:hint="cs"/>
          <w:sz w:val="24"/>
          <w:rtl/>
        </w:rPr>
        <w:t xml:space="preserve">בבואו של המחוקק לעצב הסדר נורמטיבי של גוף ביקורת חדש, עליו לתת את הדעת לשתי שאלות יסוד, שמכוחם </w:t>
      </w:r>
      <w:r>
        <w:rPr>
          <w:rFonts w:cs="David" w:hint="cs"/>
          <w:sz w:val="24"/>
          <w:rtl/>
        </w:rPr>
        <w:t xml:space="preserve">עליו לגזור את </w:t>
      </w:r>
      <w:r w:rsidRPr="00E23DDD">
        <w:rPr>
          <w:rFonts w:cs="David" w:hint="cs"/>
          <w:sz w:val="24"/>
          <w:rtl/>
        </w:rPr>
        <w:t xml:space="preserve">עיצובו של הסדר הביקורת: </w:t>
      </w:r>
    </w:p>
    <w:p w:rsidR="006B0975" w:rsidRPr="00E23DDD" w:rsidRDefault="006B0975" w:rsidP="00C04BFE">
      <w:pPr>
        <w:spacing w:after="100" w:line="312" w:lineRule="auto"/>
        <w:rPr>
          <w:rFonts w:cs="David"/>
          <w:sz w:val="24"/>
          <w:rtl/>
        </w:rPr>
      </w:pPr>
      <w:r w:rsidRPr="00E23DDD">
        <w:rPr>
          <w:rFonts w:cs="David" w:hint="cs"/>
          <w:sz w:val="24"/>
          <w:rtl/>
        </w:rPr>
        <w:t xml:space="preserve">(1) </w:t>
      </w:r>
      <w:r w:rsidRPr="00E23DDD">
        <w:rPr>
          <w:rFonts w:cs="David" w:hint="cs"/>
          <w:b/>
          <w:bCs/>
          <w:sz w:val="24"/>
          <w:rtl/>
        </w:rPr>
        <w:t>מטרות הביקורת</w:t>
      </w:r>
      <w:r w:rsidRPr="00E23DDD">
        <w:rPr>
          <w:rFonts w:cs="David" w:hint="cs"/>
          <w:sz w:val="24"/>
          <w:rtl/>
        </w:rPr>
        <w:t xml:space="preserve"> </w:t>
      </w:r>
      <w:r w:rsidRPr="00E23DDD">
        <w:rPr>
          <w:rFonts w:cs="David"/>
          <w:sz w:val="24"/>
          <w:rtl/>
        </w:rPr>
        <w:t>–</w:t>
      </w:r>
      <w:r w:rsidRPr="00E23DDD">
        <w:rPr>
          <w:rFonts w:cs="David" w:hint="cs"/>
          <w:sz w:val="24"/>
          <w:rtl/>
        </w:rPr>
        <w:t xml:space="preserve"> כל ביקורת, יהא טיבה ומעמדה הנורמטיבי אשר יהא, מטרתה היא לבחון את תקינות פעילותו של הגוף נשוא הביקורת. ואולם, לפעילותם של גופים מבוקרים היבטים מגוונים, ומכאן שיש להגדיר מהם היבטי התקינות שאותם מתבקש המבקר לבחון: ביקורת חשבונאית של הגוף המבוקר, בחינת חוקיות פעולותיו, בדיקה של יעילות הגוף, טוהר המידות של העובדים בו או כל היבט אחר הנוגע לפעילותו של הגוף המבוקר.</w:t>
      </w:r>
    </w:p>
    <w:p w:rsidR="006B0975" w:rsidRPr="00E23DDD" w:rsidRDefault="006B0975" w:rsidP="00C04BFE">
      <w:pPr>
        <w:spacing w:after="100" w:line="312" w:lineRule="auto"/>
        <w:rPr>
          <w:rFonts w:cs="David"/>
          <w:sz w:val="24"/>
          <w:rtl/>
        </w:rPr>
      </w:pPr>
      <w:r w:rsidRPr="00E23DDD">
        <w:rPr>
          <w:rFonts w:cs="David" w:hint="cs"/>
          <w:sz w:val="24"/>
          <w:rtl/>
        </w:rPr>
        <w:t xml:space="preserve">(2) </w:t>
      </w:r>
      <w:r w:rsidRPr="00E23DDD">
        <w:rPr>
          <w:rFonts w:cs="David" w:hint="cs"/>
          <w:b/>
          <w:bCs/>
          <w:sz w:val="24"/>
          <w:rtl/>
        </w:rPr>
        <w:t>מודל הביקורת</w:t>
      </w:r>
      <w:r w:rsidRPr="00E23DDD">
        <w:rPr>
          <w:rFonts w:cs="David" w:hint="cs"/>
          <w:sz w:val="24"/>
          <w:rtl/>
        </w:rPr>
        <w:t xml:space="preserve"> </w:t>
      </w:r>
      <w:r w:rsidRPr="00E23DDD">
        <w:rPr>
          <w:rFonts w:cs="David"/>
          <w:sz w:val="24"/>
          <w:rtl/>
        </w:rPr>
        <w:t>–</w:t>
      </w:r>
      <w:r w:rsidRPr="00E23DDD">
        <w:rPr>
          <w:rFonts w:cs="David" w:hint="cs"/>
          <w:sz w:val="24"/>
          <w:rtl/>
        </w:rPr>
        <w:t xml:space="preserve"> ניתן להצביע על שני מודלים </w:t>
      </w:r>
      <w:r>
        <w:rPr>
          <w:rFonts w:cs="David" w:hint="cs"/>
          <w:sz w:val="24"/>
          <w:rtl/>
        </w:rPr>
        <w:t xml:space="preserve">עיקריים </w:t>
      </w:r>
      <w:r w:rsidRPr="00E23DDD">
        <w:rPr>
          <w:rFonts w:cs="David" w:hint="cs"/>
          <w:sz w:val="24"/>
          <w:rtl/>
        </w:rPr>
        <w:t>של ביקורת:</w:t>
      </w:r>
    </w:p>
    <w:p w:rsidR="006B0975" w:rsidRPr="00E23DDD" w:rsidRDefault="006B0975" w:rsidP="00413C21">
      <w:pPr>
        <w:spacing w:after="100" w:line="312" w:lineRule="auto"/>
        <w:rPr>
          <w:rFonts w:cs="David"/>
          <w:sz w:val="24"/>
          <w:rtl/>
        </w:rPr>
      </w:pPr>
      <w:r w:rsidRPr="00E23DDD">
        <w:rPr>
          <w:rFonts w:cs="David" w:hint="cs"/>
          <w:sz w:val="24"/>
          <w:rtl/>
        </w:rPr>
        <w:t xml:space="preserve">מודל של </w:t>
      </w:r>
      <w:r w:rsidRPr="00E23DDD">
        <w:rPr>
          <w:rFonts w:cs="David" w:hint="cs"/>
          <w:sz w:val="24"/>
          <w:u w:val="single"/>
          <w:rtl/>
        </w:rPr>
        <w:t>ביקורת פנימית</w:t>
      </w:r>
      <w:r>
        <w:rPr>
          <w:rFonts w:cs="David" w:hint="cs"/>
          <w:sz w:val="24"/>
          <w:rtl/>
        </w:rPr>
        <w:t xml:space="preserve"> </w:t>
      </w:r>
      <w:r>
        <w:rPr>
          <w:rFonts w:cs="David"/>
          <w:sz w:val="24"/>
          <w:rtl/>
        </w:rPr>
        <w:t>–</w:t>
      </w:r>
      <w:r w:rsidRPr="00E23DDD">
        <w:rPr>
          <w:rFonts w:cs="David" w:hint="cs"/>
          <w:sz w:val="24"/>
          <w:rtl/>
        </w:rPr>
        <w:t xml:space="preserve"> לפי מודל זה, הביקורת נתפסת כאחד מהכלים הניהוליים שהנהלת הגוף יכולה לעשות בהם שימוש כדי לטייב את פעילותו של הגוף המבוקר. </w:t>
      </w:r>
      <w:r>
        <w:rPr>
          <w:rFonts w:cs="David" w:hint="cs"/>
          <w:sz w:val="24"/>
          <w:rtl/>
        </w:rPr>
        <w:t xml:space="preserve">במסגרת תפיסה </w:t>
      </w:r>
      <w:r w:rsidRPr="00E23DDD">
        <w:rPr>
          <w:rFonts w:cs="David" w:hint="cs"/>
          <w:sz w:val="24"/>
          <w:rtl/>
        </w:rPr>
        <w:t xml:space="preserve">זו המבקר הוא חלק אורגני מהגוף המבוקר וכפוף להנהלתו. היתרון העיקרי של מודל זה הוא ההיכרות האינטימית של המבקר עם הגוף המבוקר והיכולת לפעול בתיאום ובשיתוף פעולה עם הנהלת הגוף. </w:t>
      </w:r>
      <w:r w:rsidR="00413C21">
        <w:rPr>
          <w:rFonts w:cs="David" w:hint="cs"/>
          <w:sz w:val="24"/>
          <w:rtl/>
        </w:rPr>
        <w:t>החיסרון העיקרי הוא העובדה שהמבקר אינו עצמאי.</w:t>
      </w:r>
    </w:p>
    <w:p w:rsidR="006B0975" w:rsidRPr="00E23DDD" w:rsidRDefault="006B0975" w:rsidP="00C04BFE">
      <w:pPr>
        <w:spacing w:after="100" w:line="312" w:lineRule="auto"/>
        <w:rPr>
          <w:rFonts w:cs="David"/>
          <w:sz w:val="24"/>
          <w:rtl/>
        </w:rPr>
      </w:pPr>
      <w:r w:rsidRPr="00E23DDD">
        <w:rPr>
          <w:rFonts w:cs="David" w:hint="cs"/>
          <w:sz w:val="24"/>
          <w:rtl/>
        </w:rPr>
        <w:t xml:space="preserve">מודל של </w:t>
      </w:r>
      <w:r w:rsidRPr="00E23DDD">
        <w:rPr>
          <w:rFonts w:cs="David" w:hint="cs"/>
          <w:sz w:val="24"/>
          <w:u w:val="single"/>
          <w:rtl/>
        </w:rPr>
        <w:t>ביקורת חיצונית</w:t>
      </w:r>
      <w:r>
        <w:rPr>
          <w:rFonts w:cs="David" w:hint="cs"/>
          <w:sz w:val="24"/>
          <w:rtl/>
        </w:rPr>
        <w:t xml:space="preserve"> </w:t>
      </w:r>
      <w:r>
        <w:rPr>
          <w:rFonts w:cs="David"/>
          <w:sz w:val="24"/>
          <w:rtl/>
        </w:rPr>
        <w:t>–</w:t>
      </w:r>
      <w:r w:rsidRPr="00E23DDD">
        <w:rPr>
          <w:rFonts w:cs="David" w:hint="cs"/>
          <w:sz w:val="24"/>
          <w:rtl/>
        </w:rPr>
        <w:t xml:space="preserve"> לפי מודל זה, הביקורת נתפסת כחלק מהאינטרס הציבורי שבטיוב פעילותו של הגוף המבוקר, מקום שבו נוכח אופיו הציבורי </w:t>
      </w:r>
      <w:r>
        <w:rPr>
          <w:rFonts w:cs="David" w:hint="cs"/>
          <w:sz w:val="24"/>
          <w:rtl/>
        </w:rPr>
        <w:t xml:space="preserve">המובהק </w:t>
      </w:r>
      <w:r w:rsidRPr="00E23DDD">
        <w:rPr>
          <w:rFonts w:cs="David" w:hint="cs"/>
          <w:sz w:val="24"/>
          <w:rtl/>
        </w:rPr>
        <w:t xml:space="preserve">של הגוף קיים אינטרס שכזה. </w:t>
      </w:r>
      <w:r>
        <w:rPr>
          <w:rFonts w:cs="David" w:hint="cs"/>
          <w:sz w:val="24"/>
          <w:rtl/>
        </w:rPr>
        <w:t xml:space="preserve">על פי </w:t>
      </w:r>
      <w:r w:rsidRPr="00E23DDD">
        <w:rPr>
          <w:rFonts w:cs="David" w:hint="cs"/>
          <w:sz w:val="24"/>
          <w:rtl/>
        </w:rPr>
        <w:t xml:space="preserve">תפיסה זו המבקר הוא גורם עצמאי, נפרד מהגוף המבוקר ואינו כפוף להנהלתו. היתרון העיקרי של מודל זה הוא העצמאות </w:t>
      </w:r>
      <w:r>
        <w:rPr>
          <w:rFonts w:cs="David" w:hint="cs"/>
          <w:sz w:val="24"/>
          <w:rtl/>
        </w:rPr>
        <w:t xml:space="preserve">המוסדית </w:t>
      </w:r>
      <w:r w:rsidRPr="00E23DDD">
        <w:rPr>
          <w:rFonts w:cs="David" w:hint="cs"/>
          <w:sz w:val="24"/>
          <w:rtl/>
        </w:rPr>
        <w:t>של המבקר</w:t>
      </w:r>
      <w:r>
        <w:rPr>
          <w:rFonts w:cs="David" w:hint="cs"/>
          <w:sz w:val="24"/>
          <w:rtl/>
        </w:rPr>
        <w:t>,</w:t>
      </w:r>
      <w:r w:rsidRPr="00E23DDD">
        <w:rPr>
          <w:rFonts w:cs="David" w:hint="cs"/>
          <w:sz w:val="24"/>
          <w:rtl/>
        </w:rPr>
        <w:t xml:space="preserve"> </w:t>
      </w:r>
      <w:r>
        <w:rPr>
          <w:rFonts w:cs="David" w:hint="cs"/>
          <w:sz w:val="24"/>
          <w:rtl/>
        </w:rPr>
        <w:t>דבר שמחזק את האמון הציבורי בו</w:t>
      </w:r>
      <w:r w:rsidRPr="00E23DDD">
        <w:rPr>
          <w:rFonts w:cs="David" w:hint="cs"/>
          <w:sz w:val="24"/>
          <w:rtl/>
        </w:rPr>
        <w:t xml:space="preserve">. </w:t>
      </w:r>
      <w:r w:rsidR="00BB256E">
        <w:rPr>
          <w:rFonts w:cs="David" w:hint="cs"/>
          <w:sz w:val="24"/>
          <w:rtl/>
        </w:rPr>
        <w:t xml:space="preserve">החיסרון העיקרי יכול להיות מריבות על סמכויות </w:t>
      </w:r>
      <w:proofErr w:type="spellStart"/>
      <w:r w:rsidR="00BB256E">
        <w:rPr>
          <w:rFonts w:cs="David" w:hint="cs"/>
          <w:sz w:val="24"/>
          <w:rtl/>
        </w:rPr>
        <w:t>וכפיפויות</w:t>
      </w:r>
      <w:proofErr w:type="spellEnd"/>
      <w:r w:rsidR="00BB256E">
        <w:rPr>
          <w:rFonts w:cs="David" w:hint="cs"/>
          <w:sz w:val="24"/>
          <w:rtl/>
        </w:rPr>
        <w:t xml:space="preserve"> וחוסר שיתוף פעולה.</w:t>
      </w:r>
    </w:p>
    <w:p w:rsidR="006B0975" w:rsidRPr="00E23DDD" w:rsidRDefault="006B0975" w:rsidP="00C04BFE">
      <w:pPr>
        <w:spacing w:after="100" w:line="312" w:lineRule="auto"/>
        <w:rPr>
          <w:rFonts w:cs="David"/>
          <w:sz w:val="24"/>
          <w:rtl/>
        </w:rPr>
      </w:pPr>
      <w:r w:rsidRPr="00E23DDD">
        <w:rPr>
          <w:rFonts w:cs="David" w:hint="cs"/>
          <w:sz w:val="24"/>
          <w:rtl/>
        </w:rPr>
        <w:t xml:space="preserve">הקמתו של גוף ביקורת על מערך הייצוג בערכאות על ידי המחוקק, דורשת מהמחוקק להכריע בשאלה מהן מטרות הביקורת על מערך הייצוג, ולאחר מכן מהו מודל הביקורת המתאים. ההכרעה בדבר מודל הביקורת המתאים, צריכה לקחת בחשבון בראש ובראשונה את מטרות הביקורת, אך גם שיקולים הנוגעים לטיבו ולמעמדו של הגוף המבוקר, כמו גם שיקולים מעשיים שונים, כפי שיפורט להלן. </w:t>
      </w:r>
    </w:p>
    <w:p w:rsidR="004924FD" w:rsidRDefault="004924FD" w:rsidP="00C04BFE">
      <w:pPr>
        <w:spacing w:after="100" w:line="312" w:lineRule="auto"/>
        <w:rPr>
          <w:rFonts w:cs="David"/>
          <w:color w:val="0070C0"/>
          <w:sz w:val="24"/>
          <w:rtl/>
        </w:rPr>
      </w:pPr>
    </w:p>
    <w:p w:rsidR="004924FD" w:rsidRPr="00780AD3" w:rsidRDefault="004924FD" w:rsidP="008376D7">
      <w:pPr>
        <w:shd w:val="clear" w:color="auto" w:fill="808080" w:themeFill="background1" w:themeFillShade="80"/>
        <w:spacing w:after="240" w:line="240" w:lineRule="auto"/>
        <w:jc w:val="center"/>
        <w:rPr>
          <w:rFonts w:cs="David"/>
          <w:b/>
          <w:bCs/>
          <w:sz w:val="24"/>
          <w:rtl/>
        </w:rPr>
      </w:pPr>
      <w:r>
        <w:rPr>
          <w:rFonts w:cs="David" w:hint="cs"/>
          <w:b/>
          <w:bCs/>
          <w:sz w:val="32"/>
          <w:szCs w:val="32"/>
          <w:shd w:val="clear" w:color="auto" w:fill="A6A6A6" w:themeFill="background1" w:themeFillShade="A6"/>
          <w:rtl/>
        </w:rPr>
        <w:t xml:space="preserve">הסוגיות </w:t>
      </w:r>
      <w:r w:rsidR="00162480">
        <w:rPr>
          <w:rFonts w:cs="David" w:hint="cs"/>
          <w:b/>
          <w:bCs/>
          <w:sz w:val="32"/>
          <w:szCs w:val="32"/>
          <w:shd w:val="clear" w:color="auto" w:fill="A6A6A6" w:themeFill="background1" w:themeFillShade="A6"/>
          <w:rtl/>
        </w:rPr>
        <w:t>העקרוניות</w:t>
      </w:r>
      <w:r>
        <w:rPr>
          <w:rFonts w:cs="David" w:hint="cs"/>
          <w:b/>
          <w:bCs/>
          <w:sz w:val="32"/>
          <w:szCs w:val="32"/>
          <w:shd w:val="clear" w:color="auto" w:fill="A6A6A6" w:themeFill="background1" w:themeFillShade="A6"/>
          <w:rtl/>
        </w:rPr>
        <w:t xml:space="preserve"> המונחות על שולחן הוועדה</w:t>
      </w:r>
    </w:p>
    <w:p w:rsidR="002D561D" w:rsidRPr="00710ABB" w:rsidRDefault="002D561D" w:rsidP="00D44811">
      <w:pPr>
        <w:spacing w:after="120" w:line="240" w:lineRule="auto"/>
        <w:rPr>
          <w:rFonts w:cs="David"/>
          <w:b/>
          <w:bCs/>
          <w:sz w:val="26"/>
          <w:szCs w:val="26"/>
          <w:rtl/>
        </w:rPr>
      </w:pPr>
      <w:r w:rsidRPr="00710ABB">
        <w:rPr>
          <w:rFonts w:cs="David" w:hint="cs"/>
          <w:b/>
          <w:bCs/>
          <w:sz w:val="26"/>
          <w:szCs w:val="26"/>
          <w:rtl/>
        </w:rPr>
        <w:t xml:space="preserve">(1) </w:t>
      </w:r>
      <w:r w:rsidRPr="00710ABB">
        <w:rPr>
          <w:rFonts w:cs="David" w:hint="cs"/>
          <w:b/>
          <w:bCs/>
          <w:sz w:val="26"/>
          <w:szCs w:val="26"/>
          <w:u w:val="single"/>
          <w:rtl/>
        </w:rPr>
        <w:t xml:space="preserve">היחס </w:t>
      </w:r>
      <w:r w:rsidR="00A40AE8" w:rsidRPr="00710ABB">
        <w:rPr>
          <w:rFonts w:cs="David" w:hint="cs"/>
          <w:b/>
          <w:bCs/>
          <w:sz w:val="26"/>
          <w:szCs w:val="26"/>
          <w:u w:val="single"/>
          <w:rtl/>
        </w:rPr>
        <w:t xml:space="preserve">המבני </w:t>
      </w:r>
      <w:r w:rsidRPr="00710ABB">
        <w:rPr>
          <w:rFonts w:cs="David" w:hint="cs"/>
          <w:b/>
          <w:bCs/>
          <w:sz w:val="26"/>
          <w:szCs w:val="26"/>
          <w:u w:val="single"/>
          <w:rtl/>
        </w:rPr>
        <w:t>שבין בירור תלונות פרטניות לביקורת מערכתית</w:t>
      </w:r>
      <w:r w:rsidRPr="00710ABB">
        <w:rPr>
          <w:rFonts w:cs="David" w:hint="cs"/>
          <w:b/>
          <w:bCs/>
          <w:sz w:val="26"/>
          <w:szCs w:val="26"/>
          <w:rtl/>
        </w:rPr>
        <w:t xml:space="preserve"> </w:t>
      </w:r>
    </w:p>
    <w:p w:rsidR="006D5221" w:rsidRPr="00710ABB" w:rsidRDefault="002D50EA" w:rsidP="00C04BFE">
      <w:pPr>
        <w:spacing w:after="100" w:line="312" w:lineRule="auto"/>
        <w:rPr>
          <w:rFonts w:cs="David"/>
          <w:sz w:val="24"/>
          <w:rtl/>
        </w:rPr>
      </w:pPr>
      <w:r>
        <w:rPr>
          <w:rFonts w:cs="David" w:hint="cs"/>
          <w:sz w:val="24"/>
          <w:rtl/>
        </w:rPr>
        <w:t xml:space="preserve">שני ערוצים מרכזיים לביקורת: </w:t>
      </w:r>
      <w:r w:rsidR="00815966" w:rsidRPr="00710ABB">
        <w:rPr>
          <w:rFonts w:cs="David" w:hint="cs"/>
          <w:sz w:val="24"/>
          <w:rtl/>
        </w:rPr>
        <w:t xml:space="preserve">בירור תלונות </w:t>
      </w:r>
      <w:r w:rsidR="00815966">
        <w:rPr>
          <w:rFonts w:cs="David" w:hint="cs"/>
          <w:sz w:val="24"/>
          <w:rtl/>
        </w:rPr>
        <w:t xml:space="preserve">פרטניות </w:t>
      </w:r>
      <w:r>
        <w:rPr>
          <w:rFonts w:cs="David" w:hint="cs"/>
          <w:sz w:val="24"/>
          <w:rtl/>
        </w:rPr>
        <w:t xml:space="preserve">שמגיעות מהציבור אודות פעולות ומעשים של גורמים בגוף המבוקר, </w:t>
      </w:r>
      <w:r w:rsidR="00815966">
        <w:rPr>
          <w:rFonts w:cs="David" w:hint="cs"/>
          <w:sz w:val="24"/>
          <w:rtl/>
        </w:rPr>
        <w:t xml:space="preserve">וביצוע </w:t>
      </w:r>
      <w:r w:rsidR="00815966" w:rsidRPr="00710ABB">
        <w:rPr>
          <w:rFonts w:cs="David" w:hint="cs"/>
          <w:sz w:val="24"/>
          <w:rtl/>
        </w:rPr>
        <w:t>ביקור</w:t>
      </w:r>
      <w:r>
        <w:rPr>
          <w:rFonts w:cs="David" w:hint="cs"/>
          <w:sz w:val="24"/>
          <w:rtl/>
        </w:rPr>
        <w:t>ו</w:t>
      </w:r>
      <w:r w:rsidR="00815966" w:rsidRPr="00710ABB">
        <w:rPr>
          <w:rFonts w:cs="David" w:hint="cs"/>
          <w:sz w:val="24"/>
          <w:rtl/>
        </w:rPr>
        <w:t>ת מערכתי</w:t>
      </w:r>
      <w:r>
        <w:rPr>
          <w:rFonts w:cs="David" w:hint="cs"/>
          <w:sz w:val="24"/>
          <w:rtl/>
        </w:rPr>
        <w:t>ו</w:t>
      </w:r>
      <w:r w:rsidR="00815966" w:rsidRPr="00710ABB">
        <w:rPr>
          <w:rFonts w:cs="David" w:hint="cs"/>
          <w:sz w:val="24"/>
          <w:rtl/>
        </w:rPr>
        <w:t>ת</w:t>
      </w:r>
      <w:r>
        <w:rPr>
          <w:rFonts w:cs="David" w:hint="cs"/>
          <w:sz w:val="24"/>
          <w:rtl/>
        </w:rPr>
        <w:t xml:space="preserve"> יזומות ושיטתיות של הגוף המבוקר. </w:t>
      </w:r>
      <w:r w:rsidR="00955DE6">
        <w:rPr>
          <w:rFonts w:cs="David" w:hint="cs"/>
          <w:sz w:val="24"/>
          <w:rtl/>
        </w:rPr>
        <w:t xml:space="preserve">יתכנו שני מודלים </w:t>
      </w:r>
      <w:r w:rsidR="00815966">
        <w:rPr>
          <w:rFonts w:cs="David" w:hint="cs"/>
          <w:sz w:val="24"/>
          <w:rtl/>
        </w:rPr>
        <w:t>באשר ל</w:t>
      </w:r>
      <w:r w:rsidR="006D5221" w:rsidRPr="00710ABB">
        <w:rPr>
          <w:rFonts w:cs="David" w:hint="cs"/>
          <w:sz w:val="24"/>
          <w:rtl/>
        </w:rPr>
        <w:t xml:space="preserve">יחס </w:t>
      </w:r>
      <w:r w:rsidR="00815966">
        <w:rPr>
          <w:rFonts w:cs="David" w:hint="cs"/>
          <w:sz w:val="24"/>
          <w:rtl/>
        </w:rPr>
        <w:t>ש</w:t>
      </w:r>
      <w:r w:rsidR="006D5221" w:rsidRPr="00710ABB">
        <w:rPr>
          <w:rFonts w:cs="David" w:hint="cs"/>
          <w:sz w:val="24"/>
          <w:rtl/>
        </w:rPr>
        <w:t>בין שני התפקידים</w:t>
      </w:r>
      <w:r w:rsidR="002D0A49" w:rsidRPr="00710ABB">
        <w:rPr>
          <w:rFonts w:cs="David" w:hint="cs"/>
          <w:sz w:val="24"/>
          <w:rtl/>
        </w:rPr>
        <w:t xml:space="preserve">: מודל מפוצל </w:t>
      </w:r>
      <w:r w:rsidR="002D0A49" w:rsidRPr="00710ABB">
        <w:rPr>
          <w:rFonts w:cs="David"/>
          <w:sz w:val="24"/>
          <w:rtl/>
        </w:rPr>
        <w:t>–</w:t>
      </w:r>
      <w:r w:rsidR="002D0A49" w:rsidRPr="00710ABB">
        <w:rPr>
          <w:rFonts w:cs="David" w:hint="cs"/>
          <w:sz w:val="24"/>
          <w:rtl/>
        </w:rPr>
        <w:t xml:space="preserve"> שבו גורם </w:t>
      </w:r>
      <w:r w:rsidR="00B36A4D" w:rsidRPr="00710ABB">
        <w:rPr>
          <w:rFonts w:cs="David" w:hint="cs"/>
          <w:sz w:val="24"/>
          <w:rtl/>
        </w:rPr>
        <w:t xml:space="preserve">אחד </w:t>
      </w:r>
      <w:r w:rsidR="002D0A49" w:rsidRPr="00710ABB">
        <w:rPr>
          <w:rFonts w:cs="David" w:hint="cs"/>
          <w:sz w:val="24"/>
          <w:rtl/>
        </w:rPr>
        <w:t xml:space="preserve">מברר תלונות פרטניות </w:t>
      </w:r>
      <w:r w:rsidR="00B36A4D" w:rsidRPr="00710ABB">
        <w:rPr>
          <w:rFonts w:cs="David" w:hint="cs"/>
          <w:sz w:val="24"/>
          <w:rtl/>
        </w:rPr>
        <w:t xml:space="preserve">וגורם אחר </w:t>
      </w:r>
      <w:r w:rsidR="002D0A49" w:rsidRPr="00710ABB">
        <w:rPr>
          <w:rFonts w:cs="David" w:hint="cs"/>
          <w:sz w:val="24"/>
          <w:rtl/>
        </w:rPr>
        <w:t>מבצע ביקורת מערכתית</w:t>
      </w:r>
      <w:r w:rsidR="00B36A4D" w:rsidRPr="00710ABB">
        <w:rPr>
          <w:rFonts w:cs="David" w:hint="cs"/>
          <w:sz w:val="24"/>
          <w:rtl/>
        </w:rPr>
        <w:t xml:space="preserve">; </w:t>
      </w:r>
      <w:r w:rsidR="002D0A49" w:rsidRPr="00710ABB">
        <w:rPr>
          <w:rFonts w:cs="David" w:hint="cs"/>
          <w:sz w:val="24"/>
          <w:rtl/>
        </w:rPr>
        <w:t xml:space="preserve">מודל מאוחד </w:t>
      </w:r>
      <w:r w:rsidR="002D0A49" w:rsidRPr="00710ABB">
        <w:rPr>
          <w:rFonts w:cs="David"/>
          <w:sz w:val="24"/>
          <w:rtl/>
        </w:rPr>
        <w:t>–</w:t>
      </w:r>
      <w:r w:rsidR="002D0A49" w:rsidRPr="00710ABB">
        <w:rPr>
          <w:rFonts w:cs="David" w:hint="cs"/>
          <w:sz w:val="24"/>
          <w:rtl/>
        </w:rPr>
        <w:t xml:space="preserve"> שבו אותו גורם גם מברר תלונות פרטניות וגם מבצע ביקורת מערכתית. </w:t>
      </w:r>
    </w:p>
    <w:p w:rsidR="00162480" w:rsidRPr="00710ABB" w:rsidRDefault="00AD4A65" w:rsidP="00C04BFE">
      <w:pPr>
        <w:spacing w:after="100" w:line="312" w:lineRule="auto"/>
        <w:rPr>
          <w:rFonts w:cs="David"/>
          <w:sz w:val="24"/>
          <w:rtl/>
        </w:rPr>
      </w:pPr>
      <w:r w:rsidRPr="00710ABB">
        <w:rPr>
          <w:rFonts w:cs="David" w:hint="cs"/>
          <w:sz w:val="24"/>
          <w:rtl/>
        </w:rPr>
        <w:t>הצעת החוק הממשלתי</w:t>
      </w:r>
      <w:r w:rsidR="002866DD" w:rsidRPr="00710ABB">
        <w:rPr>
          <w:rFonts w:cs="David" w:hint="cs"/>
          <w:sz w:val="24"/>
          <w:rtl/>
        </w:rPr>
        <w:t>ת</w:t>
      </w:r>
      <w:r w:rsidRPr="00710ABB">
        <w:rPr>
          <w:rFonts w:cs="David" w:hint="cs"/>
          <w:sz w:val="24"/>
          <w:rtl/>
        </w:rPr>
        <w:t xml:space="preserve"> בחרה במודל </w:t>
      </w:r>
      <w:r w:rsidR="006C3987" w:rsidRPr="00710ABB">
        <w:rPr>
          <w:rFonts w:cs="David" w:hint="cs"/>
          <w:sz w:val="24"/>
          <w:rtl/>
        </w:rPr>
        <w:t xml:space="preserve">המפצל, והיא מבקשת להעניק לנציב את הסמכות לברר תלונות פרטניות, ולמבקר פנימי ייעודי במשרד המשפטים את הסמכות לערוך ביקורת מערכתית. </w:t>
      </w:r>
      <w:r w:rsidR="00165318" w:rsidRPr="00710ABB">
        <w:rPr>
          <w:rFonts w:cs="David" w:hint="cs"/>
          <w:sz w:val="24"/>
          <w:rtl/>
        </w:rPr>
        <w:t xml:space="preserve">זאת, בדומה למצב הקיים </w:t>
      </w:r>
      <w:r w:rsidR="002866DD" w:rsidRPr="00710ABB">
        <w:rPr>
          <w:rFonts w:cs="David" w:hint="cs"/>
          <w:sz w:val="24"/>
          <w:rtl/>
        </w:rPr>
        <w:t xml:space="preserve">אצל </w:t>
      </w:r>
      <w:r w:rsidR="00165318" w:rsidRPr="00710ABB">
        <w:rPr>
          <w:rFonts w:cs="David" w:hint="cs"/>
          <w:sz w:val="24"/>
          <w:rtl/>
        </w:rPr>
        <w:t xml:space="preserve">שופטים, שם נציב תלונות הציבור על שופטים מברר תלונות פרטניות על שופטים, אך אינו מבצע ביקורות מערכתיות על מערכת בתי המשפט. </w:t>
      </w:r>
      <w:r w:rsidRPr="00710ABB">
        <w:rPr>
          <w:rFonts w:cs="David" w:hint="cs"/>
          <w:sz w:val="24"/>
          <w:rtl/>
        </w:rPr>
        <w:t xml:space="preserve">לעומת זאת, הצעת החוק הפרטית בחרה במודל מאוחד, </w:t>
      </w:r>
      <w:r w:rsidR="006C3987" w:rsidRPr="00710ABB">
        <w:rPr>
          <w:rFonts w:cs="David" w:hint="cs"/>
          <w:sz w:val="24"/>
          <w:rtl/>
        </w:rPr>
        <w:t>והיא מבקש להעניק לנציב את הסמכות לבצע את שני התפקידים גם יחד</w:t>
      </w:r>
      <w:r w:rsidRPr="00710ABB">
        <w:rPr>
          <w:rFonts w:cs="David" w:hint="cs"/>
          <w:sz w:val="24"/>
          <w:rtl/>
        </w:rPr>
        <w:t>.</w:t>
      </w:r>
      <w:r w:rsidR="00165318" w:rsidRPr="00710ABB">
        <w:rPr>
          <w:rFonts w:cs="David" w:hint="cs"/>
          <w:sz w:val="24"/>
          <w:rtl/>
        </w:rPr>
        <w:t xml:space="preserve"> זאת, בדומה לדגם של מבקר המדינה שבכובעו האחד כמבקר עורך ביקורות מערכתיות על הגופים המבוקרים, ובכובעו האחר כ</w:t>
      </w:r>
      <w:r w:rsidR="008C6D76" w:rsidRPr="00710ABB">
        <w:rPr>
          <w:rFonts w:cs="David" w:hint="cs"/>
          <w:sz w:val="24"/>
          <w:rtl/>
        </w:rPr>
        <w:t>"</w:t>
      </w:r>
      <w:r w:rsidR="00165318" w:rsidRPr="00710ABB">
        <w:rPr>
          <w:rFonts w:cs="David" w:hint="cs"/>
          <w:sz w:val="24"/>
          <w:rtl/>
        </w:rPr>
        <w:t>נציב תלונות הציבור</w:t>
      </w:r>
      <w:r w:rsidR="008C6D76" w:rsidRPr="00710ABB">
        <w:rPr>
          <w:rFonts w:cs="David" w:hint="cs"/>
          <w:sz w:val="24"/>
          <w:rtl/>
        </w:rPr>
        <w:t>"</w:t>
      </w:r>
      <w:r w:rsidR="00165318" w:rsidRPr="00710ABB">
        <w:rPr>
          <w:rFonts w:cs="David" w:hint="cs"/>
          <w:sz w:val="24"/>
          <w:rtl/>
        </w:rPr>
        <w:t>, מברר תלונות פרטניות.</w:t>
      </w:r>
    </w:p>
    <w:p w:rsidR="00CE13ED" w:rsidRPr="00710ABB" w:rsidRDefault="00AC3309" w:rsidP="00D44811">
      <w:pPr>
        <w:spacing w:after="100" w:line="312" w:lineRule="auto"/>
        <w:rPr>
          <w:rFonts w:cs="David"/>
          <w:sz w:val="24"/>
          <w:rtl/>
        </w:rPr>
      </w:pPr>
      <w:r w:rsidRPr="00710ABB">
        <w:rPr>
          <w:rFonts w:cs="David" w:hint="cs"/>
          <w:sz w:val="24"/>
          <w:rtl/>
        </w:rPr>
        <w:t>למודל המאוחד</w:t>
      </w:r>
      <w:r w:rsidR="00A40AE8" w:rsidRPr="00710ABB">
        <w:rPr>
          <w:rFonts w:cs="David" w:hint="cs"/>
          <w:sz w:val="24"/>
          <w:rtl/>
        </w:rPr>
        <w:t xml:space="preserve"> </w:t>
      </w:r>
      <w:r w:rsidR="008C6D76" w:rsidRPr="00710ABB">
        <w:rPr>
          <w:rFonts w:cs="David" w:hint="cs"/>
          <w:sz w:val="24"/>
          <w:rtl/>
        </w:rPr>
        <w:t xml:space="preserve">שבהצעת החוק הפרטית </w:t>
      </w:r>
      <w:r w:rsidR="00A40AE8" w:rsidRPr="00710ABB">
        <w:rPr>
          <w:rFonts w:cs="David" w:hint="cs"/>
          <w:sz w:val="24"/>
          <w:rtl/>
        </w:rPr>
        <w:t>יתרונות רבים</w:t>
      </w:r>
      <w:r w:rsidR="00396DF0" w:rsidRPr="00710ABB">
        <w:rPr>
          <w:rFonts w:cs="David" w:hint="cs"/>
          <w:sz w:val="24"/>
          <w:rtl/>
        </w:rPr>
        <w:t xml:space="preserve">, שכן הוא מקנה לגורם המבקר פרספקטיבה רחבה </w:t>
      </w:r>
      <w:proofErr w:type="spellStart"/>
      <w:r w:rsidR="00396DF0" w:rsidRPr="00710ABB">
        <w:rPr>
          <w:rFonts w:cs="David" w:hint="cs"/>
          <w:sz w:val="24"/>
          <w:rtl/>
        </w:rPr>
        <w:t>ומתכללת</w:t>
      </w:r>
      <w:proofErr w:type="spellEnd"/>
      <w:r w:rsidR="00396DF0" w:rsidRPr="00710ABB">
        <w:rPr>
          <w:rFonts w:cs="David" w:hint="cs"/>
          <w:sz w:val="24"/>
          <w:rtl/>
        </w:rPr>
        <w:t xml:space="preserve"> על פעילותו של הגוף המבוקר. כך, ריבוי של תלונות פרטניות על נושא מסוים יכול </w:t>
      </w:r>
      <w:r w:rsidR="00396DF0" w:rsidRPr="00710ABB">
        <w:rPr>
          <w:rFonts w:cs="David" w:hint="cs"/>
          <w:sz w:val="24"/>
          <w:rtl/>
        </w:rPr>
        <w:lastRenderedPageBreak/>
        <w:t xml:space="preserve">להוביל לגילויים של כשלים מערכתיים, ומידע שמתקבל כתוצאה מבדיקתן של סוגיות רוחביות עשוי לסייג בבירורן של תלונות פרטניות. יתירה מזאת, איחוד של שתי הפונקציות </w:t>
      </w:r>
      <w:r w:rsidR="002866DD" w:rsidRPr="00710ABB">
        <w:rPr>
          <w:rFonts w:cs="David" w:hint="cs"/>
          <w:sz w:val="24"/>
          <w:rtl/>
        </w:rPr>
        <w:t xml:space="preserve">תחת אותו גורם </w:t>
      </w:r>
      <w:r w:rsidR="00396DF0" w:rsidRPr="00710ABB">
        <w:rPr>
          <w:rFonts w:cs="David" w:hint="cs"/>
          <w:sz w:val="24"/>
          <w:rtl/>
        </w:rPr>
        <w:t xml:space="preserve"> מונעת את טשטוש גבולות הסמכות בין ביקורת מערכתית לתלונות פרטניות, שעשוי להיות שעה ששני התפקידים מופקדים בידי מוסדות נפרדים ללא קשר ביניהם.</w:t>
      </w:r>
      <w:r w:rsidR="00165318" w:rsidRPr="00710ABB">
        <w:rPr>
          <w:rFonts w:cs="David" w:hint="cs"/>
          <w:sz w:val="24"/>
          <w:rtl/>
        </w:rPr>
        <w:t xml:space="preserve"> </w:t>
      </w:r>
      <w:r w:rsidR="00396DF0" w:rsidRPr="00710ABB">
        <w:rPr>
          <w:rFonts w:cs="David" w:hint="cs"/>
          <w:sz w:val="24"/>
          <w:rtl/>
        </w:rPr>
        <w:t>מנגד, איחוד התפקידים עלול לגרום לאי שיתוף פעולה מצד גורמים בגוף המבוקר בביקורות מערכתיות, בשל החשש</w:t>
      </w:r>
      <w:r w:rsidR="00CE13ED" w:rsidRPr="00710ABB">
        <w:rPr>
          <w:rFonts w:cs="David" w:hint="cs"/>
          <w:sz w:val="24"/>
          <w:rtl/>
        </w:rPr>
        <w:t xml:space="preserve"> </w:t>
      </w:r>
      <w:r w:rsidR="00955DE6">
        <w:rPr>
          <w:rFonts w:cs="David" w:hint="cs"/>
          <w:sz w:val="24"/>
          <w:rtl/>
        </w:rPr>
        <w:t xml:space="preserve">האנושי </w:t>
      </w:r>
      <w:r w:rsidR="00CE13ED" w:rsidRPr="00710ABB">
        <w:rPr>
          <w:rFonts w:cs="David" w:hint="cs"/>
          <w:sz w:val="24"/>
          <w:rtl/>
        </w:rPr>
        <w:t xml:space="preserve">הטבעי </w:t>
      </w:r>
      <w:r w:rsidR="0005270B" w:rsidRPr="00710ABB">
        <w:rPr>
          <w:rFonts w:cs="David" w:hint="cs"/>
          <w:sz w:val="24"/>
          <w:rtl/>
        </w:rPr>
        <w:t xml:space="preserve">מכך ששיתוף הפעולה </w:t>
      </w:r>
      <w:r w:rsidR="00D44FAC">
        <w:rPr>
          <w:rFonts w:cs="David" w:hint="cs"/>
          <w:sz w:val="24"/>
          <w:rtl/>
        </w:rPr>
        <w:t>בביקורת המערכתית יוביל לגילוי כשלים פרטניים</w:t>
      </w:r>
      <w:r w:rsidR="00D44811">
        <w:rPr>
          <w:rFonts w:cs="David" w:hint="cs"/>
          <w:sz w:val="24"/>
          <w:rtl/>
        </w:rPr>
        <w:t>, ולפגיעה באותם גורמים</w:t>
      </w:r>
      <w:r w:rsidR="00CE13ED" w:rsidRPr="00710ABB">
        <w:rPr>
          <w:rFonts w:cs="David" w:hint="cs"/>
          <w:sz w:val="24"/>
          <w:rtl/>
        </w:rPr>
        <w:t>.</w:t>
      </w:r>
    </w:p>
    <w:p w:rsidR="002866DD" w:rsidRDefault="00862A26" w:rsidP="00C04BFE">
      <w:pPr>
        <w:spacing w:after="100" w:line="312" w:lineRule="auto"/>
        <w:rPr>
          <w:rFonts w:cs="David"/>
          <w:sz w:val="24"/>
          <w:rtl/>
        </w:rPr>
      </w:pPr>
      <w:r>
        <w:rPr>
          <w:rFonts w:cs="David" w:hint="cs"/>
          <w:sz w:val="24"/>
          <w:rtl/>
        </w:rPr>
        <w:t xml:space="preserve">הוועדה צריכה לתת את דעתה ליתרונות ולחסרונות של הדגמים השונים, ולהכריע ביניהם. </w:t>
      </w:r>
      <w:r w:rsidR="00B90CAE" w:rsidRPr="00710ABB">
        <w:rPr>
          <w:rFonts w:cs="David" w:hint="cs"/>
          <w:sz w:val="24"/>
          <w:rtl/>
        </w:rPr>
        <w:t xml:space="preserve">נוכח הניסיון המצטבר עם המודל המאוחד הקיים אצל מבקר המדינה, </w:t>
      </w:r>
      <w:r w:rsidR="00903890" w:rsidRPr="00710ABB">
        <w:rPr>
          <w:rFonts w:cs="David" w:hint="cs"/>
          <w:sz w:val="24"/>
          <w:rtl/>
        </w:rPr>
        <w:t>נראה כי יתרונות המודל המאוחד</w:t>
      </w:r>
      <w:r w:rsidR="003723E0">
        <w:rPr>
          <w:rFonts w:cs="David" w:hint="cs"/>
          <w:sz w:val="24"/>
          <w:rtl/>
        </w:rPr>
        <w:t>,</w:t>
      </w:r>
      <w:r w:rsidR="00903890" w:rsidRPr="00710ABB">
        <w:rPr>
          <w:rFonts w:cs="David" w:hint="cs"/>
          <w:sz w:val="24"/>
          <w:rtl/>
        </w:rPr>
        <w:t xml:space="preserve"> </w:t>
      </w:r>
      <w:r w:rsidR="003723E0">
        <w:rPr>
          <w:rFonts w:cs="David" w:hint="cs"/>
          <w:sz w:val="24"/>
          <w:rtl/>
        </w:rPr>
        <w:t>בכל הנוגע ל</w:t>
      </w:r>
      <w:r>
        <w:rPr>
          <w:rFonts w:cs="David" w:hint="cs"/>
          <w:sz w:val="24"/>
          <w:rtl/>
        </w:rPr>
        <w:t xml:space="preserve">אפקטיביות של הגוף המבקר, </w:t>
      </w:r>
      <w:r w:rsidR="00274124" w:rsidRPr="00710ABB">
        <w:rPr>
          <w:rFonts w:cs="David" w:hint="cs"/>
          <w:sz w:val="24"/>
          <w:rtl/>
        </w:rPr>
        <w:t xml:space="preserve">עולים על </w:t>
      </w:r>
      <w:r w:rsidR="00903890" w:rsidRPr="00710ABB">
        <w:rPr>
          <w:rFonts w:cs="David" w:hint="cs"/>
          <w:sz w:val="24"/>
          <w:rtl/>
        </w:rPr>
        <w:t>אלו של המודל המפוצל.</w:t>
      </w:r>
      <w:r w:rsidR="0005270B" w:rsidRPr="00710ABB">
        <w:rPr>
          <w:rFonts w:cs="David" w:hint="cs"/>
          <w:sz w:val="24"/>
          <w:rtl/>
        </w:rPr>
        <w:t xml:space="preserve"> </w:t>
      </w:r>
      <w:r w:rsidR="00D44811">
        <w:rPr>
          <w:rFonts w:cs="David" w:hint="cs"/>
          <w:sz w:val="24"/>
          <w:rtl/>
        </w:rPr>
        <w:t>מצד שני, המודל המפוצל מביא לחששות פחותים אצל המייצגים מפגיעה בהם.</w:t>
      </w:r>
    </w:p>
    <w:p w:rsidR="00A822C9" w:rsidRPr="00FC19C4" w:rsidRDefault="00A822C9" w:rsidP="00C04BFE">
      <w:pPr>
        <w:spacing w:after="100" w:line="312" w:lineRule="auto"/>
        <w:rPr>
          <w:rFonts w:cs="David"/>
          <w:sz w:val="24"/>
          <w:rtl/>
        </w:rPr>
      </w:pPr>
    </w:p>
    <w:p w:rsidR="002D561D" w:rsidRPr="00FC19C4" w:rsidRDefault="002D561D" w:rsidP="00FC19C4">
      <w:pPr>
        <w:spacing w:after="120" w:line="240" w:lineRule="auto"/>
        <w:rPr>
          <w:rFonts w:cs="David"/>
          <w:b/>
          <w:bCs/>
          <w:sz w:val="26"/>
          <w:szCs w:val="26"/>
          <w:rtl/>
        </w:rPr>
      </w:pPr>
      <w:r w:rsidRPr="00FC19C4">
        <w:rPr>
          <w:rFonts w:cs="David" w:hint="cs"/>
          <w:b/>
          <w:bCs/>
          <w:sz w:val="26"/>
          <w:szCs w:val="26"/>
          <w:rtl/>
        </w:rPr>
        <w:t xml:space="preserve">(2) </w:t>
      </w:r>
      <w:r w:rsidR="000461FF" w:rsidRPr="00FC19C4">
        <w:rPr>
          <w:rFonts w:cs="David" w:hint="cs"/>
          <w:b/>
          <w:bCs/>
          <w:sz w:val="26"/>
          <w:szCs w:val="26"/>
          <w:u w:val="single"/>
          <w:rtl/>
        </w:rPr>
        <w:t xml:space="preserve">פעולות </w:t>
      </w:r>
      <w:r w:rsidR="00D44AB7" w:rsidRPr="00FC19C4">
        <w:rPr>
          <w:rFonts w:cs="David" w:hint="cs"/>
          <w:b/>
          <w:bCs/>
          <w:sz w:val="26"/>
          <w:szCs w:val="26"/>
          <w:u w:val="single"/>
          <w:rtl/>
        </w:rPr>
        <w:t>שאינן</w:t>
      </w:r>
      <w:r w:rsidR="000461FF" w:rsidRPr="00FC19C4">
        <w:rPr>
          <w:rFonts w:cs="David" w:hint="cs"/>
          <w:b/>
          <w:bCs/>
          <w:sz w:val="26"/>
          <w:szCs w:val="26"/>
          <w:u w:val="single"/>
          <w:rtl/>
        </w:rPr>
        <w:t xml:space="preserve"> מושא ל</w:t>
      </w:r>
      <w:r w:rsidRPr="00FC19C4">
        <w:rPr>
          <w:rFonts w:cs="David" w:hint="cs"/>
          <w:b/>
          <w:bCs/>
          <w:sz w:val="26"/>
          <w:szCs w:val="26"/>
          <w:u w:val="single"/>
          <w:rtl/>
        </w:rPr>
        <w:t>בירור תלונות פרטניות</w:t>
      </w:r>
      <w:r w:rsidR="008E4F67" w:rsidRPr="00FC19C4">
        <w:rPr>
          <w:rFonts w:cs="David" w:hint="cs"/>
          <w:b/>
          <w:bCs/>
          <w:sz w:val="26"/>
          <w:szCs w:val="26"/>
          <w:u w:val="single"/>
          <w:rtl/>
        </w:rPr>
        <w:t xml:space="preserve">: </w:t>
      </w:r>
      <w:r w:rsidR="0050484D" w:rsidRPr="00FC19C4">
        <w:rPr>
          <w:rFonts w:cs="David" w:hint="cs"/>
          <w:b/>
          <w:bCs/>
          <w:sz w:val="26"/>
          <w:szCs w:val="26"/>
          <w:u w:val="single"/>
          <w:rtl/>
        </w:rPr>
        <w:t>"</w:t>
      </w:r>
      <w:r w:rsidR="008E4F67" w:rsidRPr="00FC19C4">
        <w:rPr>
          <w:rFonts w:cs="David" w:hint="cs"/>
          <w:b/>
          <w:bCs/>
          <w:sz w:val="26"/>
          <w:szCs w:val="26"/>
          <w:u w:val="single"/>
          <w:rtl/>
        </w:rPr>
        <w:t>שיקול דעת משפטי</w:t>
      </w:r>
      <w:r w:rsidR="0050484D" w:rsidRPr="00FC19C4">
        <w:rPr>
          <w:rFonts w:cs="David" w:hint="cs"/>
          <w:b/>
          <w:bCs/>
          <w:sz w:val="26"/>
          <w:szCs w:val="26"/>
          <w:rtl/>
        </w:rPr>
        <w:t>"</w:t>
      </w:r>
      <w:r w:rsidRPr="00FC19C4">
        <w:rPr>
          <w:rFonts w:cs="David" w:hint="cs"/>
          <w:b/>
          <w:bCs/>
          <w:sz w:val="26"/>
          <w:szCs w:val="26"/>
          <w:rtl/>
        </w:rPr>
        <w:t xml:space="preserve"> </w:t>
      </w:r>
    </w:p>
    <w:p w:rsidR="00A822C9" w:rsidRPr="00FC19C4" w:rsidRDefault="00CB0666" w:rsidP="00E952A4">
      <w:pPr>
        <w:spacing w:after="100" w:line="312" w:lineRule="auto"/>
        <w:rPr>
          <w:rFonts w:cs="David"/>
          <w:sz w:val="24"/>
          <w:rtl/>
        </w:rPr>
      </w:pPr>
      <w:r w:rsidRPr="00FC19C4">
        <w:rPr>
          <w:rFonts w:cs="David" w:hint="cs"/>
          <w:sz w:val="24"/>
          <w:rtl/>
        </w:rPr>
        <w:t>הצע</w:t>
      </w:r>
      <w:r w:rsidR="00F366FB">
        <w:rPr>
          <w:rFonts w:cs="David" w:hint="cs"/>
          <w:sz w:val="24"/>
          <w:rtl/>
        </w:rPr>
        <w:t>ו</w:t>
      </w:r>
      <w:r w:rsidRPr="00FC19C4">
        <w:rPr>
          <w:rFonts w:cs="David" w:hint="cs"/>
          <w:sz w:val="24"/>
          <w:rtl/>
        </w:rPr>
        <w:t xml:space="preserve">ת החוק </w:t>
      </w:r>
      <w:r w:rsidR="00F366FB">
        <w:rPr>
          <w:rFonts w:cs="David" w:hint="cs"/>
          <w:sz w:val="24"/>
          <w:rtl/>
        </w:rPr>
        <w:t>המונח</w:t>
      </w:r>
      <w:r w:rsidR="00BB5AC6">
        <w:rPr>
          <w:rFonts w:cs="David" w:hint="cs"/>
          <w:sz w:val="24"/>
          <w:rtl/>
        </w:rPr>
        <w:t>ו</w:t>
      </w:r>
      <w:r w:rsidR="00F366FB">
        <w:rPr>
          <w:rFonts w:cs="David" w:hint="cs"/>
          <w:sz w:val="24"/>
          <w:rtl/>
        </w:rPr>
        <w:t xml:space="preserve">ת על שולחן הוועדה אינן </w:t>
      </w:r>
      <w:r w:rsidRPr="00FC19C4">
        <w:rPr>
          <w:rFonts w:cs="David" w:hint="cs"/>
          <w:sz w:val="24"/>
          <w:rtl/>
        </w:rPr>
        <w:t>כולל</w:t>
      </w:r>
      <w:r w:rsidR="00F366FB">
        <w:rPr>
          <w:rFonts w:cs="David" w:hint="cs"/>
          <w:sz w:val="24"/>
          <w:rtl/>
        </w:rPr>
        <w:t>ו</w:t>
      </w:r>
      <w:r w:rsidRPr="00FC19C4">
        <w:rPr>
          <w:rFonts w:cs="David" w:hint="cs"/>
          <w:sz w:val="24"/>
          <w:rtl/>
        </w:rPr>
        <w:t>ת הענקת סמכות לנציב להטיל סנקציות משמעתיות</w:t>
      </w:r>
      <w:r w:rsidR="00B34BE5">
        <w:rPr>
          <w:rFonts w:cs="David" w:hint="cs"/>
          <w:sz w:val="24"/>
          <w:rtl/>
        </w:rPr>
        <w:t xml:space="preserve"> על מייצג שפעל באופן לא תקין, </w:t>
      </w:r>
      <w:r w:rsidR="00E952A4">
        <w:rPr>
          <w:rFonts w:cs="David" w:hint="cs"/>
          <w:sz w:val="24"/>
          <w:rtl/>
        </w:rPr>
        <w:t>ומה</w:t>
      </w:r>
      <w:r w:rsidR="00BB5AC6">
        <w:rPr>
          <w:rFonts w:cs="David" w:hint="cs"/>
          <w:sz w:val="24"/>
          <w:rtl/>
        </w:rPr>
        <w:t xml:space="preserve"> שמוטל על</w:t>
      </w:r>
      <w:r w:rsidR="00A546F3">
        <w:rPr>
          <w:rFonts w:cs="David" w:hint="cs"/>
          <w:sz w:val="24"/>
          <w:rtl/>
        </w:rPr>
        <w:t xml:space="preserve"> הנציב</w:t>
      </w:r>
      <w:r w:rsidR="00BB5AC6">
        <w:rPr>
          <w:rFonts w:cs="David" w:hint="cs"/>
          <w:sz w:val="24"/>
          <w:rtl/>
        </w:rPr>
        <w:t xml:space="preserve"> </w:t>
      </w:r>
      <w:r w:rsidR="00A546F3">
        <w:rPr>
          <w:rFonts w:cs="David" w:hint="cs"/>
          <w:sz w:val="24"/>
          <w:rtl/>
        </w:rPr>
        <w:t xml:space="preserve">לעשות </w:t>
      </w:r>
      <w:r w:rsidR="00BB5AC6">
        <w:rPr>
          <w:rFonts w:cs="David" w:hint="cs"/>
          <w:sz w:val="24"/>
          <w:rtl/>
        </w:rPr>
        <w:t xml:space="preserve">הוא לברר אם התלונה מוצדקת </w:t>
      </w:r>
      <w:r w:rsidR="00B34BE5">
        <w:rPr>
          <w:rFonts w:cs="David" w:hint="cs"/>
          <w:sz w:val="24"/>
          <w:rtl/>
        </w:rPr>
        <w:t>ולהציע המלצות לתיקון</w:t>
      </w:r>
      <w:r w:rsidRPr="00FC19C4">
        <w:rPr>
          <w:rFonts w:cs="David" w:hint="cs"/>
          <w:sz w:val="24"/>
          <w:rtl/>
        </w:rPr>
        <w:t xml:space="preserve">. </w:t>
      </w:r>
      <w:r w:rsidR="00B94B52">
        <w:rPr>
          <w:rFonts w:cs="David" w:hint="cs"/>
          <w:sz w:val="24"/>
          <w:rtl/>
        </w:rPr>
        <w:t>מכאן, ש</w:t>
      </w:r>
      <w:r w:rsidR="00B94B52" w:rsidRPr="00FC19C4">
        <w:rPr>
          <w:rFonts w:cs="David" w:hint="cs"/>
          <w:sz w:val="24"/>
          <w:rtl/>
        </w:rPr>
        <w:t xml:space="preserve">מטרת בירור התלונות איננה להעניש מייצג שפעל שלא כראוי </w:t>
      </w:r>
      <w:r w:rsidR="00B34276">
        <w:rPr>
          <w:rFonts w:cs="David"/>
          <w:sz w:val="24"/>
          <w:rtl/>
        </w:rPr>
        <w:t>–</w:t>
      </w:r>
      <w:r w:rsidR="00B34276">
        <w:rPr>
          <w:rFonts w:cs="David" w:hint="cs"/>
          <w:sz w:val="24"/>
          <w:rtl/>
        </w:rPr>
        <w:t xml:space="preserve"> </w:t>
      </w:r>
      <w:r w:rsidR="00B94B52" w:rsidRPr="00FC19C4">
        <w:rPr>
          <w:rFonts w:cs="David" w:hint="cs"/>
          <w:sz w:val="24"/>
          <w:rtl/>
        </w:rPr>
        <w:t>לשם כך ניתן לעשות שימוש בדין המשמעתי החל על המייצגים</w:t>
      </w:r>
      <w:r w:rsidR="00B34276">
        <w:rPr>
          <w:rFonts w:cs="David" w:hint="cs"/>
          <w:sz w:val="24"/>
          <w:rtl/>
        </w:rPr>
        <w:t xml:space="preserve"> </w:t>
      </w:r>
      <w:r w:rsidR="00B34276">
        <w:rPr>
          <w:rFonts w:cs="David"/>
          <w:sz w:val="24"/>
          <w:rtl/>
        </w:rPr>
        <w:t>–</w:t>
      </w:r>
      <w:r w:rsidR="00B94B52" w:rsidRPr="00FC19C4">
        <w:rPr>
          <w:rFonts w:cs="David" w:hint="cs"/>
          <w:sz w:val="24"/>
          <w:rtl/>
        </w:rPr>
        <w:t xml:space="preserve"> </w:t>
      </w:r>
      <w:r w:rsidR="00B34276">
        <w:rPr>
          <w:rFonts w:cs="David" w:hint="cs"/>
          <w:sz w:val="24"/>
          <w:rtl/>
        </w:rPr>
        <w:t xml:space="preserve">אלא </w:t>
      </w:r>
      <w:r w:rsidR="00380EE1" w:rsidRPr="00FC19C4">
        <w:rPr>
          <w:rFonts w:cs="David" w:hint="cs"/>
          <w:sz w:val="24"/>
          <w:rtl/>
        </w:rPr>
        <w:t>לקבוע</w:t>
      </w:r>
      <w:r w:rsidR="00B34276">
        <w:rPr>
          <w:rFonts w:cs="David" w:hint="cs"/>
          <w:sz w:val="24"/>
          <w:rtl/>
        </w:rPr>
        <w:t>,</w:t>
      </w:r>
      <w:r w:rsidR="00380EE1" w:rsidRPr="00FC19C4">
        <w:rPr>
          <w:rFonts w:cs="David" w:hint="cs"/>
          <w:sz w:val="24"/>
          <w:rtl/>
        </w:rPr>
        <w:t xml:space="preserve"> באמצעות הבירור של מקרים פרטניים</w:t>
      </w:r>
      <w:r w:rsidR="00B34276">
        <w:rPr>
          <w:rFonts w:cs="David" w:hint="cs"/>
          <w:sz w:val="24"/>
          <w:rtl/>
        </w:rPr>
        <w:t>,</w:t>
      </w:r>
      <w:r w:rsidRPr="00FC19C4">
        <w:rPr>
          <w:rFonts w:cs="David" w:hint="cs"/>
          <w:sz w:val="24"/>
          <w:rtl/>
        </w:rPr>
        <w:t xml:space="preserve"> </w:t>
      </w:r>
      <w:r w:rsidR="00380EE1" w:rsidRPr="00FC19C4">
        <w:rPr>
          <w:rFonts w:cs="David" w:hint="cs"/>
          <w:sz w:val="24"/>
          <w:rtl/>
        </w:rPr>
        <w:t xml:space="preserve">נורמות ראויות של התנהגות והתנהלות של חברי מערך הייצוג, ובכך לשפר את </w:t>
      </w:r>
      <w:proofErr w:type="spellStart"/>
      <w:r w:rsidR="00380EE1" w:rsidRPr="00FC19C4">
        <w:rPr>
          <w:rFonts w:cs="David" w:hint="cs"/>
          <w:sz w:val="24"/>
          <w:rtl/>
        </w:rPr>
        <w:t>תיפקודו</w:t>
      </w:r>
      <w:proofErr w:type="spellEnd"/>
      <w:r w:rsidR="00380EE1" w:rsidRPr="00FC19C4">
        <w:rPr>
          <w:rFonts w:cs="David" w:hint="cs"/>
          <w:sz w:val="24"/>
          <w:rtl/>
        </w:rPr>
        <w:t xml:space="preserve"> </w:t>
      </w:r>
      <w:r w:rsidR="00DE379D" w:rsidRPr="00FC19C4">
        <w:rPr>
          <w:rFonts w:cs="David" w:hint="cs"/>
          <w:sz w:val="24"/>
          <w:rtl/>
        </w:rPr>
        <w:t>ודרכי עבודתו</w:t>
      </w:r>
      <w:r w:rsidR="00380EE1" w:rsidRPr="00FC19C4">
        <w:rPr>
          <w:rFonts w:cs="David" w:hint="cs"/>
          <w:sz w:val="24"/>
          <w:rtl/>
        </w:rPr>
        <w:t>.</w:t>
      </w:r>
      <w:r w:rsidR="00795035" w:rsidRPr="00FC19C4">
        <w:rPr>
          <w:rFonts w:cs="David" w:hint="cs"/>
          <w:sz w:val="24"/>
          <w:rtl/>
        </w:rPr>
        <w:t xml:space="preserve"> </w:t>
      </w:r>
      <w:r w:rsidR="00A822C9" w:rsidRPr="00FC19C4">
        <w:rPr>
          <w:rFonts w:cs="David" w:hint="cs"/>
          <w:sz w:val="24"/>
          <w:rtl/>
        </w:rPr>
        <w:t xml:space="preserve">חרף מטרה ראויה </w:t>
      </w:r>
      <w:r w:rsidR="00A546F3">
        <w:rPr>
          <w:rFonts w:cs="David" w:hint="cs"/>
          <w:sz w:val="24"/>
          <w:rtl/>
        </w:rPr>
        <w:t>זו</w:t>
      </w:r>
      <w:r w:rsidR="00A822C9" w:rsidRPr="00FC19C4">
        <w:rPr>
          <w:rFonts w:cs="David" w:hint="cs"/>
          <w:sz w:val="24"/>
          <w:rtl/>
        </w:rPr>
        <w:t xml:space="preserve">, מדובר בסוגיה מורכבת ורגישה, בשל החשש מיצירת כלי ניגוח נגד מייצגים שישמש כדי להרתיע את המייצגים מלבצע את תפקידם, והצורך להבטיח </w:t>
      </w:r>
      <w:r w:rsidR="00ED2E8D" w:rsidRPr="00FC19C4">
        <w:rPr>
          <w:rFonts w:cs="David" w:hint="cs"/>
          <w:sz w:val="24"/>
          <w:rtl/>
        </w:rPr>
        <w:t>את עצמאות</w:t>
      </w:r>
      <w:r w:rsidR="00A822C9" w:rsidRPr="00FC19C4">
        <w:rPr>
          <w:rFonts w:cs="David" w:hint="cs"/>
          <w:sz w:val="24"/>
          <w:rtl/>
        </w:rPr>
        <w:t>ו של</w:t>
      </w:r>
      <w:r w:rsidR="00ED2E8D" w:rsidRPr="00FC19C4">
        <w:rPr>
          <w:rFonts w:cs="David" w:hint="cs"/>
          <w:sz w:val="24"/>
          <w:rtl/>
        </w:rPr>
        <w:t xml:space="preserve"> מערך הייצוג והיכולת של כל מייצג להפעיל שיקול דעת משפטי, באופן עצמאי וללא מורא</w:t>
      </w:r>
      <w:r w:rsidR="00A822C9" w:rsidRPr="00FC19C4">
        <w:rPr>
          <w:rFonts w:cs="David" w:hint="cs"/>
          <w:sz w:val="24"/>
          <w:rtl/>
        </w:rPr>
        <w:t>.</w:t>
      </w:r>
      <w:r w:rsidR="00274124" w:rsidRPr="00FC19C4">
        <w:rPr>
          <w:rFonts w:cs="David" w:hint="cs"/>
          <w:sz w:val="24"/>
          <w:rtl/>
        </w:rPr>
        <w:t xml:space="preserve"> </w:t>
      </w:r>
    </w:p>
    <w:p w:rsidR="005A4271" w:rsidRPr="00FC19C4" w:rsidRDefault="006D31B9" w:rsidP="00C04BFE">
      <w:pPr>
        <w:spacing w:after="100" w:line="312" w:lineRule="auto"/>
        <w:rPr>
          <w:rFonts w:cs="David"/>
          <w:sz w:val="24"/>
          <w:rtl/>
        </w:rPr>
      </w:pPr>
      <w:r w:rsidRPr="00FC19C4">
        <w:rPr>
          <w:rFonts w:cs="David" w:hint="cs"/>
          <w:sz w:val="24"/>
          <w:rtl/>
        </w:rPr>
        <w:t xml:space="preserve">איזון בין המטרות השונות </w:t>
      </w:r>
      <w:r w:rsidR="00862AF1">
        <w:rPr>
          <w:rFonts w:cs="David" w:hint="cs"/>
          <w:sz w:val="24"/>
          <w:rtl/>
        </w:rPr>
        <w:t>ה</w:t>
      </w:r>
      <w:r w:rsidR="000E789E" w:rsidRPr="00FC19C4">
        <w:rPr>
          <w:rFonts w:cs="David" w:hint="cs"/>
          <w:sz w:val="24"/>
          <w:rtl/>
        </w:rPr>
        <w:t xml:space="preserve">וביל </w:t>
      </w:r>
      <w:r w:rsidR="00034469" w:rsidRPr="00FC19C4">
        <w:rPr>
          <w:rFonts w:cs="David" w:hint="cs"/>
          <w:sz w:val="24"/>
          <w:rtl/>
        </w:rPr>
        <w:t>ליצירת סייגים וחסמים שונים</w:t>
      </w:r>
      <w:r w:rsidR="00862AF1">
        <w:rPr>
          <w:rFonts w:cs="David" w:hint="cs"/>
          <w:sz w:val="24"/>
          <w:rtl/>
        </w:rPr>
        <w:t xml:space="preserve"> באשר לסמכויות הנציב לברר תלונות</w:t>
      </w:r>
      <w:r w:rsidR="00034469" w:rsidRPr="00FC19C4">
        <w:rPr>
          <w:rFonts w:cs="David" w:hint="cs"/>
          <w:sz w:val="24"/>
          <w:rtl/>
        </w:rPr>
        <w:t xml:space="preserve">, כאשר המרכזי שבהם הוא ההחרגה של </w:t>
      </w:r>
      <w:r w:rsidR="001B7B13" w:rsidRPr="00FC19C4">
        <w:rPr>
          <w:rFonts w:cs="David" w:hint="cs"/>
          <w:sz w:val="24"/>
          <w:u w:val="single"/>
          <w:rtl/>
        </w:rPr>
        <w:t xml:space="preserve">הפעלת שיקול </w:t>
      </w:r>
      <w:r w:rsidR="00034469" w:rsidRPr="00FC19C4">
        <w:rPr>
          <w:rFonts w:cs="David" w:hint="cs"/>
          <w:sz w:val="24"/>
          <w:u w:val="single"/>
          <w:rtl/>
        </w:rPr>
        <w:t>ה</w:t>
      </w:r>
      <w:r w:rsidR="001B7B13" w:rsidRPr="00FC19C4">
        <w:rPr>
          <w:rFonts w:cs="David" w:hint="cs"/>
          <w:sz w:val="24"/>
          <w:u w:val="single"/>
          <w:rtl/>
        </w:rPr>
        <w:t xml:space="preserve">דעת </w:t>
      </w:r>
      <w:r w:rsidR="0050484D" w:rsidRPr="00FC19C4">
        <w:rPr>
          <w:rFonts w:cs="David" w:hint="cs"/>
          <w:sz w:val="24"/>
          <w:u w:val="single"/>
          <w:rtl/>
        </w:rPr>
        <w:t>ה</w:t>
      </w:r>
      <w:r w:rsidR="001B7B13" w:rsidRPr="00FC19C4">
        <w:rPr>
          <w:rFonts w:cs="David" w:hint="cs"/>
          <w:sz w:val="24"/>
          <w:u w:val="single"/>
          <w:rtl/>
        </w:rPr>
        <w:t>משפטי</w:t>
      </w:r>
      <w:r w:rsidR="001B7B13" w:rsidRPr="00FC19C4">
        <w:rPr>
          <w:rFonts w:cs="David" w:hint="cs"/>
          <w:sz w:val="24"/>
          <w:rtl/>
        </w:rPr>
        <w:t xml:space="preserve"> </w:t>
      </w:r>
      <w:r w:rsidR="0050484D" w:rsidRPr="00FC19C4">
        <w:rPr>
          <w:rFonts w:cs="David" w:hint="cs"/>
          <w:sz w:val="24"/>
          <w:rtl/>
        </w:rPr>
        <w:t>על ידי מייצגים מגדר הדברים שיכולים להיות מושא לבירור תלונות</w:t>
      </w:r>
      <w:r w:rsidR="00027545" w:rsidRPr="00FC19C4">
        <w:rPr>
          <w:rFonts w:cs="David" w:hint="cs"/>
          <w:sz w:val="24"/>
          <w:rtl/>
        </w:rPr>
        <w:t xml:space="preserve">. </w:t>
      </w:r>
      <w:r w:rsidR="000C10DE" w:rsidRPr="00FC19C4">
        <w:rPr>
          <w:rFonts w:cs="David" w:hint="cs"/>
          <w:sz w:val="24"/>
          <w:rtl/>
        </w:rPr>
        <w:t>זאת, בשונה מפעולות הנוגעות לאופן ההתנהלות, להתנהגות</w:t>
      </w:r>
      <w:r w:rsidR="00C46BAB">
        <w:rPr>
          <w:rFonts w:cs="David" w:hint="cs"/>
          <w:sz w:val="24"/>
          <w:rtl/>
        </w:rPr>
        <w:t xml:space="preserve"> האישית</w:t>
      </w:r>
      <w:r w:rsidR="000C10DE" w:rsidRPr="00FC19C4">
        <w:rPr>
          <w:rFonts w:cs="David" w:hint="cs"/>
          <w:sz w:val="24"/>
          <w:rtl/>
        </w:rPr>
        <w:t>, לטוהר מידות וכל כיוצא באלה, שיכולות להיות מושא לבירור תלונות.</w:t>
      </w:r>
      <w:r w:rsidR="005A4271" w:rsidRPr="00FC19C4">
        <w:rPr>
          <w:rFonts w:cs="David" w:hint="cs"/>
          <w:sz w:val="24"/>
          <w:rtl/>
        </w:rPr>
        <w:t xml:space="preserve"> </w:t>
      </w:r>
      <w:r w:rsidR="005B338B" w:rsidRPr="00FC19C4">
        <w:rPr>
          <w:rFonts w:cs="David" w:hint="cs"/>
          <w:sz w:val="24"/>
          <w:rtl/>
        </w:rPr>
        <w:t xml:space="preserve">ואמנם, </w:t>
      </w:r>
      <w:r w:rsidR="004638E7" w:rsidRPr="00FC19C4">
        <w:rPr>
          <w:rFonts w:cs="David" w:hint="cs"/>
          <w:sz w:val="24"/>
          <w:rtl/>
        </w:rPr>
        <w:t>סייג מעין זה אומץ הן ב</w:t>
      </w:r>
      <w:r w:rsidR="005B338B" w:rsidRPr="00FC19C4">
        <w:rPr>
          <w:rFonts w:cs="David" w:hint="cs"/>
          <w:sz w:val="24"/>
          <w:rtl/>
        </w:rPr>
        <w:t xml:space="preserve">הצעת החוק הממשלתית (סעיף 15(א)(6) להצעה), </w:t>
      </w:r>
      <w:r w:rsidR="004638E7" w:rsidRPr="00FC19C4">
        <w:rPr>
          <w:rFonts w:cs="David" w:hint="cs"/>
          <w:sz w:val="24"/>
          <w:rtl/>
        </w:rPr>
        <w:t>והן ב</w:t>
      </w:r>
      <w:r w:rsidR="005B338B" w:rsidRPr="00FC19C4">
        <w:rPr>
          <w:rFonts w:cs="David" w:hint="cs"/>
          <w:sz w:val="24"/>
          <w:rtl/>
        </w:rPr>
        <w:t>הצעת החוק הפרטית (סעיף 5(2) להצעה)</w:t>
      </w:r>
      <w:r w:rsidR="00322712" w:rsidRPr="00FC19C4">
        <w:rPr>
          <w:rFonts w:cs="David" w:hint="cs"/>
          <w:sz w:val="24"/>
          <w:rtl/>
        </w:rPr>
        <w:t>.</w:t>
      </w:r>
      <w:r w:rsidR="005A4271" w:rsidRPr="00FC19C4">
        <w:rPr>
          <w:rFonts w:cs="David" w:hint="cs"/>
          <w:sz w:val="24"/>
          <w:rtl/>
        </w:rPr>
        <w:t xml:space="preserve"> </w:t>
      </w:r>
    </w:p>
    <w:p w:rsidR="0047150C" w:rsidRPr="00FC19C4" w:rsidRDefault="005B338B" w:rsidP="00C04BFE">
      <w:pPr>
        <w:spacing w:after="100" w:line="312" w:lineRule="auto"/>
        <w:rPr>
          <w:rFonts w:cs="David"/>
          <w:sz w:val="24"/>
          <w:rtl/>
        </w:rPr>
      </w:pPr>
      <w:r w:rsidRPr="00FC19C4">
        <w:rPr>
          <w:rFonts w:cs="David" w:hint="cs"/>
          <w:sz w:val="24"/>
          <w:rtl/>
        </w:rPr>
        <w:t xml:space="preserve">חרף העובדה שההבחנה בין </w:t>
      </w:r>
      <w:r w:rsidR="00402F78" w:rsidRPr="00FC19C4">
        <w:rPr>
          <w:rFonts w:cs="David" w:hint="cs"/>
          <w:sz w:val="24"/>
          <w:rtl/>
        </w:rPr>
        <w:t xml:space="preserve">שיקול דעת </w:t>
      </w:r>
      <w:r w:rsidR="00562F16" w:rsidRPr="00FC19C4">
        <w:rPr>
          <w:rFonts w:cs="David" w:hint="cs"/>
          <w:sz w:val="24"/>
          <w:rtl/>
        </w:rPr>
        <w:t xml:space="preserve">משפטי לאופן ההתנהלות </w:t>
      </w:r>
      <w:r w:rsidR="00402F78" w:rsidRPr="00FC19C4">
        <w:rPr>
          <w:rFonts w:cs="David" w:hint="cs"/>
          <w:sz w:val="24"/>
          <w:rtl/>
        </w:rPr>
        <w:t xml:space="preserve">נראית </w:t>
      </w:r>
      <w:r w:rsidR="00562F16" w:rsidRPr="00FC19C4">
        <w:rPr>
          <w:rFonts w:cs="David" w:hint="cs"/>
          <w:sz w:val="24"/>
          <w:rtl/>
        </w:rPr>
        <w:t xml:space="preserve">לכאורה </w:t>
      </w:r>
      <w:r w:rsidR="00402F78" w:rsidRPr="00FC19C4">
        <w:rPr>
          <w:rFonts w:cs="David" w:hint="cs"/>
          <w:sz w:val="24"/>
          <w:rtl/>
        </w:rPr>
        <w:t>פשוטה מבחינה אנליטית</w:t>
      </w:r>
      <w:r w:rsidRPr="00FC19C4">
        <w:rPr>
          <w:rFonts w:cs="David" w:hint="cs"/>
          <w:sz w:val="24"/>
          <w:rtl/>
        </w:rPr>
        <w:t>, יישו</w:t>
      </w:r>
      <w:r w:rsidR="00061A44" w:rsidRPr="00FC19C4">
        <w:rPr>
          <w:rFonts w:cs="David" w:hint="cs"/>
          <w:sz w:val="24"/>
          <w:rtl/>
        </w:rPr>
        <w:t>ם</w:t>
      </w:r>
      <w:r w:rsidRPr="00FC19C4">
        <w:rPr>
          <w:rFonts w:cs="David" w:hint="cs"/>
          <w:sz w:val="24"/>
          <w:rtl/>
        </w:rPr>
        <w:t xml:space="preserve"> הבחנה זו בעולם המעשה </w:t>
      </w:r>
      <w:r w:rsidR="00402F78" w:rsidRPr="00FC19C4">
        <w:rPr>
          <w:rFonts w:cs="David" w:hint="cs"/>
          <w:sz w:val="24"/>
          <w:rtl/>
        </w:rPr>
        <w:t xml:space="preserve">עלול להיתקל </w:t>
      </w:r>
      <w:r w:rsidRPr="00FC19C4">
        <w:rPr>
          <w:rFonts w:cs="David" w:hint="cs"/>
          <w:sz w:val="24"/>
          <w:rtl/>
        </w:rPr>
        <w:t>בקשיים ניכרים.</w:t>
      </w:r>
      <w:r w:rsidR="00402F78" w:rsidRPr="00FC19C4">
        <w:rPr>
          <w:rFonts w:cs="David" w:hint="cs"/>
          <w:sz w:val="24"/>
          <w:rtl/>
        </w:rPr>
        <w:t xml:space="preserve"> </w:t>
      </w:r>
      <w:r w:rsidR="0067670D" w:rsidRPr="00FC19C4">
        <w:rPr>
          <w:rFonts w:cs="David" w:hint="cs"/>
          <w:sz w:val="24"/>
          <w:rtl/>
        </w:rPr>
        <w:t xml:space="preserve">היקף הפעולות שמבצע כל מייצג הוא רחב, ונע על ספקטרום שבין פעולות המצויות בליבת שיקול הדעת המשפטי, כדוגמת החלטה האם להגיש או שלא להגיש כתב אישום, לפעולות </w:t>
      </w:r>
      <w:proofErr w:type="spellStart"/>
      <w:r w:rsidR="0067670D" w:rsidRPr="00FC19C4">
        <w:rPr>
          <w:rFonts w:cs="David" w:hint="cs"/>
          <w:sz w:val="24"/>
          <w:rtl/>
        </w:rPr>
        <w:t>מינהלתיות</w:t>
      </w:r>
      <w:proofErr w:type="spellEnd"/>
      <w:r w:rsidR="0067670D" w:rsidRPr="00FC19C4">
        <w:rPr>
          <w:rFonts w:cs="David" w:hint="cs"/>
          <w:sz w:val="24"/>
          <w:rtl/>
        </w:rPr>
        <w:t xml:space="preserve"> </w:t>
      </w:r>
      <w:r w:rsidR="00562F16" w:rsidRPr="00FC19C4">
        <w:rPr>
          <w:rFonts w:cs="David" w:hint="cs"/>
          <w:sz w:val="24"/>
          <w:rtl/>
        </w:rPr>
        <w:t xml:space="preserve">כדוגמת תיעוד או </w:t>
      </w:r>
      <w:r w:rsidR="0067670D" w:rsidRPr="00FC19C4">
        <w:rPr>
          <w:rFonts w:cs="David" w:hint="cs"/>
          <w:sz w:val="24"/>
          <w:rtl/>
        </w:rPr>
        <w:t xml:space="preserve">עמידה בלוחות זמנים. </w:t>
      </w:r>
      <w:r w:rsidR="003D3402" w:rsidRPr="00FC19C4">
        <w:rPr>
          <w:rFonts w:cs="David" w:hint="cs"/>
          <w:sz w:val="24"/>
          <w:rtl/>
        </w:rPr>
        <w:t>בתוך ה</w:t>
      </w:r>
      <w:r w:rsidR="0067670D" w:rsidRPr="00FC19C4">
        <w:rPr>
          <w:rFonts w:cs="David" w:hint="cs"/>
          <w:sz w:val="24"/>
          <w:rtl/>
        </w:rPr>
        <w:t xml:space="preserve">מנעד </w:t>
      </w:r>
      <w:r w:rsidR="003D3402" w:rsidRPr="00FC19C4">
        <w:rPr>
          <w:rFonts w:cs="David" w:hint="cs"/>
          <w:sz w:val="24"/>
          <w:rtl/>
        </w:rPr>
        <w:t xml:space="preserve">הרחב </w:t>
      </w:r>
      <w:r w:rsidR="0067670D" w:rsidRPr="00FC19C4">
        <w:rPr>
          <w:rFonts w:cs="David" w:hint="cs"/>
          <w:sz w:val="24"/>
          <w:rtl/>
        </w:rPr>
        <w:t>הזה</w:t>
      </w:r>
      <w:r w:rsidR="003D3402" w:rsidRPr="00FC19C4">
        <w:rPr>
          <w:rFonts w:cs="David" w:hint="cs"/>
          <w:sz w:val="24"/>
          <w:rtl/>
        </w:rPr>
        <w:t>,</w:t>
      </w:r>
      <w:r w:rsidR="0067670D" w:rsidRPr="00FC19C4">
        <w:rPr>
          <w:rFonts w:cs="David" w:hint="cs"/>
          <w:sz w:val="24"/>
          <w:rtl/>
        </w:rPr>
        <w:t xml:space="preserve"> </w:t>
      </w:r>
      <w:r w:rsidR="003D3402" w:rsidRPr="00FC19C4">
        <w:rPr>
          <w:rFonts w:cs="David" w:hint="cs"/>
          <w:sz w:val="24"/>
          <w:rtl/>
        </w:rPr>
        <w:t xml:space="preserve">ישנן </w:t>
      </w:r>
      <w:r w:rsidR="00C46BAB">
        <w:rPr>
          <w:rFonts w:cs="David" w:hint="cs"/>
          <w:sz w:val="24"/>
          <w:rtl/>
        </w:rPr>
        <w:t xml:space="preserve">לא מעט </w:t>
      </w:r>
      <w:r w:rsidR="003D3402" w:rsidRPr="00FC19C4">
        <w:rPr>
          <w:rFonts w:cs="David" w:hint="cs"/>
          <w:sz w:val="24"/>
          <w:rtl/>
        </w:rPr>
        <w:t xml:space="preserve">פעולות </w:t>
      </w:r>
      <w:r w:rsidR="0047150C" w:rsidRPr="00FC19C4">
        <w:rPr>
          <w:rFonts w:cs="David" w:hint="cs"/>
          <w:sz w:val="24"/>
          <w:rtl/>
        </w:rPr>
        <w:t>שתתכ</w:t>
      </w:r>
      <w:r w:rsidR="00E024AB" w:rsidRPr="00FC19C4">
        <w:rPr>
          <w:rFonts w:cs="David" w:hint="cs"/>
          <w:sz w:val="24"/>
          <w:rtl/>
        </w:rPr>
        <w:t>ן</w:t>
      </w:r>
      <w:r w:rsidR="0047150C" w:rsidRPr="00FC19C4">
        <w:rPr>
          <w:rFonts w:cs="David" w:hint="cs"/>
          <w:sz w:val="24"/>
          <w:rtl/>
        </w:rPr>
        <w:t xml:space="preserve"> מחלוקת לגביהן האם הן </w:t>
      </w:r>
      <w:r w:rsidR="00E024AB" w:rsidRPr="00FC19C4">
        <w:rPr>
          <w:rFonts w:cs="David" w:hint="cs"/>
          <w:sz w:val="24"/>
          <w:rtl/>
        </w:rPr>
        <w:t>נופל</w:t>
      </w:r>
      <w:r w:rsidR="00C46BAB">
        <w:rPr>
          <w:rFonts w:cs="David" w:hint="cs"/>
          <w:sz w:val="24"/>
          <w:rtl/>
        </w:rPr>
        <w:t>ו</w:t>
      </w:r>
      <w:r w:rsidR="00E024AB" w:rsidRPr="00FC19C4">
        <w:rPr>
          <w:rFonts w:cs="David" w:hint="cs"/>
          <w:sz w:val="24"/>
          <w:rtl/>
        </w:rPr>
        <w:t>ת ל</w:t>
      </w:r>
      <w:r w:rsidR="0047150C" w:rsidRPr="00FC19C4">
        <w:rPr>
          <w:rFonts w:cs="David" w:hint="cs"/>
          <w:sz w:val="24"/>
          <w:rtl/>
        </w:rPr>
        <w:t xml:space="preserve">גדר </w:t>
      </w:r>
      <w:r w:rsidR="00E024AB" w:rsidRPr="00FC19C4">
        <w:rPr>
          <w:rFonts w:cs="David" w:hint="cs"/>
          <w:sz w:val="24"/>
          <w:rtl/>
        </w:rPr>
        <w:t xml:space="preserve">של </w:t>
      </w:r>
      <w:r w:rsidR="0047150C" w:rsidRPr="00FC19C4">
        <w:rPr>
          <w:rFonts w:cs="David" w:hint="cs"/>
          <w:sz w:val="24"/>
          <w:rtl/>
        </w:rPr>
        <w:t xml:space="preserve">הפעלת שיקול דעת משפטי אם לאו, ופעולות </w:t>
      </w:r>
      <w:r w:rsidR="00E024AB" w:rsidRPr="00FC19C4">
        <w:rPr>
          <w:rFonts w:cs="David" w:hint="cs"/>
          <w:sz w:val="24"/>
          <w:rtl/>
        </w:rPr>
        <w:t xml:space="preserve">נוספות </w:t>
      </w:r>
      <w:r w:rsidR="0047150C" w:rsidRPr="00FC19C4">
        <w:rPr>
          <w:rFonts w:cs="David" w:hint="cs"/>
          <w:sz w:val="24"/>
          <w:rtl/>
        </w:rPr>
        <w:t xml:space="preserve">שיש בהן אספקטים </w:t>
      </w:r>
      <w:r w:rsidR="00726BE1" w:rsidRPr="00FC19C4">
        <w:rPr>
          <w:rFonts w:cs="David" w:hint="cs"/>
          <w:sz w:val="24"/>
          <w:rtl/>
        </w:rPr>
        <w:t xml:space="preserve">מסוימים של הפעלת שיקול דעת משפטי </w:t>
      </w:r>
      <w:r w:rsidR="00562F16" w:rsidRPr="00FC19C4">
        <w:rPr>
          <w:rFonts w:cs="David" w:hint="cs"/>
          <w:sz w:val="24"/>
          <w:rtl/>
        </w:rPr>
        <w:t xml:space="preserve">יחד עם </w:t>
      </w:r>
      <w:r w:rsidR="00726BE1" w:rsidRPr="00FC19C4">
        <w:rPr>
          <w:rFonts w:cs="David" w:hint="cs"/>
          <w:sz w:val="24"/>
          <w:rtl/>
        </w:rPr>
        <w:t>אספקטים אחרים שלא.</w:t>
      </w:r>
      <w:r w:rsidR="003265C1" w:rsidRPr="00FC19C4">
        <w:rPr>
          <w:rFonts w:cs="David" w:hint="cs"/>
          <w:sz w:val="24"/>
          <w:rtl/>
        </w:rPr>
        <w:t xml:space="preserve"> כך, למשל, התגלעה מחלוקת בין הנציבה הפורשת לבין היועץ המשפטי לממשלה</w:t>
      </w:r>
      <w:r w:rsidR="005A4271" w:rsidRPr="00FC19C4">
        <w:rPr>
          <w:rFonts w:cs="David" w:hint="cs"/>
          <w:sz w:val="24"/>
          <w:rtl/>
        </w:rPr>
        <w:t xml:space="preserve"> הקודם</w:t>
      </w:r>
      <w:r w:rsidR="003265C1" w:rsidRPr="00FC19C4">
        <w:rPr>
          <w:rFonts w:cs="David" w:hint="cs"/>
          <w:sz w:val="24"/>
          <w:rtl/>
        </w:rPr>
        <w:t>, האם פעולות מסוימות שנעשו במסגרת הכנת עד לעדות</w:t>
      </w:r>
      <w:r w:rsidR="005A4271" w:rsidRPr="00FC19C4">
        <w:rPr>
          <w:rFonts w:cs="David" w:hint="cs"/>
          <w:sz w:val="24"/>
          <w:rtl/>
        </w:rPr>
        <w:t xml:space="preserve">, </w:t>
      </w:r>
      <w:r w:rsidR="00E952A4">
        <w:rPr>
          <w:rFonts w:cs="David" w:hint="cs"/>
          <w:sz w:val="24"/>
          <w:rtl/>
        </w:rPr>
        <w:t xml:space="preserve">היו </w:t>
      </w:r>
      <w:r w:rsidR="005A4271" w:rsidRPr="00FC19C4">
        <w:rPr>
          <w:rFonts w:cs="David" w:hint="cs"/>
          <w:sz w:val="24"/>
          <w:rtl/>
        </w:rPr>
        <w:t xml:space="preserve">בבחינת </w:t>
      </w:r>
      <w:r w:rsidR="003265C1" w:rsidRPr="00FC19C4">
        <w:rPr>
          <w:rFonts w:cs="David" w:hint="cs"/>
          <w:sz w:val="24"/>
          <w:rtl/>
        </w:rPr>
        <w:t xml:space="preserve">הפעלת שיקול דעת משפטי. </w:t>
      </w:r>
    </w:p>
    <w:p w:rsidR="00AE6D0E" w:rsidRPr="00FC19C4" w:rsidRDefault="00915633" w:rsidP="003C402B">
      <w:pPr>
        <w:spacing w:after="100" w:line="312" w:lineRule="auto"/>
        <w:rPr>
          <w:rFonts w:cs="David"/>
          <w:sz w:val="24"/>
          <w:u w:val="single"/>
          <w:rtl/>
        </w:rPr>
      </w:pPr>
      <w:r w:rsidRPr="00FC19C4">
        <w:rPr>
          <w:rFonts w:cs="David" w:hint="cs"/>
          <w:sz w:val="24"/>
          <w:rtl/>
        </w:rPr>
        <w:t xml:space="preserve">קושי זה בא לידי ביטוי בולט בהצעת החוק הממשלתית, שנוסף על </w:t>
      </w:r>
      <w:r w:rsidR="00FC0959" w:rsidRPr="00FC19C4">
        <w:rPr>
          <w:rFonts w:cs="David" w:hint="cs"/>
          <w:sz w:val="24"/>
          <w:rtl/>
        </w:rPr>
        <w:t xml:space="preserve">הסייג של </w:t>
      </w:r>
      <w:r w:rsidRPr="00FC19C4">
        <w:rPr>
          <w:rFonts w:cs="David" w:hint="cs"/>
          <w:sz w:val="24"/>
          <w:rtl/>
        </w:rPr>
        <w:t xml:space="preserve">הפעלת שיקול דעת משפטי, מוסיפה וקובעת כי המונח "שיקול דעת משפטי" כולל בתוכו </w:t>
      </w:r>
      <w:r w:rsidR="00FC0959" w:rsidRPr="00FC19C4">
        <w:rPr>
          <w:rFonts w:cs="David" w:hint="cs"/>
          <w:sz w:val="24"/>
          <w:rtl/>
        </w:rPr>
        <w:t xml:space="preserve">גם </w:t>
      </w:r>
      <w:r w:rsidRPr="00FC19C4">
        <w:rPr>
          <w:rFonts w:cs="David" w:hint="cs"/>
          <w:sz w:val="24"/>
          <w:rtl/>
        </w:rPr>
        <w:t>"שיקול דעת בקבלת החלטות בנוגע לאופן ניהול הליכים והכנתם".</w:t>
      </w:r>
      <w:r w:rsidR="003265C1" w:rsidRPr="00FC19C4">
        <w:rPr>
          <w:rFonts w:cs="David" w:hint="cs"/>
          <w:sz w:val="24"/>
          <w:rtl/>
        </w:rPr>
        <w:t xml:space="preserve"> </w:t>
      </w:r>
      <w:r w:rsidR="00560E16" w:rsidRPr="00FC19C4">
        <w:rPr>
          <w:rFonts w:cs="David" w:hint="cs"/>
          <w:sz w:val="24"/>
          <w:rtl/>
        </w:rPr>
        <w:t xml:space="preserve">ספק גדול אם יש לסווג באופן קטגורי כל החלטה בדבר אופן ניהול הליכים והכנתם </w:t>
      </w:r>
      <w:r w:rsidR="00560E16" w:rsidRPr="00FC19C4">
        <w:rPr>
          <w:rFonts w:cs="David"/>
          <w:sz w:val="24"/>
          <w:rtl/>
        </w:rPr>
        <w:t>–</w:t>
      </w:r>
      <w:r w:rsidR="00560E16" w:rsidRPr="00FC19C4">
        <w:rPr>
          <w:rFonts w:cs="David" w:hint="cs"/>
          <w:sz w:val="24"/>
          <w:rtl/>
        </w:rPr>
        <w:t xml:space="preserve"> גם אם היא דורשת רמה מסוימת של שיקול דעת </w:t>
      </w:r>
      <w:r w:rsidR="00560E16" w:rsidRPr="00FC19C4">
        <w:rPr>
          <w:rFonts w:cs="David"/>
          <w:sz w:val="24"/>
          <w:rtl/>
        </w:rPr>
        <w:t>–</w:t>
      </w:r>
      <w:r w:rsidR="00560E16" w:rsidRPr="00FC19C4">
        <w:rPr>
          <w:rFonts w:cs="David" w:hint="cs"/>
          <w:sz w:val="24"/>
          <w:rtl/>
        </w:rPr>
        <w:t xml:space="preserve"> תחת הקטגוריה של "הפעלת שיקול דעת משפטי". </w:t>
      </w:r>
      <w:r w:rsidR="00FC0959" w:rsidRPr="00FC19C4">
        <w:rPr>
          <w:rFonts w:cs="David" w:hint="cs"/>
          <w:sz w:val="24"/>
          <w:rtl/>
        </w:rPr>
        <w:t xml:space="preserve">נראה כי </w:t>
      </w:r>
      <w:r w:rsidR="003265C1" w:rsidRPr="00FC19C4">
        <w:rPr>
          <w:rFonts w:cs="David" w:hint="cs"/>
          <w:sz w:val="24"/>
          <w:u w:val="single"/>
          <w:rtl/>
        </w:rPr>
        <w:t xml:space="preserve">מדובר בניסוח רחב מדי, </w:t>
      </w:r>
      <w:r w:rsidR="00AE6D0E" w:rsidRPr="00FC19C4">
        <w:rPr>
          <w:rFonts w:cs="David" w:hint="cs"/>
          <w:sz w:val="24"/>
          <w:u w:val="single"/>
          <w:rtl/>
        </w:rPr>
        <w:t xml:space="preserve">שמאפשר להרחיב מאוד </w:t>
      </w:r>
      <w:r w:rsidR="003265C1" w:rsidRPr="00FC19C4">
        <w:rPr>
          <w:rFonts w:cs="David" w:hint="cs"/>
          <w:sz w:val="24"/>
          <w:u w:val="single"/>
          <w:rtl/>
        </w:rPr>
        <w:t xml:space="preserve">את </w:t>
      </w:r>
      <w:r w:rsidR="00FC0959" w:rsidRPr="00FC19C4">
        <w:rPr>
          <w:rFonts w:cs="David" w:hint="cs"/>
          <w:sz w:val="24"/>
          <w:u w:val="single"/>
          <w:rtl/>
        </w:rPr>
        <w:t xml:space="preserve">החריג </w:t>
      </w:r>
      <w:r w:rsidR="003265C1" w:rsidRPr="00FC19C4">
        <w:rPr>
          <w:rFonts w:cs="David" w:hint="cs"/>
          <w:sz w:val="24"/>
          <w:u w:val="single"/>
          <w:rtl/>
        </w:rPr>
        <w:t>של "הפעלת שיקול דעת משפטי"</w:t>
      </w:r>
      <w:r w:rsidR="00FC0959" w:rsidRPr="00FC19C4">
        <w:rPr>
          <w:rFonts w:cs="David" w:hint="cs"/>
          <w:sz w:val="24"/>
          <w:u w:val="single"/>
          <w:rtl/>
        </w:rPr>
        <w:t>,</w:t>
      </w:r>
      <w:r w:rsidR="003265C1" w:rsidRPr="00FC19C4">
        <w:rPr>
          <w:rFonts w:cs="David" w:hint="cs"/>
          <w:sz w:val="24"/>
          <w:u w:val="single"/>
          <w:rtl/>
        </w:rPr>
        <w:t xml:space="preserve"> </w:t>
      </w:r>
      <w:r w:rsidR="00AE6D0E" w:rsidRPr="00FC19C4">
        <w:rPr>
          <w:rFonts w:cs="David" w:hint="cs"/>
          <w:sz w:val="24"/>
          <w:u w:val="single"/>
          <w:rtl/>
        </w:rPr>
        <w:t xml:space="preserve">ולהחיל אותו על פעולות שאינן בליבת שיקול הדעת המשפטי של </w:t>
      </w:r>
      <w:r w:rsidR="00AE6D0E" w:rsidRPr="00FC19C4">
        <w:rPr>
          <w:rFonts w:cs="David" w:hint="cs"/>
          <w:sz w:val="24"/>
          <w:u w:val="single"/>
          <w:rtl/>
        </w:rPr>
        <w:lastRenderedPageBreak/>
        <w:t xml:space="preserve">מערך הייצוג, ושקיים אינטרס ציבורי שהנציב רשאי יהיה </w:t>
      </w:r>
      <w:proofErr w:type="spellStart"/>
      <w:r w:rsidR="00AE6D0E" w:rsidRPr="00FC19C4">
        <w:rPr>
          <w:rFonts w:cs="David" w:hint="cs"/>
          <w:sz w:val="24"/>
          <w:u w:val="single"/>
          <w:rtl/>
        </w:rPr>
        <w:t>לב</w:t>
      </w:r>
      <w:r w:rsidR="006A632B" w:rsidRPr="00FC19C4">
        <w:rPr>
          <w:rFonts w:cs="David" w:hint="cs"/>
          <w:sz w:val="24"/>
          <w:u w:val="single"/>
          <w:rtl/>
        </w:rPr>
        <w:t>ו</w:t>
      </w:r>
      <w:r w:rsidR="00AE6D0E" w:rsidRPr="00FC19C4">
        <w:rPr>
          <w:rFonts w:cs="David" w:hint="cs"/>
          <w:sz w:val="24"/>
          <w:u w:val="single"/>
          <w:rtl/>
        </w:rPr>
        <w:t>דק</w:t>
      </w:r>
      <w:r w:rsidR="00C46BAB">
        <w:rPr>
          <w:rFonts w:cs="David" w:hint="cs"/>
          <w:sz w:val="24"/>
          <w:u w:val="single"/>
          <w:rtl/>
        </w:rPr>
        <w:t>ן</w:t>
      </w:r>
      <w:proofErr w:type="spellEnd"/>
      <w:r w:rsidR="00AE6D0E" w:rsidRPr="00FC19C4">
        <w:rPr>
          <w:rFonts w:cs="David" w:hint="cs"/>
          <w:sz w:val="24"/>
          <w:u w:val="single"/>
          <w:rtl/>
        </w:rPr>
        <w:t>.</w:t>
      </w:r>
      <w:r w:rsidR="005718E9">
        <w:rPr>
          <w:rFonts w:cs="David" w:hint="cs"/>
          <w:sz w:val="24"/>
          <w:u w:val="single"/>
          <w:rtl/>
        </w:rPr>
        <w:t xml:space="preserve"> נעיר, כי הדברים האמורים מקבלים משנה תוקף בכל הנוגע לביקורת </w:t>
      </w:r>
      <w:r w:rsidR="003C402B">
        <w:rPr>
          <w:rFonts w:cs="David" w:hint="cs"/>
          <w:sz w:val="24"/>
          <w:u w:val="single"/>
          <w:rtl/>
        </w:rPr>
        <w:t>ה</w:t>
      </w:r>
      <w:r w:rsidR="005718E9">
        <w:rPr>
          <w:rFonts w:cs="David" w:hint="cs"/>
          <w:sz w:val="24"/>
          <w:u w:val="single"/>
          <w:rtl/>
        </w:rPr>
        <w:t xml:space="preserve">מערכתית ששם, על פני הדברים, כלל </w:t>
      </w:r>
      <w:r w:rsidR="003C402B">
        <w:rPr>
          <w:rFonts w:cs="David" w:hint="cs"/>
          <w:sz w:val="24"/>
          <w:u w:val="single"/>
          <w:rtl/>
        </w:rPr>
        <w:t>אין</w:t>
      </w:r>
      <w:r w:rsidR="005718E9">
        <w:rPr>
          <w:rFonts w:cs="David" w:hint="cs"/>
          <w:sz w:val="24"/>
          <w:u w:val="single"/>
          <w:rtl/>
        </w:rPr>
        <w:t xml:space="preserve"> מקום לסייג זה</w:t>
      </w:r>
      <w:r w:rsidR="005718E9" w:rsidRPr="003C402B">
        <w:rPr>
          <w:rFonts w:cs="David" w:hint="cs"/>
          <w:sz w:val="24"/>
          <w:rtl/>
        </w:rPr>
        <w:t>.</w:t>
      </w:r>
    </w:p>
    <w:p w:rsidR="005B496C" w:rsidRPr="00FC19C4" w:rsidRDefault="005B496C" w:rsidP="00995C1C">
      <w:pPr>
        <w:spacing w:after="100" w:line="312" w:lineRule="auto"/>
        <w:rPr>
          <w:rFonts w:cs="David"/>
          <w:sz w:val="24"/>
          <w:rtl/>
        </w:rPr>
      </w:pPr>
      <w:r w:rsidRPr="00FC19C4">
        <w:rPr>
          <w:rFonts w:cs="David" w:hint="cs"/>
          <w:sz w:val="24"/>
          <w:rtl/>
        </w:rPr>
        <w:t xml:space="preserve">נוסף על השאלה מהו "שיקול דעת משפטי", שאלה לא פחות משמעותית היא </w:t>
      </w:r>
      <w:r w:rsidRPr="00157173">
        <w:rPr>
          <w:rFonts w:cs="David" w:hint="cs"/>
          <w:sz w:val="24"/>
          <w:u w:val="single"/>
          <w:rtl/>
        </w:rPr>
        <w:t>מיהו הגורם המוסמך לקבוע האם עניין קונקרטי הוא "שיקול דעת משפטי"</w:t>
      </w:r>
      <w:r w:rsidRPr="00FC19C4">
        <w:rPr>
          <w:rFonts w:cs="David" w:hint="cs"/>
          <w:sz w:val="24"/>
          <w:rtl/>
        </w:rPr>
        <w:t>.</w:t>
      </w:r>
      <w:r w:rsidR="00D64FCF" w:rsidRPr="00FC19C4">
        <w:rPr>
          <w:rFonts w:cs="David" w:hint="cs"/>
          <w:sz w:val="24"/>
          <w:rtl/>
        </w:rPr>
        <w:t xml:space="preserve"> </w:t>
      </w:r>
      <w:r w:rsidR="00376B76">
        <w:rPr>
          <w:rFonts w:cs="David" w:hint="cs"/>
          <w:sz w:val="24"/>
          <w:rtl/>
        </w:rPr>
        <w:t xml:space="preserve">הצעת החוק הפרטית אינה קובעת דבר בעניין זה. לעומת זאת, </w:t>
      </w:r>
      <w:r w:rsidR="00D64FCF" w:rsidRPr="00FC19C4">
        <w:rPr>
          <w:rFonts w:cs="David" w:hint="cs"/>
          <w:sz w:val="24"/>
          <w:rtl/>
        </w:rPr>
        <w:t xml:space="preserve">הצעת החוק הממשלתית </w:t>
      </w:r>
      <w:r w:rsidR="00FC19C4" w:rsidRPr="00FC19C4">
        <w:rPr>
          <w:rFonts w:cs="David" w:hint="cs"/>
          <w:sz w:val="24"/>
          <w:rtl/>
        </w:rPr>
        <w:t>מבקשת לקבוע</w:t>
      </w:r>
      <w:r w:rsidR="00D64FCF" w:rsidRPr="00FC19C4">
        <w:rPr>
          <w:rFonts w:cs="David" w:hint="cs"/>
          <w:sz w:val="24"/>
          <w:rtl/>
        </w:rPr>
        <w:t xml:space="preserve"> כי אם התעוררה שאלה האם משהו מסוים הוא "הפעלת שיקול דעת משפטי" </w:t>
      </w:r>
      <w:r w:rsidR="00D64FCF" w:rsidRPr="00FC19C4">
        <w:rPr>
          <w:rFonts w:cs="David"/>
          <w:sz w:val="24"/>
          <w:rtl/>
        </w:rPr>
        <w:t>–</w:t>
      </w:r>
      <w:r w:rsidR="00D64FCF" w:rsidRPr="00FC19C4">
        <w:rPr>
          <w:rFonts w:cs="David" w:hint="cs"/>
          <w:sz w:val="24"/>
          <w:rtl/>
        </w:rPr>
        <w:t xml:space="preserve"> היועץ המשפטי לממשלה הוא זה שיכריע בשאלה. </w:t>
      </w:r>
      <w:r w:rsidR="007D6523" w:rsidRPr="00FC19C4">
        <w:rPr>
          <w:rFonts w:cs="David" w:hint="cs"/>
          <w:sz w:val="24"/>
          <w:rtl/>
        </w:rPr>
        <w:t xml:space="preserve">להלן, </w:t>
      </w:r>
      <w:r w:rsidR="003A235D" w:rsidRPr="00FC19C4">
        <w:rPr>
          <w:rFonts w:cs="David" w:hint="cs"/>
          <w:sz w:val="24"/>
          <w:rtl/>
        </w:rPr>
        <w:t xml:space="preserve">במסגרת הדיון בשאלת היחס בין היועץ המשפטי לממשלה לבין הנציב, </w:t>
      </w:r>
      <w:r w:rsidR="007D6523" w:rsidRPr="00FC19C4">
        <w:rPr>
          <w:rFonts w:cs="David" w:hint="cs"/>
          <w:sz w:val="24"/>
          <w:rtl/>
        </w:rPr>
        <w:t xml:space="preserve">נעמוד על הקושי </w:t>
      </w:r>
      <w:r w:rsidR="00AE0BB0" w:rsidRPr="00FC19C4">
        <w:rPr>
          <w:rFonts w:cs="David" w:hint="cs"/>
          <w:sz w:val="24"/>
          <w:rtl/>
        </w:rPr>
        <w:t>ש</w:t>
      </w:r>
      <w:r w:rsidR="003A235D" w:rsidRPr="00FC19C4">
        <w:rPr>
          <w:rFonts w:cs="David" w:hint="cs"/>
          <w:sz w:val="24"/>
          <w:rtl/>
        </w:rPr>
        <w:t>בהסדר המוצע</w:t>
      </w:r>
      <w:r w:rsidR="00516201">
        <w:rPr>
          <w:rFonts w:cs="David" w:hint="cs"/>
          <w:sz w:val="24"/>
          <w:rtl/>
        </w:rPr>
        <w:t>, אך נעיר כבר כעת, שמחלוקת בין גופים מבוקרים לבין המבקר אותם בענייני סמכות ה</w:t>
      </w:r>
      <w:r w:rsidR="00995C1C">
        <w:rPr>
          <w:rFonts w:cs="David" w:hint="cs"/>
          <w:sz w:val="24"/>
          <w:rtl/>
        </w:rPr>
        <w:t>י</w:t>
      </w:r>
      <w:r w:rsidR="00516201">
        <w:rPr>
          <w:rFonts w:cs="David" w:hint="cs"/>
          <w:sz w:val="24"/>
          <w:rtl/>
        </w:rPr>
        <w:t>א דבר שקורה, ובעיקר בביקורת מערכתית, ואין בעיני</w:t>
      </w:r>
      <w:r w:rsidR="00995C1C">
        <w:rPr>
          <w:rFonts w:cs="David" w:hint="cs"/>
          <w:sz w:val="24"/>
          <w:rtl/>
        </w:rPr>
        <w:t>נ</w:t>
      </w:r>
      <w:r w:rsidR="00516201">
        <w:rPr>
          <w:rFonts w:cs="David" w:hint="cs"/>
          <w:sz w:val="24"/>
          <w:rtl/>
        </w:rPr>
        <w:t>ו מקום שהמבוקר יהיה זה שיכריע במחלוקת זו.</w:t>
      </w:r>
    </w:p>
    <w:p w:rsidR="00FE6F60" w:rsidRPr="00FC19C4" w:rsidRDefault="003265C1" w:rsidP="00C04BFE">
      <w:pPr>
        <w:spacing w:after="100" w:line="312" w:lineRule="auto"/>
        <w:rPr>
          <w:rFonts w:cs="David"/>
          <w:sz w:val="24"/>
          <w:rtl/>
        </w:rPr>
      </w:pPr>
      <w:r w:rsidRPr="00FC19C4">
        <w:rPr>
          <w:rFonts w:cs="David" w:hint="cs"/>
          <w:sz w:val="24"/>
          <w:rtl/>
        </w:rPr>
        <w:t xml:space="preserve">נוכח האמור, הוועדה </w:t>
      </w:r>
      <w:r w:rsidR="00055ED7">
        <w:rPr>
          <w:rFonts w:cs="David" w:hint="cs"/>
          <w:sz w:val="24"/>
          <w:rtl/>
        </w:rPr>
        <w:t xml:space="preserve">נדרשת </w:t>
      </w:r>
      <w:r w:rsidRPr="00FC19C4">
        <w:rPr>
          <w:rFonts w:cs="David" w:hint="cs"/>
          <w:sz w:val="24"/>
          <w:rtl/>
        </w:rPr>
        <w:t xml:space="preserve">לתת את דעתה </w:t>
      </w:r>
      <w:r w:rsidR="00AE6D0E" w:rsidRPr="00FC19C4">
        <w:rPr>
          <w:rFonts w:cs="David" w:hint="cs"/>
          <w:sz w:val="24"/>
          <w:rtl/>
        </w:rPr>
        <w:t>על ה</w:t>
      </w:r>
      <w:r w:rsidR="00495317" w:rsidRPr="00FC19C4">
        <w:rPr>
          <w:rFonts w:cs="David" w:hint="cs"/>
          <w:sz w:val="24"/>
          <w:rtl/>
        </w:rPr>
        <w:t xml:space="preserve">שאלה </w:t>
      </w:r>
      <w:r w:rsidR="0068654E" w:rsidRPr="00FC19C4">
        <w:rPr>
          <w:rFonts w:cs="David" w:hint="cs"/>
          <w:sz w:val="24"/>
          <w:rtl/>
        </w:rPr>
        <w:t xml:space="preserve">כיצד, אם בכלל, ניתן לקבוע נוסחה ברורה שתבחין </w:t>
      </w:r>
      <w:r w:rsidRPr="00FC19C4">
        <w:rPr>
          <w:rFonts w:cs="David" w:hint="cs"/>
          <w:sz w:val="24"/>
          <w:rtl/>
        </w:rPr>
        <w:t xml:space="preserve">בין הפעלת שיקול דעת משפטי </w:t>
      </w:r>
      <w:r w:rsidR="0068654E" w:rsidRPr="00FC19C4">
        <w:rPr>
          <w:rFonts w:cs="David" w:hint="cs"/>
          <w:sz w:val="24"/>
          <w:rtl/>
        </w:rPr>
        <w:t xml:space="preserve">שאיננה </w:t>
      </w:r>
      <w:r w:rsidRPr="00FC19C4">
        <w:rPr>
          <w:rFonts w:cs="David" w:hint="cs"/>
          <w:sz w:val="24"/>
          <w:rtl/>
        </w:rPr>
        <w:t>מושא לבירור תלונות, לפעולות א</w:t>
      </w:r>
      <w:r w:rsidR="00AE0BB0" w:rsidRPr="00FC19C4">
        <w:rPr>
          <w:rFonts w:cs="David" w:hint="cs"/>
          <w:sz w:val="24"/>
          <w:rtl/>
        </w:rPr>
        <w:t xml:space="preserve">חרות שתהיינה מושא לבירור תלונות; ומיהו הגורם שאמור להכריע, </w:t>
      </w:r>
      <w:r w:rsidR="00055ED7">
        <w:rPr>
          <w:rFonts w:cs="David" w:hint="cs"/>
          <w:sz w:val="24"/>
          <w:rtl/>
        </w:rPr>
        <w:t xml:space="preserve">כאשר </w:t>
      </w:r>
      <w:r w:rsidR="00AE0BB0" w:rsidRPr="00FC19C4">
        <w:rPr>
          <w:rFonts w:cs="David" w:hint="cs"/>
          <w:sz w:val="24"/>
          <w:rtl/>
        </w:rPr>
        <w:t>מתעוררת שאלה קונקרטית האם פעולה מסוימת היא "הפעלת שיקול דעת משפטי".</w:t>
      </w:r>
    </w:p>
    <w:p w:rsidR="00AE0BB0" w:rsidRPr="00FC19C4" w:rsidRDefault="00AE0BB0" w:rsidP="00C04BFE">
      <w:pPr>
        <w:spacing w:after="100" w:line="312" w:lineRule="auto"/>
        <w:rPr>
          <w:rFonts w:cs="David"/>
          <w:sz w:val="24"/>
          <w:rtl/>
        </w:rPr>
      </w:pPr>
    </w:p>
    <w:p w:rsidR="002D561D" w:rsidRPr="002B1F75" w:rsidRDefault="00753AA3" w:rsidP="00FC19C4">
      <w:pPr>
        <w:spacing w:after="120" w:line="240" w:lineRule="auto"/>
        <w:rPr>
          <w:rFonts w:cs="David"/>
          <w:b/>
          <w:bCs/>
          <w:sz w:val="26"/>
          <w:szCs w:val="26"/>
          <w:rtl/>
        </w:rPr>
      </w:pPr>
      <w:r w:rsidRPr="002B1F75">
        <w:rPr>
          <w:rFonts w:cs="David" w:hint="cs"/>
          <w:b/>
          <w:bCs/>
          <w:sz w:val="26"/>
          <w:szCs w:val="26"/>
          <w:rtl/>
        </w:rPr>
        <w:t xml:space="preserve">(3) </w:t>
      </w:r>
      <w:r w:rsidR="000461FF" w:rsidRPr="002B1F75">
        <w:rPr>
          <w:rFonts w:cs="David" w:hint="cs"/>
          <w:b/>
          <w:bCs/>
          <w:sz w:val="26"/>
          <w:szCs w:val="26"/>
          <w:u w:val="single"/>
          <w:rtl/>
        </w:rPr>
        <w:t xml:space="preserve">מודל </w:t>
      </w:r>
      <w:r w:rsidR="00AC0849" w:rsidRPr="002B1F75">
        <w:rPr>
          <w:rFonts w:cs="David" w:hint="cs"/>
          <w:b/>
          <w:bCs/>
          <w:sz w:val="26"/>
          <w:szCs w:val="26"/>
          <w:u w:val="single"/>
          <w:rtl/>
        </w:rPr>
        <w:t xml:space="preserve">הביקורת </w:t>
      </w:r>
      <w:r w:rsidR="0068724A" w:rsidRPr="002B1F75">
        <w:rPr>
          <w:rFonts w:cs="David" w:hint="cs"/>
          <w:b/>
          <w:bCs/>
          <w:sz w:val="26"/>
          <w:szCs w:val="26"/>
          <w:u w:val="single"/>
          <w:rtl/>
        </w:rPr>
        <w:t xml:space="preserve">המתאים </w:t>
      </w:r>
      <w:r w:rsidR="000461FF" w:rsidRPr="002B1F75">
        <w:rPr>
          <w:rFonts w:cs="David" w:hint="cs"/>
          <w:b/>
          <w:bCs/>
          <w:sz w:val="26"/>
          <w:szCs w:val="26"/>
          <w:u w:val="single"/>
          <w:rtl/>
        </w:rPr>
        <w:t xml:space="preserve">לביצוע </w:t>
      </w:r>
      <w:r w:rsidR="002D561D" w:rsidRPr="002B1F75">
        <w:rPr>
          <w:rFonts w:cs="David" w:hint="cs"/>
          <w:b/>
          <w:bCs/>
          <w:sz w:val="26"/>
          <w:szCs w:val="26"/>
          <w:u w:val="single"/>
          <w:rtl/>
        </w:rPr>
        <w:t>ביקורת מערכתית</w:t>
      </w:r>
      <w:r w:rsidR="00FB58E6" w:rsidRPr="002B1F75">
        <w:rPr>
          <w:rFonts w:cs="David" w:hint="cs"/>
          <w:b/>
          <w:bCs/>
          <w:sz w:val="26"/>
          <w:szCs w:val="26"/>
          <w:u w:val="single"/>
          <w:rtl/>
        </w:rPr>
        <w:t xml:space="preserve"> על מערך הייצוג</w:t>
      </w:r>
      <w:r w:rsidR="0068724A" w:rsidRPr="002B1F75">
        <w:rPr>
          <w:rFonts w:cs="David" w:hint="cs"/>
          <w:b/>
          <w:bCs/>
          <w:sz w:val="26"/>
          <w:szCs w:val="26"/>
          <w:u w:val="single"/>
          <w:rtl/>
        </w:rPr>
        <w:t xml:space="preserve"> </w:t>
      </w:r>
    </w:p>
    <w:p w:rsidR="0034625E" w:rsidRPr="00980FD1" w:rsidRDefault="00995C1C" w:rsidP="00C04BFE">
      <w:pPr>
        <w:spacing w:after="100" w:line="312" w:lineRule="auto"/>
        <w:rPr>
          <w:rFonts w:cs="David"/>
          <w:sz w:val="24"/>
          <w:rtl/>
        </w:rPr>
      </w:pPr>
      <w:r>
        <w:rPr>
          <w:rFonts w:cs="David" w:hint="cs"/>
          <w:sz w:val="24"/>
          <w:rtl/>
        </w:rPr>
        <w:t xml:space="preserve">בעינינו, וגם נוכח מיעוט התלונות הפרטניות שנמצאו מוצדקות, </w:t>
      </w:r>
      <w:r w:rsidRPr="00995C1C">
        <w:rPr>
          <w:rFonts w:cs="David" w:hint="cs"/>
          <w:b/>
          <w:bCs/>
          <w:sz w:val="24"/>
          <w:rtl/>
        </w:rPr>
        <w:t>הביקורת המערכתית היא הנושא החשוב ביותר בהצעת החוק</w:t>
      </w:r>
      <w:r>
        <w:rPr>
          <w:rFonts w:cs="David" w:hint="cs"/>
          <w:sz w:val="24"/>
          <w:rtl/>
        </w:rPr>
        <w:t xml:space="preserve">. </w:t>
      </w:r>
      <w:r w:rsidR="00040C47" w:rsidRPr="002B1F75">
        <w:rPr>
          <w:rFonts w:cs="David" w:hint="cs"/>
          <w:sz w:val="24"/>
          <w:rtl/>
        </w:rPr>
        <w:t>מבין הדוחות השונים שנכתבו בנושא, כמו גם מהצעות החוק המונחות על שולחן הוועדה, עולים מספר דגמים אפשריים לביקורת מערכתית על מערך הייצוג</w:t>
      </w:r>
      <w:r w:rsidR="00FF61B9" w:rsidRPr="002B1F75">
        <w:rPr>
          <w:rFonts w:cs="David" w:hint="cs"/>
          <w:sz w:val="24"/>
          <w:rtl/>
        </w:rPr>
        <w:t xml:space="preserve">. שתי שאלות מרכזיות מפרידות בין הדגמים השונים: הראשונה </w:t>
      </w:r>
      <w:r w:rsidR="00FF61B9" w:rsidRPr="002B1F75">
        <w:rPr>
          <w:rFonts w:cs="David"/>
          <w:sz w:val="24"/>
          <w:rtl/>
        </w:rPr>
        <w:t>–</w:t>
      </w:r>
      <w:r w:rsidR="00FF61B9" w:rsidRPr="002B1F75">
        <w:rPr>
          <w:rFonts w:cs="David" w:hint="cs"/>
          <w:sz w:val="24"/>
          <w:rtl/>
        </w:rPr>
        <w:t xml:space="preserve"> האם מדובר בביקורת פנימית או בביקורת חיצונית; </w:t>
      </w:r>
      <w:proofErr w:type="spellStart"/>
      <w:r w:rsidR="00FF61B9" w:rsidRPr="002B1F75">
        <w:rPr>
          <w:rFonts w:cs="David" w:hint="cs"/>
          <w:sz w:val="24"/>
          <w:rtl/>
        </w:rPr>
        <w:t>השניה</w:t>
      </w:r>
      <w:proofErr w:type="spellEnd"/>
      <w:r w:rsidR="00FF61B9" w:rsidRPr="002B1F75">
        <w:rPr>
          <w:rFonts w:cs="David" w:hint="cs"/>
          <w:sz w:val="24"/>
          <w:rtl/>
        </w:rPr>
        <w:t xml:space="preserve"> </w:t>
      </w:r>
      <w:r w:rsidR="00FF61B9" w:rsidRPr="002B1F75">
        <w:rPr>
          <w:rFonts w:cs="David"/>
          <w:sz w:val="24"/>
          <w:rtl/>
        </w:rPr>
        <w:t>–</w:t>
      </w:r>
      <w:r w:rsidR="00FF61B9" w:rsidRPr="002B1F75">
        <w:rPr>
          <w:rFonts w:cs="David" w:hint="cs"/>
          <w:sz w:val="24"/>
          <w:rtl/>
        </w:rPr>
        <w:t xml:space="preserve"> האם מדובר במודל מאוחד שבו המבקר נושא </w:t>
      </w:r>
      <w:r w:rsidR="00FF61B9" w:rsidRPr="00980FD1">
        <w:rPr>
          <w:rFonts w:cs="David" w:hint="cs"/>
          <w:sz w:val="24"/>
          <w:rtl/>
        </w:rPr>
        <w:t>בנוסף גם בתפקיד של מברר תלונות פרטניות או במודל מפוצל שבו בירור התלונות נעשה על ידי גורם אחר ונפרד.</w:t>
      </w:r>
      <w:r w:rsidR="00E05999" w:rsidRPr="00980FD1">
        <w:rPr>
          <w:rFonts w:cs="David" w:hint="cs"/>
          <w:sz w:val="24"/>
          <w:rtl/>
        </w:rPr>
        <w:t xml:space="preserve"> </w:t>
      </w:r>
      <w:r w:rsidR="007E3E78" w:rsidRPr="00980FD1">
        <w:rPr>
          <w:rFonts w:cs="David" w:hint="cs"/>
          <w:sz w:val="24"/>
          <w:rtl/>
        </w:rPr>
        <w:t>צירוף האפשרויות העולות משני החיתוכים האמורים מוביל ליצירת 4 דגמים אפשריים שונים</w:t>
      </w:r>
      <w:r w:rsidR="00791AB9" w:rsidRPr="00980FD1">
        <w:rPr>
          <w:rStyle w:val="aa"/>
          <w:rFonts w:cs="David"/>
          <w:sz w:val="24"/>
          <w:rtl/>
        </w:rPr>
        <w:footnoteReference w:id="3"/>
      </w:r>
      <w:r w:rsidR="007E3E78" w:rsidRPr="00980FD1">
        <w:rPr>
          <w:rFonts w:cs="David" w:hint="cs"/>
          <w:sz w:val="24"/>
          <w:rtl/>
        </w:rPr>
        <w:t>.</w:t>
      </w:r>
    </w:p>
    <w:p w:rsidR="00BC1FB3" w:rsidRPr="00980FD1" w:rsidRDefault="00BC1FB3" w:rsidP="00C04BFE">
      <w:pPr>
        <w:spacing w:after="100" w:line="312" w:lineRule="auto"/>
        <w:rPr>
          <w:rFonts w:cs="David"/>
          <w:sz w:val="24"/>
          <w:rtl/>
        </w:rPr>
      </w:pPr>
      <w:r w:rsidRPr="00980FD1">
        <w:rPr>
          <w:rFonts w:cs="David" w:hint="cs"/>
          <w:sz w:val="24"/>
          <w:rtl/>
        </w:rPr>
        <w:t xml:space="preserve">טיעונים רבים </w:t>
      </w:r>
      <w:r w:rsidR="00054287" w:rsidRPr="00980FD1">
        <w:rPr>
          <w:rFonts w:cs="David" w:hint="cs"/>
          <w:sz w:val="24"/>
          <w:rtl/>
        </w:rPr>
        <w:t xml:space="preserve">הועלו </w:t>
      </w:r>
      <w:r w:rsidRPr="00980FD1">
        <w:rPr>
          <w:rFonts w:cs="David" w:hint="cs"/>
          <w:sz w:val="24"/>
          <w:rtl/>
        </w:rPr>
        <w:t>בעד ונגד כל אחד מהדגמים</w:t>
      </w:r>
      <w:r w:rsidR="00054287" w:rsidRPr="00980FD1">
        <w:rPr>
          <w:rFonts w:cs="David" w:hint="cs"/>
          <w:sz w:val="24"/>
          <w:rtl/>
        </w:rPr>
        <w:t xml:space="preserve"> האפשריים</w:t>
      </w:r>
      <w:r w:rsidR="0017723B" w:rsidRPr="00980FD1">
        <w:rPr>
          <w:rFonts w:cs="David" w:hint="cs"/>
          <w:sz w:val="24"/>
          <w:rtl/>
        </w:rPr>
        <w:t>. ואולם,</w:t>
      </w:r>
      <w:r w:rsidRPr="00980FD1">
        <w:rPr>
          <w:rFonts w:cs="David" w:hint="cs"/>
          <w:sz w:val="24"/>
          <w:rtl/>
        </w:rPr>
        <w:t xml:space="preserve"> </w:t>
      </w:r>
      <w:r w:rsidR="0017723B" w:rsidRPr="00980FD1">
        <w:rPr>
          <w:rFonts w:cs="David" w:hint="cs"/>
          <w:sz w:val="24"/>
          <w:rtl/>
        </w:rPr>
        <w:t xml:space="preserve">נדמה </w:t>
      </w:r>
      <w:r w:rsidR="00054287" w:rsidRPr="00980FD1">
        <w:rPr>
          <w:rFonts w:cs="David" w:hint="cs"/>
          <w:sz w:val="24"/>
          <w:rtl/>
        </w:rPr>
        <w:t>ש</w:t>
      </w:r>
      <w:r w:rsidR="0017723B" w:rsidRPr="00980FD1">
        <w:rPr>
          <w:rFonts w:cs="David" w:hint="cs"/>
          <w:sz w:val="24"/>
          <w:rtl/>
        </w:rPr>
        <w:t xml:space="preserve">ניתן למקד את הסוגיה בשני </w:t>
      </w:r>
      <w:r w:rsidR="00C0561C" w:rsidRPr="00980FD1">
        <w:rPr>
          <w:rFonts w:cs="David" w:hint="cs"/>
          <w:sz w:val="24"/>
          <w:rtl/>
        </w:rPr>
        <w:t>נימוקים</w:t>
      </w:r>
      <w:r w:rsidR="0017723B" w:rsidRPr="00980FD1">
        <w:rPr>
          <w:rFonts w:cs="David" w:hint="cs"/>
          <w:sz w:val="24"/>
          <w:rtl/>
        </w:rPr>
        <w:t xml:space="preserve"> מרכזיים: </w:t>
      </w:r>
      <w:r w:rsidR="00C0561C" w:rsidRPr="00980FD1">
        <w:rPr>
          <w:rFonts w:cs="David" w:hint="cs"/>
          <w:sz w:val="24"/>
          <w:rtl/>
        </w:rPr>
        <w:t xml:space="preserve">מצד אחד, </w:t>
      </w:r>
      <w:r w:rsidRPr="00980FD1">
        <w:rPr>
          <w:rFonts w:cs="David" w:hint="cs"/>
          <w:sz w:val="24"/>
          <w:rtl/>
        </w:rPr>
        <w:t xml:space="preserve">ההצעות שמאמצות את הדגם של </w:t>
      </w:r>
      <w:r w:rsidRPr="00980FD1">
        <w:rPr>
          <w:rFonts w:cs="David" w:hint="cs"/>
          <w:sz w:val="24"/>
          <w:u w:val="single"/>
          <w:rtl/>
        </w:rPr>
        <w:t>ביקורת פנימית</w:t>
      </w:r>
      <w:r w:rsidR="0017723B" w:rsidRPr="00980FD1">
        <w:rPr>
          <w:rFonts w:cs="David" w:hint="cs"/>
          <w:sz w:val="24"/>
          <w:rtl/>
        </w:rPr>
        <w:t xml:space="preserve"> </w:t>
      </w:r>
      <w:r w:rsidR="0017723B" w:rsidRPr="00980FD1">
        <w:rPr>
          <w:rFonts w:cs="David"/>
          <w:sz w:val="24"/>
          <w:rtl/>
        </w:rPr>
        <w:t>–</w:t>
      </w:r>
      <w:r w:rsidRPr="00980FD1">
        <w:rPr>
          <w:rFonts w:cs="David" w:hint="cs"/>
          <w:sz w:val="24"/>
          <w:rtl/>
        </w:rPr>
        <w:t xml:space="preserve"> שמות את הדגש על היותו של המבקר </w:t>
      </w:r>
      <w:r w:rsidRPr="00980FD1">
        <w:rPr>
          <w:rFonts w:cs="David" w:hint="cs"/>
          <w:b/>
          <w:bCs/>
          <w:sz w:val="24"/>
          <w:rtl/>
        </w:rPr>
        <w:t>כלי ניהולי</w:t>
      </w:r>
      <w:r w:rsidRPr="00980FD1">
        <w:rPr>
          <w:rFonts w:cs="David" w:hint="cs"/>
          <w:sz w:val="24"/>
          <w:rtl/>
        </w:rPr>
        <w:t xml:space="preserve"> יעיל, זמין וגמיש של הנהלת הארגון</w:t>
      </w:r>
      <w:r w:rsidR="00C0561C" w:rsidRPr="00980FD1">
        <w:rPr>
          <w:rFonts w:cs="David" w:hint="cs"/>
          <w:sz w:val="24"/>
          <w:rtl/>
        </w:rPr>
        <w:t xml:space="preserve">, כמו גם על </w:t>
      </w:r>
      <w:r w:rsidR="00791AB9" w:rsidRPr="00980FD1">
        <w:rPr>
          <w:rFonts w:cs="David" w:hint="cs"/>
          <w:sz w:val="24"/>
          <w:rtl/>
        </w:rPr>
        <w:t xml:space="preserve">ההיכרות האינטימית של המבקר עם הגוף המבוקר והיכולת לפעול בתיאום ובשיתוף פעולה עם הנהלת הגוף. </w:t>
      </w:r>
      <w:r w:rsidR="00C0561C" w:rsidRPr="00980FD1">
        <w:rPr>
          <w:rFonts w:cs="David" w:hint="cs"/>
          <w:sz w:val="24"/>
          <w:rtl/>
        </w:rPr>
        <w:t>מצד שני</w:t>
      </w:r>
      <w:r w:rsidRPr="00980FD1">
        <w:rPr>
          <w:rFonts w:cs="David" w:hint="cs"/>
          <w:sz w:val="24"/>
          <w:rtl/>
        </w:rPr>
        <w:t xml:space="preserve">, ההצעות שבחרו את הדגם של </w:t>
      </w:r>
      <w:r w:rsidRPr="00980FD1">
        <w:rPr>
          <w:rFonts w:cs="David" w:hint="cs"/>
          <w:sz w:val="24"/>
          <w:u w:val="single"/>
          <w:rtl/>
        </w:rPr>
        <w:t>ביקורת חיצונית</w:t>
      </w:r>
      <w:r w:rsidR="0017723B" w:rsidRPr="00980FD1">
        <w:rPr>
          <w:rFonts w:cs="David" w:hint="cs"/>
          <w:sz w:val="24"/>
          <w:rtl/>
        </w:rPr>
        <w:t xml:space="preserve"> </w:t>
      </w:r>
      <w:r w:rsidR="0017723B" w:rsidRPr="00980FD1">
        <w:rPr>
          <w:rFonts w:cs="David"/>
          <w:sz w:val="24"/>
          <w:rtl/>
        </w:rPr>
        <w:t>–</w:t>
      </w:r>
      <w:r w:rsidRPr="00980FD1">
        <w:rPr>
          <w:rFonts w:cs="David" w:hint="cs"/>
          <w:sz w:val="24"/>
          <w:rtl/>
        </w:rPr>
        <w:t xml:space="preserve"> שמות את הדגש על </w:t>
      </w:r>
      <w:r w:rsidR="0017723B" w:rsidRPr="00980FD1">
        <w:rPr>
          <w:rFonts w:cs="David" w:hint="cs"/>
          <w:sz w:val="24"/>
          <w:rtl/>
        </w:rPr>
        <w:t>הצורך ב</w:t>
      </w:r>
      <w:r w:rsidR="0017723B" w:rsidRPr="00980FD1">
        <w:rPr>
          <w:rFonts w:cs="David" w:hint="cs"/>
          <w:b/>
          <w:bCs/>
          <w:sz w:val="24"/>
          <w:rtl/>
        </w:rPr>
        <w:t>מבקר שהוא בעל עצמאות מוסדית</w:t>
      </w:r>
      <w:r w:rsidR="0017723B" w:rsidRPr="00980FD1">
        <w:rPr>
          <w:rFonts w:cs="David" w:hint="cs"/>
          <w:sz w:val="24"/>
          <w:rtl/>
        </w:rPr>
        <w:t xml:space="preserve"> ברורה שאיננו תלוי בהנהלת </w:t>
      </w:r>
      <w:r w:rsidRPr="00980FD1">
        <w:rPr>
          <w:rFonts w:cs="David" w:hint="cs"/>
          <w:sz w:val="24"/>
          <w:rtl/>
        </w:rPr>
        <w:t>הארגון</w:t>
      </w:r>
      <w:r w:rsidR="0017723B" w:rsidRPr="00980FD1">
        <w:rPr>
          <w:rFonts w:cs="David" w:hint="cs"/>
          <w:sz w:val="24"/>
          <w:rtl/>
        </w:rPr>
        <w:t>, וזאת מתוך תפיסה</w:t>
      </w:r>
      <w:r w:rsidRPr="00980FD1">
        <w:rPr>
          <w:rFonts w:cs="David" w:hint="cs"/>
          <w:sz w:val="24"/>
          <w:rtl/>
        </w:rPr>
        <w:t xml:space="preserve"> </w:t>
      </w:r>
      <w:r w:rsidR="0017723B" w:rsidRPr="00980FD1">
        <w:rPr>
          <w:rFonts w:cs="David" w:hint="cs"/>
          <w:sz w:val="24"/>
          <w:rtl/>
        </w:rPr>
        <w:t xml:space="preserve">שעצמאות כזאת </w:t>
      </w:r>
      <w:r w:rsidRPr="00980FD1">
        <w:rPr>
          <w:rFonts w:cs="David" w:hint="cs"/>
          <w:sz w:val="24"/>
          <w:rtl/>
        </w:rPr>
        <w:t>מעניקה לביקורת אפקטיביות רבה יותר ומחזקת את אמון הציבור בביקורת.</w:t>
      </w:r>
    </w:p>
    <w:p w:rsidR="0068724A" w:rsidRPr="00980FD1" w:rsidRDefault="003C6930" w:rsidP="001A50A3">
      <w:pPr>
        <w:spacing w:line="312" w:lineRule="auto"/>
        <w:rPr>
          <w:rFonts w:cs="David"/>
          <w:sz w:val="24"/>
          <w:rtl/>
        </w:rPr>
      </w:pPr>
      <w:r w:rsidRPr="00980FD1">
        <w:rPr>
          <w:rFonts w:cs="David" w:hint="cs"/>
          <w:sz w:val="24"/>
          <w:rtl/>
        </w:rPr>
        <w:t xml:space="preserve">מעבר לנימוקים עקרוניים אלה שרלוונטיים לכל אחד מהדגמים האפשריים, יש מקום להתייחסות מפורטת להסדר שבהצעת החוק הממשלתית. </w:t>
      </w:r>
      <w:r w:rsidR="007B0A8D" w:rsidRPr="00980FD1">
        <w:rPr>
          <w:rFonts w:cs="David" w:hint="cs"/>
          <w:sz w:val="24"/>
          <w:rtl/>
        </w:rPr>
        <w:t xml:space="preserve">הצעת החוק הממשלתית בחרה </w:t>
      </w:r>
      <w:r w:rsidR="00DA1C20" w:rsidRPr="00980FD1">
        <w:rPr>
          <w:rFonts w:cs="David" w:hint="cs"/>
          <w:sz w:val="24"/>
          <w:rtl/>
        </w:rPr>
        <w:t xml:space="preserve">בהסדר </w:t>
      </w:r>
      <w:r w:rsidR="007B0A8D" w:rsidRPr="00980FD1">
        <w:rPr>
          <w:rFonts w:cs="David" w:hint="cs"/>
          <w:sz w:val="24"/>
          <w:rtl/>
        </w:rPr>
        <w:t xml:space="preserve">של ביקורת פנימית במודל מפוצל, קרי: מבקר פנימי ייעודי בתוך משרד המשפטים </w:t>
      </w:r>
      <w:r w:rsidR="00FC19C4" w:rsidRPr="00980FD1">
        <w:rPr>
          <w:rFonts w:cs="David" w:hint="cs"/>
          <w:sz w:val="24"/>
          <w:rtl/>
        </w:rPr>
        <w:t xml:space="preserve">לפי חוק הביקורת הפנימית, </w:t>
      </w:r>
      <w:r w:rsidR="007B0A8D" w:rsidRPr="00980FD1">
        <w:rPr>
          <w:rFonts w:cs="David" w:hint="cs"/>
          <w:sz w:val="24"/>
          <w:rtl/>
        </w:rPr>
        <w:t>שיערוך ביקורות מערכתיות</w:t>
      </w:r>
      <w:r w:rsidR="00403220" w:rsidRPr="00980FD1">
        <w:rPr>
          <w:rFonts w:cs="David" w:hint="cs"/>
          <w:sz w:val="24"/>
          <w:rtl/>
        </w:rPr>
        <w:t xml:space="preserve"> על מערך הייצוג</w:t>
      </w:r>
      <w:r w:rsidR="007B0A8D" w:rsidRPr="00980FD1">
        <w:rPr>
          <w:rFonts w:cs="David" w:hint="cs"/>
          <w:sz w:val="24"/>
          <w:rtl/>
        </w:rPr>
        <w:t>, ונציב חיצוני שיברר תלונות</w:t>
      </w:r>
      <w:r w:rsidR="00403220" w:rsidRPr="00980FD1">
        <w:rPr>
          <w:rFonts w:cs="David" w:hint="cs"/>
          <w:sz w:val="24"/>
          <w:rtl/>
        </w:rPr>
        <w:t xml:space="preserve"> על מייצגים</w:t>
      </w:r>
      <w:r w:rsidR="007B0A8D" w:rsidRPr="00980FD1">
        <w:rPr>
          <w:rFonts w:cs="David" w:hint="cs"/>
          <w:sz w:val="24"/>
          <w:rtl/>
        </w:rPr>
        <w:t>.</w:t>
      </w:r>
      <w:r w:rsidR="00A7545E" w:rsidRPr="00980FD1">
        <w:rPr>
          <w:rFonts w:cs="David" w:hint="cs"/>
          <w:sz w:val="24"/>
          <w:rtl/>
        </w:rPr>
        <w:t xml:space="preserve"> </w:t>
      </w:r>
      <w:r w:rsidR="007B0A8D" w:rsidRPr="00980FD1">
        <w:rPr>
          <w:rFonts w:cs="David" w:hint="cs"/>
          <w:sz w:val="24"/>
          <w:rtl/>
        </w:rPr>
        <w:t>ודוק, הצעת החוק הממשלתית אינה כוללת הסדר מקיף באשר לתפקידו, מעמדו וסמכויותיו של אותו מבקר פנימי ייעודי, אלא נסמכת כל כולה על ההסדר הקיים בחוק הביקורת הפנימית.</w:t>
      </w:r>
      <w:r w:rsidR="00177525" w:rsidRPr="00980FD1">
        <w:rPr>
          <w:rFonts w:cs="David" w:hint="cs"/>
          <w:sz w:val="24"/>
          <w:rtl/>
        </w:rPr>
        <w:t xml:space="preserve"> </w:t>
      </w:r>
      <w:r w:rsidRPr="00980FD1">
        <w:rPr>
          <w:rFonts w:cs="David" w:hint="cs"/>
          <w:sz w:val="24"/>
          <w:rtl/>
        </w:rPr>
        <w:t xml:space="preserve">ישנם </w:t>
      </w:r>
      <w:r w:rsidR="0079684A" w:rsidRPr="00980FD1">
        <w:rPr>
          <w:rFonts w:cs="David" w:hint="cs"/>
          <w:sz w:val="24"/>
          <w:rtl/>
        </w:rPr>
        <w:t>קשיים קונספטואלי</w:t>
      </w:r>
      <w:r w:rsidRPr="00980FD1">
        <w:rPr>
          <w:rFonts w:cs="David" w:hint="cs"/>
          <w:sz w:val="24"/>
          <w:rtl/>
        </w:rPr>
        <w:t xml:space="preserve">ים ומעשיים ניכרים </w:t>
      </w:r>
      <w:r w:rsidR="001A50A3">
        <w:rPr>
          <w:rFonts w:cs="David" w:hint="cs"/>
          <w:sz w:val="24"/>
          <w:rtl/>
        </w:rPr>
        <w:t>בהסתמכות על חוק הביקורת הפנימית, כמפורט להלן</w:t>
      </w:r>
      <w:r w:rsidR="0068724A" w:rsidRPr="00980FD1">
        <w:rPr>
          <w:rFonts w:cs="David" w:hint="cs"/>
          <w:sz w:val="24"/>
          <w:rtl/>
        </w:rPr>
        <w:t>:</w:t>
      </w:r>
    </w:p>
    <w:p w:rsidR="00437ACB" w:rsidRPr="002B1F75" w:rsidRDefault="00437ACB" w:rsidP="00C04BFE">
      <w:pPr>
        <w:pStyle w:val="a3"/>
        <w:numPr>
          <w:ilvl w:val="0"/>
          <w:numId w:val="7"/>
        </w:numPr>
        <w:spacing w:line="312" w:lineRule="auto"/>
        <w:rPr>
          <w:rFonts w:cs="David"/>
          <w:sz w:val="24"/>
        </w:rPr>
      </w:pPr>
      <w:r w:rsidRPr="0079684A">
        <w:rPr>
          <w:rFonts w:cs="David" w:hint="cs"/>
          <w:b/>
          <w:bCs/>
          <w:sz w:val="24"/>
          <w:rtl/>
        </w:rPr>
        <w:t>הגדרת מטרות הביקורת</w:t>
      </w:r>
      <w:r w:rsidR="00BE3DAE" w:rsidRPr="0079684A">
        <w:rPr>
          <w:rFonts w:cs="David" w:hint="cs"/>
          <w:sz w:val="24"/>
          <w:rtl/>
        </w:rPr>
        <w:t xml:space="preserve"> </w:t>
      </w:r>
      <w:r w:rsidR="00BE3DAE" w:rsidRPr="0079684A">
        <w:rPr>
          <w:rFonts w:cs="David"/>
          <w:sz w:val="24"/>
          <w:rtl/>
        </w:rPr>
        <w:t>–</w:t>
      </w:r>
      <w:r w:rsidRPr="0079684A">
        <w:rPr>
          <w:rFonts w:cs="David" w:hint="cs"/>
          <w:sz w:val="24"/>
          <w:rtl/>
        </w:rPr>
        <w:t xml:space="preserve"> ההסדר </w:t>
      </w:r>
      <w:r w:rsidRPr="002B1F75">
        <w:rPr>
          <w:rFonts w:cs="David" w:hint="cs"/>
          <w:sz w:val="24"/>
          <w:rtl/>
        </w:rPr>
        <w:t xml:space="preserve">המוצע אינו מגדיר בצורה ברורה את מטרות הביקורת המערכתית, </w:t>
      </w:r>
      <w:r w:rsidR="0004510F" w:rsidRPr="002B1F75">
        <w:rPr>
          <w:rFonts w:cs="David" w:hint="cs"/>
          <w:sz w:val="24"/>
          <w:rtl/>
        </w:rPr>
        <w:t xml:space="preserve">ואינו קובע </w:t>
      </w:r>
      <w:r w:rsidRPr="002B1F75">
        <w:rPr>
          <w:rFonts w:cs="David" w:hint="cs"/>
          <w:sz w:val="24"/>
          <w:rtl/>
        </w:rPr>
        <w:t xml:space="preserve">מה </w:t>
      </w:r>
      <w:r w:rsidR="0004510F" w:rsidRPr="002B1F75">
        <w:rPr>
          <w:rFonts w:cs="David" w:hint="cs"/>
          <w:sz w:val="24"/>
          <w:rtl/>
        </w:rPr>
        <w:t>מצופה מהמבקר לבחון ולבדוק במערך הייצוג. העדר הגדר</w:t>
      </w:r>
      <w:r w:rsidR="00BE3DAE" w:rsidRPr="002B1F75">
        <w:rPr>
          <w:rFonts w:cs="David" w:hint="cs"/>
          <w:sz w:val="24"/>
          <w:rtl/>
        </w:rPr>
        <w:t xml:space="preserve">ה </w:t>
      </w:r>
      <w:r w:rsidR="00BE3DAE" w:rsidRPr="002B1F75">
        <w:rPr>
          <w:rFonts w:cs="David" w:hint="cs"/>
          <w:sz w:val="24"/>
          <w:rtl/>
        </w:rPr>
        <w:lastRenderedPageBreak/>
        <w:t>ברורה ונפרדת</w:t>
      </w:r>
      <w:r w:rsidR="0004510F" w:rsidRPr="002B1F75">
        <w:rPr>
          <w:rFonts w:cs="David" w:hint="cs"/>
          <w:sz w:val="24"/>
          <w:rtl/>
        </w:rPr>
        <w:t xml:space="preserve"> </w:t>
      </w:r>
      <w:r w:rsidR="00BE3DAE" w:rsidRPr="002B1F75">
        <w:rPr>
          <w:rFonts w:cs="David" w:hint="cs"/>
          <w:sz w:val="24"/>
          <w:rtl/>
        </w:rPr>
        <w:t xml:space="preserve">של </w:t>
      </w:r>
      <w:r w:rsidR="0004510F" w:rsidRPr="002B1F75">
        <w:rPr>
          <w:rFonts w:cs="David" w:hint="cs"/>
          <w:sz w:val="24"/>
          <w:rtl/>
        </w:rPr>
        <w:t>מטרות הביקורת</w:t>
      </w:r>
      <w:r w:rsidR="00BE3DAE" w:rsidRPr="002B1F75">
        <w:rPr>
          <w:rFonts w:cs="David" w:hint="cs"/>
          <w:sz w:val="24"/>
          <w:rtl/>
        </w:rPr>
        <w:t>,</w:t>
      </w:r>
      <w:r w:rsidR="0004510F" w:rsidRPr="002B1F75">
        <w:rPr>
          <w:rFonts w:cs="David" w:hint="cs"/>
          <w:sz w:val="24"/>
          <w:rtl/>
        </w:rPr>
        <w:t xml:space="preserve"> יוביל לתחולת </w:t>
      </w:r>
      <w:r w:rsidRPr="002B1F75">
        <w:rPr>
          <w:rFonts w:cs="David" w:hint="cs"/>
          <w:sz w:val="24"/>
          <w:rtl/>
        </w:rPr>
        <w:t xml:space="preserve">סעיף 4(א) לחוק הביקורת הפנימית </w:t>
      </w:r>
      <w:r w:rsidR="0004510F" w:rsidRPr="002B1F75">
        <w:rPr>
          <w:rFonts w:cs="David" w:hint="cs"/>
          <w:sz w:val="24"/>
          <w:rtl/>
        </w:rPr>
        <w:t>ש</w:t>
      </w:r>
      <w:r w:rsidRPr="002B1F75">
        <w:rPr>
          <w:rFonts w:cs="David" w:hint="cs"/>
          <w:sz w:val="24"/>
          <w:rtl/>
        </w:rPr>
        <w:t xml:space="preserve">מגדיר </w:t>
      </w:r>
      <w:r w:rsidR="00BE3DAE" w:rsidRPr="002B1F75">
        <w:rPr>
          <w:rFonts w:cs="David" w:hint="cs"/>
          <w:sz w:val="24"/>
          <w:rtl/>
        </w:rPr>
        <w:t>את תפקידי המבקר הפנימי</w:t>
      </w:r>
      <w:r w:rsidRPr="002B1F75">
        <w:rPr>
          <w:rFonts w:cs="David" w:hint="cs"/>
          <w:sz w:val="24"/>
          <w:rtl/>
        </w:rPr>
        <w:t xml:space="preserve">. </w:t>
      </w:r>
      <w:r w:rsidR="00A613B4" w:rsidRPr="002B1F75">
        <w:rPr>
          <w:rFonts w:cs="David" w:hint="cs"/>
          <w:sz w:val="24"/>
          <w:rtl/>
        </w:rPr>
        <w:t xml:space="preserve">תחולה </w:t>
      </w:r>
      <w:r w:rsidRPr="002B1F75">
        <w:rPr>
          <w:rFonts w:cs="David" w:hint="cs"/>
          <w:sz w:val="24"/>
          <w:rtl/>
        </w:rPr>
        <w:t xml:space="preserve">של סעיף </w:t>
      </w:r>
      <w:r w:rsidR="00A613B4" w:rsidRPr="002B1F75">
        <w:rPr>
          <w:rFonts w:cs="David" w:hint="cs"/>
          <w:sz w:val="24"/>
          <w:rtl/>
        </w:rPr>
        <w:t xml:space="preserve">4(א) </w:t>
      </w:r>
      <w:r w:rsidRPr="002B1F75">
        <w:rPr>
          <w:rFonts w:cs="David" w:hint="cs"/>
          <w:sz w:val="24"/>
          <w:rtl/>
        </w:rPr>
        <w:t>האמור על מבקר ייעודי פנימי של מערך הייצוג לוקה ביתר ובחסר: מצד אחד, ישנם דברים המנויים בסעיף</w:t>
      </w:r>
      <w:r w:rsidR="00A613B4" w:rsidRPr="002B1F75">
        <w:rPr>
          <w:rFonts w:cs="David" w:hint="cs"/>
          <w:sz w:val="24"/>
          <w:rtl/>
        </w:rPr>
        <w:t>,</w:t>
      </w:r>
      <w:r w:rsidRPr="002B1F75">
        <w:rPr>
          <w:rFonts w:cs="David" w:hint="cs"/>
          <w:sz w:val="24"/>
          <w:rtl/>
        </w:rPr>
        <w:t xml:space="preserve"> כמו ניהול נכסים, הנהלת חשבונות והחזקת כספים שהרלוונטיות שלהם למטרות של מבקר פנימי ייעודי למערך הייצוג נמוכה </w:t>
      </w:r>
      <w:r w:rsidR="00A613B4" w:rsidRPr="002B1F75">
        <w:rPr>
          <w:rFonts w:cs="David" w:hint="cs"/>
          <w:sz w:val="24"/>
          <w:rtl/>
        </w:rPr>
        <w:t>ביותר, אם בכלל קיימת</w:t>
      </w:r>
      <w:r w:rsidRPr="002B1F75">
        <w:rPr>
          <w:rFonts w:cs="David" w:hint="cs"/>
          <w:sz w:val="24"/>
          <w:rtl/>
        </w:rPr>
        <w:t xml:space="preserve">; מצד שני, ישנם דברים שאינם מנויים במפורש בסעיף, כמו הצורך </w:t>
      </w:r>
      <w:r w:rsidR="00A613B4" w:rsidRPr="002B1F75">
        <w:rPr>
          <w:rFonts w:cs="David" w:hint="cs"/>
          <w:sz w:val="24"/>
          <w:rtl/>
        </w:rPr>
        <w:t xml:space="preserve">לבדוק </w:t>
      </w:r>
      <w:r w:rsidRPr="002B1F75">
        <w:rPr>
          <w:rFonts w:cs="David" w:hint="cs"/>
          <w:sz w:val="24"/>
          <w:rtl/>
        </w:rPr>
        <w:t xml:space="preserve">אחידות ביישום נהלים ומדיניות, שהרלוונטיות שלהם למערך הייצוג היא גבוהה במיוחד. </w:t>
      </w:r>
    </w:p>
    <w:p w:rsidR="00E033D9" w:rsidRPr="002B1F75" w:rsidRDefault="002D459D" w:rsidP="007E4225">
      <w:pPr>
        <w:pStyle w:val="a3"/>
        <w:numPr>
          <w:ilvl w:val="0"/>
          <w:numId w:val="7"/>
        </w:numPr>
        <w:spacing w:line="312" w:lineRule="auto"/>
        <w:rPr>
          <w:rFonts w:cs="David"/>
          <w:sz w:val="24"/>
        </w:rPr>
      </w:pPr>
      <w:r w:rsidRPr="002B1F75">
        <w:rPr>
          <w:rFonts w:cs="David" w:hint="cs"/>
          <w:b/>
          <w:bCs/>
          <w:sz w:val="24"/>
          <w:rtl/>
        </w:rPr>
        <w:t xml:space="preserve">מבקר פנימי </w:t>
      </w:r>
      <w:r w:rsidR="007E4225">
        <w:rPr>
          <w:rFonts w:cs="David" w:hint="cs"/>
          <w:b/>
          <w:bCs/>
          <w:sz w:val="24"/>
          <w:rtl/>
        </w:rPr>
        <w:t xml:space="preserve">לפי חוק הביקורת הפנימית </w:t>
      </w:r>
      <w:r w:rsidRPr="002B1F75">
        <w:rPr>
          <w:rFonts w:cs="David" w:hint="cs"/>
          <w:b/>
          <w:bCs/>
          <w:sz w:val="24"/>
          <w:rtl/>
        </w:rPr>
        <w:t xml:space="preserve">אינו מתאים לביצוע </w:t>
      </w:r>
      <w:r w:rsidR="0004510F" w:rsidRPr="002B1F75">
        <w:rPr>
          <w:rFonts w:cs="David" w:hint="cs"/>
          <w:b/>
          <w:bCs/>
          <w:sz w:val="24"/>
          <w:rtl/>
        </w:rPr>
        <w:t xml:space="preserve">ביקורת על גופים </w:t>
      </w:r>
      <w:r w:rsidR="007E4225">
        <w:rPr>
          <w:rFonts w:cs="David" w:hint="cs"/>
          <w:b/>
          <w:bCs/>
          <w:sz w:val="24"/>
          <w:rtl/>
        </w:rPr>
        <w:t>שאינם עובדי משרד המשפטים</w:t>
      </w:r>
      <w:r w:rsidR="0004510F" w:rsidRPr="002B1F75">
        <w:rPr>
          <w:rFonts w:cs="David" w:hint="cs"/>
          <w:sz w:val="24"/>
          <w:rtl/>
        </w:rPr>
        <w:t xml:space="preserve">: </w:t>
      </w:r>
      <w:r w:rsidR="009C7D2A" w:rsidRPr="002B1F75">
        <w:rPr>
          <w:rFonts w:cs="David" w:hint="cs"/>
          <w:sz w:val="24"/>
          <w:rtl/>
        </w:rPr>
        <w:t xml:space="preserve">למעט הפרקליטות, רובו של "מערך הייצוג" שלגביו אמור המבקר הפנימי הייעודי לקיים ביקורת מערכתית, </w:t>
      </w:r>
      <w:r w:rsidR="00285448" w:rsidRPr="002B1F75">
        <w:rPr>
          <w:rFonts w:cs="David" w:hint="cs"/>
          <w:sz w:val="24"/>
          <w:rtl/>
        </w:rPr>
        <w:t>אינו חלק מ</w:t>
      </w:r>
      <w:r w:rsidR="009C7D2A" w:rsidRPr="002B1F75">
        <w:rPr>
          <w:rFonts w:cs="David" w:hint="cs"/>
          <w:sz w:val="24"/>
          <w:rtl/>
        </w:rPr>
        <w:t xml:space="preserve">משרד המשפטים: </w:t>
      </w:r>
      <w:r w:rsidR="00364F25" w:rsidRPr="002B1F75">
        <w:rPr>
          <w:rFonts w:cs="David" w:hint="cs"/>
          <w:sz w:val="24"/>
          <w:rtl/>
        </w:rPr>
        <w:t>התביעה המשטרתית שבמשרד לביטחון הפנים, תובעים במשרדי ממשלה שונים</w:t>
      </w:r>
      <w:r w:rsidR="00285448" w:rsidRPr="002B1F75">
        <w:rPr>
          <w:rFonts w:cs="David" w:hint="cs"/>
          <w:sz w:val="24"/>
          <w:rtl/>
        </w:rPr>
        <w:t xml:space="preserve"> שקיבלו הסמכה מהיועץ</w:t>
      </w:r>
      <w:r w:rsidR="00364F25" w:rsidRPr="002B1F75">
        <w:rPr>
          <w:rFonts w:cs="David" w:hint="cs"/>
          <w:sz w:val="24"/>
          <w:rtl/>
        </w:rPr>
        <w:t xml:space="preserve">, ותובעים פרטיים שאינם עובדי </w:t>
      </w:r>
      <w:r w:rsidR="00285448" w:rsidRPr="002B1F75">
        <w:rPr>
          <w:rFonts w:cs="David" w:hint="cs"/>
          <w:sz w:val="24"/>
          <w:rtl/>
        </w:rPr>
        <w:t xml:space="preserve">ממשלה </w:t>
      </w:r>
      <w:r w:rsidR="00364F25" w:rsidRPr="002B1F75">
        <w:rPr>
          <w:rFonts w:cs="David" w:hint="cs"/>
          <w:sz w:val="24"/>
          <w:rtl/>
        </w:rPr>
        <w:t xml:space="preserve">שקיבלו </w:t>
      </w:r>
      <w:r w:rsidR="000136E3" w:rsidRPr="002B1F75">
        <w:rPr>
          <w:rFonts w:cs="David" w:hint="cs"/>
          <w:sz w:val="24"/>
          <w:rtl/>
        </w:rPr>
        <w:t xml:space="preserve">גם הם </w:t>
      </w:r>
      <w:r w:rsidR="00364F25" w:rsidRPr="002B1F75">
        <w:rPr>
          <w:rFonts w:cs="David" w:hint="cs"/>
          <w:sz w:val="24"/>
          <w:rtl/>
        </w:rPr>
        <w:t xml:space="preserve">הסמכה מהיועץ. </w:t>
      </w:r>
      <w:r w:rsidR="009C7D2A" w:rsidRPr="002B1F75">
        <w:rPr>
          <w:rFonts w:cs="David" w:hint="cs"/>
          <w:sz w:val="24"/>
          <w:rtl/>
        </w:rPr>
        <w:t xml:space="preserve">נוכח האמור, מודל של מבקר פנימי ייעודי בתוך משרד המשפטים, </w:t>
      </w:r>
      <w:r w:rsidR="00285448" w:rsidRPr="002B1F75">
        <w:rPr>
          <w:rFonts w:cs="David" w:hint="cs"/>
          <w:sz w:val="24"/>
          <w:rtl/>
        </w:rPr>
        <w:t xml:space="preserve">שבנוי על הוראות חוק הביקורת הפנימית, </w:t>
      </w:r>
      <w:r w:rsidR="009C7D2A" w:rsidRPr="002B1F75">
        <w:rPr>
          <w:rFonts w:cs="David" w:hint="cs"/>
          <w:sz w:val="24"/>
          <w:rtl/>
        </w:rPr>
        <w:t xml:space="preserve">אינו מתאים לעריכת ביקורות מערכתיות על גורמים שרובם כלל אינם חלק ממשרד המשפטים. </w:t>
      </w:r>
      <w:r w:rsidR="005019F8" w:rsidRPr="002B1F75">
        <w:rPr>
          <w:rFonts w:cs="David" w:hint="cs"/>
          <w:sz w:val="24"/>
          <w:rtl/>
        </w:rPr>
        <w:t xml:space="preserve">כך, למשל, סעיף 9(א) לחוק הביקורת הפנימית מקנה למבקר הפנימי סמכות לדרוש ולקבל כל מידע ומסמך שברשות "הגוף שבו הוא משמש מבקר". </w:t>
      </w:r>
      <w:r w:rsidR="00E033D9" w:rsidRPr="002B1F75">
        <w:rPr>
          <w:rFonts w:cs="David" w:hint="cs"/>
          <w:sz w:val="24"/>
          <w:rtl/>
        </w:rPr>
        <w:t>מכיוון שמרבית המייצגים אינם חלק מ"הגוף שבו הוא משמש מבקר", כיצד הוא יוכל לדרוש ולקבל מידע ומסמכים כדי לבצע את תפקידו לגבי אותם מייצגים?</w:t>
      </w:r>
    </w:p>
    <w:p w:rsidR="00FE7B96" w:rsidRPr="002B1F75" w:rsidRDefault="002D6E5F" w:rsidP="00C04BFE">
      <w:pPr>
        <w:pStyle w:val="a3"/>
        <w:numPr>
          <w:ilvl w:val="0"/>
          <w:numId w:val="7"/>
        </w:numPr>
        <w:spacing w:line="312" w:lineRule="auto"/>
        <w:rPr>
          <w:rFonts w:cs="David"/>
          <w:sz w:val="24"/>
        </w:rPr>
      </w:pPr>
      <w:r w:rsidRPr="002B1F75">
        <w:rPr>
          <w:rFonts w:cs="David" w:hint="cs"/>
          <w:b/>
          <w:bCs/>
          <w:sz w:val="24"/>
          <w:rtl/>
        </w:rPr>
        <w:t>העדר עצמאות של המבקר הפנימי</w:t>
      </w:r>
      <w:r w:rsidRPr="002B1F75">
        <w:rPr>
          <w:rFonts w:cs="David" w:hint="cs"/>
          <w:sz w:val="24"/>
          <w:rtl/>
        </w:rPr>
        <w:t xml:space="preserve">: </w:t>
      </w:r>
      <w:r w:rsidR="00426A5A" w:rsidRPr="002B1F75">
        <w:rPr>
          <w:rFonts w:cs="David" w:hint="cs"/>
          <w:sz w:val="24"/>
          <w:rtl/>
        </w:rPr>
        <w:t xml:space="preserve">בחודש דצמבר 2006, הגישה "הוועדה הציבורית לבחינת חוק הביקורת הפנימית, התשנ"ב-1992", בראשות השופט בדימוס </w:t>
      </w:r>
      <w:proofErr w:type="spellStart"/>
      <w:r w:rsidR="00426A5A" w:rsidRPr="002B1F75">
        <w:rPr>
          <w:rFonts w:cs="David" w:hint="cs"/>
          <w:sz w:val="24"/>
          <w:rtl/>
        </w:rPr>
        <w:t>ורדימוס</w:t>
      </w:r>
      <w:proofErr w:type="spellEnd"/>
      <w:r w:rsidR="00426A5A" w:rsidRPr="002B1F75">
        <w:rPr>
          <w:rFonts w:cs="David" w:hint="cs"/>
          <w:sz w:val="24"/>
          <w:rtl/>
        </w:rPr>
        <w:t xml:space="preserve"> </w:t>
      </w:r>
      <w:proofErr w:type="spellStart"/>
      <w:r w:rsidR="00426A5A" w:rsidRPr="002B1F75">
        <w:rPr>
          <w:rFonts w:cs="David" w:hint="cs"/>
          <w:sz w:val="24"/>
          <w:rtl/>
        </w:rPr>
        <w:t>זיילר</w:t>
      </w:r>
      <w:proofErr w:type="spellEnd"/>
      <w:r w:rsidR="00285448" w:rsidRPr="002B1F75">
        <w:rPr>
          <w:rFonts w:cs="David" w:hint="cs"/>
          <w:sz w:val="24"/>
          <w:rtl/>
        </w:rPr>
        <w:t>,</w:t>
      </w:r>
      <w:r w:rsidR="00426A5A" w:rsidRPr="002B1F75">
        <w:rPr>
          <w:rFonts w:cs="David" w:hint="cs"/>
          <w:sz w:val="24"/>
          <w:rtl/>
        </w:rPr>
        <w:t xml:space="preserve"> את מסקנותיה לשרת המשפטים דאז. הוועדה הצביע</w:t>
      </w:r>
      <w:r w:rsidR="002B3DC7" w:rsidRPr="002B1F75">
        <w:rPr>
          <w:rFonts w:cs="David" w:hint="cs"/>
          <w:sz w:val="24"/>
          <w:rtl/>
        </w:rPr>
        <w:t>ה</w:t>
      </w:r>
      <w:r w:rsidR="00426A5A" w:rsidRPr="002B1F75">
        <w:rPr>
          <w:rFonts w:cs="David" w:hint="cs"/>
          <w:sz w:val="24"/>
          <w:rtl/>
        </w:rPr>
        <w:t xml:space="preserve"> על קשיים רבים </w:t>
      </w:r>
      <w:r w:rsidR="002B3DC7" w:rsidRPr="002B1F75">
        <w:rPr>
          <w:rFonts w:cs="David" w:hint="cs"/>
          <w:sz w:val="24"/>
          <w:rtl/>
        </w:rPr>
        <w:t xml:space="preserve">בחוק הקיים וביישומו. </w:t>
      </w:r>
      <w:r w:rsidR="0050354F" w:rsidRPr="002B1F75">
        <w:rPr>
          <w:rFonts w:cs="David" w:hint="cs"/>
          <w:sz w:val="24"/>
          <w:rtl/>
        </w:rPr>
        <w:t>בין היתר</w:t>
      </w:r>
      <w:r w:rsidR="002B3DC7" w:rsidRPr="002B1F75">
        <w:rPr>
          <w:rFonts w:cs="David" w:hint="cs"/>
          <w:sz w:val="24"/>
          <w:rtl/>
        </w:rPr>
        <w:t xml:space="preserve">, </w:t>
      </w:r>
      <w:r w:rsidR="0050354F" w:rsidRPr="002B1F75">
        <w:rPr>
          <w:rFonts w:cs="David" w:hint="cs"/>
          <w:sz w:val="24"/>
          <w:rtl/>
        </w:rPr>
        <w:t xml:space="preserve">מדברי הוועדה עולה </w:t>
      </w:r>
      <w:r w:rsidR="002B3DC7" w:rsidRPr="002B1F75">
        <w:rPr>
          <w:rFonts w:cs="David" w:hint="cs"/>
          <w:sz w:val="24"/>
          <w:rtl/>
        </w:rPr>
        <w:t xml:space="preserve">כי </w:t>
      </w:r>
      <w:r w:rsidR="0050354F" w:rsidRPr="002B1F75">
        <w:rPr>
          <w:rFonts w:cs="David" w:hint="cs"/>
          <w:sz w:val="24"/>
          <w:rtl/>
        </w:rPr>
        <w:t xml:space="preserve">ההסדרים הקיימים שבחוק הביקורת הפנימית </w:t>
      </w:r>
      <w:r w:rsidR="00285448" w:rsidRPr="002B1F75">
        <w:rPr>
          <w:rFonts w:cs="David" w:hint="cs"/>
          <w:sz w:val="24"/>
          <w:rtl/>
        </w:rPr>
        <w:t xml:space="preserve">אינם מצליחים להעניק למבקר הפנימי די עצמאות. במרבית המקרים, כך נטען, </w:t>
      </w:r>
      <w:r w:rsidR="0050354F" w:rsidRPr="002B1F75">
        <w:rPr>
          <w:rFonts w:cs="David" w:hint="cs"/>
          <w:sz w:val="24"/>
          <w:rtl/>
        </w:rPr>
        <w:t xml:space="preserve">המבקר הפנימי </w:t>
      </w:r>
      <w:r w:rsidR="00285448" w:rsidRPr="002B1F75">
        <w:rPr>
          <w:rFonts w:cs="David" w:hint="cs"/>
          <w:sz w:val="24"/>
          <w:rtl/>
        </w:rPr>
        <w:t xml:space="preserve">הוא </w:t>
      </w:r>
      <w:r w:rsidR="0050354F" w:rsidRPr="002B1F75">
        <w:rPr>
          <w:rFonts w:cs="David" w:hint="cs"/>
          <w:sz w:val="24"/>
          <w:rtl/>
        </w:rPr>
        <w:t>גורם חלש וחסר משמעות מבחינת הארגון,</w:t>
      </w:r>
      <w:r w:rsidR="00127E23" w:rsidRPr="002B1F75">
        <w:rPr>
          <w:rFonts w:cs="David" w:hint="cs"/>
          <w:sz w:val="24"/>
          <w:rtl/>
        </w:rPr>
        <w:t xml:space="preserve"> </w:t>
      </w:r>
      <w:r w:rsidR="00FE7B96" w:rsidRPr="002B1F75">
        <w:rPr>
          <w:rFonts w:cs="David" w:hint="cs"/>
          <w:sz w:val="24"/>
          <w:rtl/>
        </w:rPr>
        <w:t>דבר שמקשה עליו לבצע את עבודת הביקורת בצורה יעילה ואיכותית.</w:t>
      </w:r>
      <w:r w:rsidR="0050354F" w:rsidRPr="002B1F75">
        <w:rPr>
          <w:rFonts w:cs="David" w:hint="cs"/>
          <w:sz w:val="24"/>
          <w:rtl/>
        </w:rPr>
        <w:t xml:space="preserve"> </w:t>
      </w:r>
      <w:r w:rsidR="00FE7B96" w:rsidRPr="002B1F75">
        <w:rPr>
          <w:rFonts w:cs="David" w:hint="cs"/>
          <w:sz w:val="24"/>
          <w:rtl/>
        </w:rPr>
        <w:t xml:space="preserve">העדר העצמאות בא לידי ביטוי בהיבטים שונים: </w:t>
      </w:r>
      <w:r w:rsidR="0050354F" w:rsidRPr="002B1F75">
        <w:rPr>
          <w:rFonts w:cs="David" w:hint="cs"/>
          <w:sz w:val="24"/>
          <w:rtl/>
        </w:rPr>
        <w:t xml:space="preserve">הנהלת הגוף </w:t>
      </w:r>
      <w:r w:rsidR="00FE7B96" w:rsidRPr="002B1F75">
        <w:rPr>
          <w:rFonts w:cs="David" w:hint="cs"/>
          <w:sz w:val="24"/>
          <w:rtl/>
        </w:rPr>
        <w:t>היא זו ש</w:t>
      </w:r>
      <w:r w:rsidR="0050354F" w:rsidRPr="002B1F75">
        <w:rPr>
          <w:rFonts w:cs="David" w:hint="cs"/>
          <w:sz w:val="24"/>
          <w:rtl/>
        </w:rPr>
        <w:t>מאשרת את תכנית העבודה</w:t>
      </w:r>
      <w:r w:rsidR="00FE7B96" w:rsidRPr="002B1F75">
        <w:rPr>
          <w:rFonts w:cs="David" w:hint="cs"/>
          <w:sz w:val="24"/>
          <w:rtl/>
        </w:rPr>
        <w:t>;</w:t>
      </w:r>
      <w:r w:rsidR="0050354F" w:rsidRPr="002B1F75">
        <w:rPr>
          <w:rFonts w:cs="David" w:hint="cs"/>
          <w:sz w:val="24"/>
          <w:rtl/>
        </w:rPr>
        <w:t xml:space="preserve"> </w:t>
      </w:r>
      <w:r w:rsidR="00FE7B96" w:rsidRPr="002B1F75">
        <w:rPr>
          <w:rFonts w:cs="David" w:hint="cs"/>
          <w:sz w:val="24"/>
          <w:rtl/>
        </w:rPr>
        <w:t>המבקר הפנימי תלוי בכל הנוגע לשכרו, תנאיו ומעמדו בהנהלת הגוף; החוק אינו קובע הוראות ש</w:t>
      </w:r>
      <w:r w:rsidR="0050354F" w:rsidRPr="002B1F75">
        <w:rPr>
          <w:rFonts w:cs="David" w:hint="cs"/>
          <w:sz w:val="24"/>
          <w:rtl/>
        </w:rPr>
        <w:t xml:space="preserve">מבטיחות </w:t>
      </w:r>
      <w:r w:rsidR="00FE7B96" w:rsidRPr="002B1F75">
        <w:rPr>
          <w:rFonts w:cs="David" w:hint="cs"/>
          <w:sz w:val="24"/>
          <w:rtl/>
        </w:rPr>
        <w:t xml:space="preserve">למבקר הפנימי את </w:t>
      </w:r>
      <w:r w:rsidR="0050354F" w:rsidRPr="002B1F75">
        <w:rPr>
          <w:rFonts w:cs="David" w:hint="cs"/>
          <w:sz w:val="24"/>
          <w:rtl/>
        </w:rPr>
        <w:t>סביבת העבודה הנדרשת, תקציב ייעודי ונפרד</w:t>
      </w:r>
      <w:r w:rsidR="00FE7B96" w:rsidRPr="002B1F75">
        <w:rPr>
          <w:rFonts w:cs="David" w:hint="cs"/>
          <w:sz w:val="24"/>
          <w:rtl/>
        </w:rPr>
        <w:t xml:space="preserve"> ועוד. ביקורת זו רלוונטית גם להסדר המוצע: יצירת תלות של המבקר הפנימי הייעודי של מערך הייצוג ביועץ המשפטי לממשלה</w:t>
      </w:r>
      <w:r w:rsidR="00285448" w:rsidRPr="002B1F75">
        <w:rPr>
          <w:rFonts w:cs="David" w:hint="cs"/>
          <w:sz w:val="24"/>
          <w:rtl/>
        </w:rPr>
        <w:t xml:space="preserve"> לאישור תכנית העבודה, אי קביעת הוראות שיבטיחו את שכר</w:t>
      </w:r>
      <w:r w:rsidR="00593124">
        <w:rPr>
          <w:rFonts w:cs="David" w:hint="cs"/>
          <w:sz w:val="24"/>
          <w:rtl/>
        </w:rPr>
        <w:t>ו</w:t>
      </w:r>
      <w:r w:rsidR="00285448" w:rsidRPr="002B1F75">
        <w:rPr>
          <w:rFonts w:cs="David" w:hint="cs"/>
          <w:sz w:val="24"/>
          <w:rtl/>
        </w:rPr>
        <w:t>, תנאי</w:t>
      </w:r>
      <w:r w:rsidR="00593124">
        <w:rPr>
          <w:rFonts w:cs="David" w:hint="cs"/>
          <w:sz w:val="24"/>
          <w:rtl/>
        </w:rPr>
        <w:t>ו</w:t>
      </w:r>
      <w:r w:rsidR="00285448" w:rsidRPr="002B1F75">
        <w:rPr>
          <w:rFonts w:cs="David" w:hint="cs"/>
          <w:sz w:val="24"/>
          <w:rtl/>
        </w:rPr>
        <w:t>, סביבת העבודה שלו ועוד</w:t>
      </w:r>
      <w:r w:rsidR="00FE7B96" w:rsidRPr="002B1F75">
        <w:rPr>
          <w:rFonts w:cs="David" w:hint="cs"/>
          <w:sz w:val="24"/>
          <w:rtl/>
        </w:rPr>
        <w:t xml:space="preserve">, עלולה להפוך אותו לגורם חלש, שיתקשה לבצע </w:t>
      </w:r>
      <w:r w:rsidR="00285448" w:rsidRPr="002B1F75">
        <w:rPr>
          <w:rFonts w:cs="David" w:hint="cs"/>
          <w:sz w:val="24"/>
          <w:rtl/>
        </w:rPr>
        <w:t>בצורה טובה ביקורות מערכתיות יזומות ושיטתיות, במטרה לשפר את עבודת מערך הייצוג</w:t>
      </w:r>
      <w:r w:rsidR="00FE7B96" w:rsidRPr="002B1F75">
        <w:rPr>
          <w:rFonts w:cs="David" w:hint="cs"/>
          <w:sz w:val="24"/>
          <w:rtl/>
        </w:rPr>
        <w:t xml:space="preserve">. </w:t>
      </w:r>
    </w:p>
    <w:p w:rsidR="00FE7B96" w:rsidRPr="002B1F75" w:rsidRDefault="0004510F" w:rsidP="00EE3A93">
      <w:pPr>
        <w:pStyle w:val="a3"/>
        <w:numPr>
          <w:ilvl w:val="0"/>
          <w:numId w:val="7"/>
        </w:numPr>
        <w:spacing w:line="312" w:lineRule="auto"/>
        <w:rPr>
          <w:rFonts w:cs="David"/>
          <w:sz w:val="24"/>
        </w:rPr>
      </w:pPr>
      <w:r w:rsidRPr="002B1F75">
        <w:rPr>
          <w:rFonts w:cs="David" w:hint="cs"/>
          <w:b/>
          <w:bCs/>
          <w:sz w:val="24"/>
          <w:rtl/>
        </w:rPr>
        <w:t>חוסר בהסדרה מהותית של נושאים שונים</w:t>
      </w:r>
      <w:r w:rsidRPr="002B1F75">
        <w:rPr>
          <w:rFonts w:cs="David" w:hint="cs"/>
          <w:sz w:val="24"/>
          <w:rtl/>
        </w:rPr>
        <w:t>:</w:t>
      </w:r>
      <w:r w:rsidR="00FE7B96" w:rsidRPr="002B1F75">
        <w:rPr>
          <w:rFonts w:cs="David" w:hint="cs"/>
          <w:sz w:val="24"/>
          <w:rtl/>
        </w:rPr>
        <w:t xml:space="preserve"> הסתמכות מלאה על הוראות חוק הביקורת הפנימית לעניין המבקר הפנימי הייעודי של מערך הייצוג, עלולה ליצור חוסר בהסדרים משמעותיים וחשובים שחוק הביקורת הפנימית אינו מתייחס אליהם. </w:t>
      </w:r>
      <w:r w:rsidR="005019F8" w:rsidRPr="002B1F75">
        <w:rPr>
          <w:rFonts w:cs="David" w:hint="cs"/>
          <w:sz w:val="24"/>
          <w:rtl/>
        </w:rPr>
        <w:t xml:space="preserve">כך, </w:t>
      </w:r>
      <w:r w:rsidR="00FE7B96" w:rsidRPr="002B1F75">
        <w:rPr>
          <w:rFonts w:cs="David" w:hint="cs"/>
          <w:sz w:val="24"/>
          <w:rtl/>
        </w:rPr>
        <w:t>למשל, לא ברור מחוק הביקורת הפנימית מהו אופן המינוי של אותו מבקר ייעודי; מי הגורם שיכול להעבירו מתפקידו ובאילו עילות; האם כהונתו מוגבלת לתקופת זמן מסוימת; האם נדרשים תנאי כשירות מסוימים ועוד.</w:t>
      </w:r>
    </w:p>
    <w:p w:rsidR="0004510F" w:rsidRPr="002B1F75" w:rsidRDefault="0004510F" w:rsidP="00C04BFE">
      <w:pPr>
        <w:pStyle w:val="a3"/>
        <w:numPr>
          <w:ilvl w:val="0"/>
          <w:numId w:val="7"/>
        </w:numPr>
        <w:spacing w:after="100" w:line="312" w:lineRule="auto"/>
        <w:rPr>
          <w:rFonts w:cs="David"/>
          <w:sz w:val="24"/>
          <w:rtl/>
        </w:rPr>
      </w:pPr>
      <w:r w:rsidRPr="002B1F75">
        <w:rPr>
          <w:rFonts w:cs="David" w:hint="cs"/>
          <w:b/>
          <w:bCs/>
          <w:sz w:val="24"/>
          <w:rtl/>
        </w:rPr>
        <w:t>קשיים בהחלה של הסדרים שבחוק הביקורת הפנימית</w:t>
      </w:r>
      <w:r w:rsidRPr="002B1F75">
        <w:rPr>
          <w:rFonts w:cs="David" w:hint="cs"/>
          <w:sz w:val="24"/>
          <w:rtl/>
        </w:rPr>
        <w:t>:</w:t>
      </w:r>
      <w:r w:rsidR="00FE7B96" w:rsidRPr="002B1F75">
        <w:rPr>
          <w:rFonts w:cs="David" w:hint="cs"/>
          <w:sz w:val="24"/>
          <w:rtl/>
        </w:rPr>
        <w:t xml:space="preserve"> החלה של סעיפי חוק הביקורת הפנימית על מבקר פנימי ייעודי למערך הייצוג, </w:t>
      </w:r>
      <w:r w:rsidR="00F533F3" w:rsidRPr="002B1F75">
        <w:rPr>
          <w:rFonts w:cs="David" w:hint="cs"/>
          <w:sz w:val="24"/>
          <w:rtl/>
        </w:rPr>
        <w:t>כפי שהם</w:t>
      </w:r>
      <w:r w:rsidR="00E033D9" w:rsidRPr="002B1F75">
        <w:rPr>
          <w:rFonts w:cs="David" w:hint="cs"/>
          <w:sz w:val="24"/>
          <w:rtl/>
        </w:rPr>
        <w:t>,</w:t>
      </w:r>
      <w:r w:rsidR="00F533F3" w:rsidRPr="002B1F75">
        <w:rPr>
          <w:rFonts w:cs="David" w:hint="cs"/>
          <w:sz w:val="24"/>
          <w:rtl/>
        </w:rPr>
        <w:t xml:space="preserve"> מעוררת </w:t>
      </w:r>
      <w:r w:rsidR="00FE7B96" w:rsidRPr="002B1F75">
        <w:rPr>
          <w:rFonts w:cs="David" w:hint="cs"/>
          <w:sz w:val="24"/>
          <w:rtl/>
        </w:rPr>
        <w:t>קשיים שונים</w:t>
      </w:r>
      <w:r w:rsidR="00B70046" w:rsidRPr="002B1F75">
        <w:rPr>
          <w:rFonts w:cs="David" w:hint="cs"/>
          <w:sz w:val="24"/>
          <w:rtl/>
        </w:rPr>
        <w:t xml:space="preserve">. </w:t>
      </w:r>
      <w:r w:rsidR="00AC7F75" w:rsidRPr="002B1F75">
        <w:rPr>
          <w:rFonts w:cs="David" w:hint="cs"/>
          <w:sz w:val="24"/>
          <w:rtl/>
        </w:rPr>
        <w:t>ב</w:t>
      </w:r>
      <w:r w:rsidR="00B70046" w:rsidRPr="002B1F75">
        <w:rPr>
          <w:rFonts w:cs="David" w:hint="cs"/>
          <w:sz w:val="24"/>
          <w:rtl/>
        </w:rPr>
        <w:t xml:space="preserve">כדי להמחיש את הטיעון, נציג </w:t>
      </w:r>
      <w:r w:rsidR="00E033D9" w:rsidRPr="002B1F75">
        <w:rPr>
          <w:rFonts w:cs="David" w:hint="cs"/>
          <w:sz w:val="24"/>
          <w:rtl/>
        </w:rPr>
        <w:t xml:space="preserve">דוגמא אחת, </w:t>
      </w:r>
      <w:r w:rsidR="00980AB1" w:rsidRPr="002B1F75">
        <w:rPr>
          <w:rFonts w:cs="David" w:hint="cs"/>
          <w:sz w:val="24"/>
          <w:rtl/>
        </w:rPr>
        <w:t>אך יש לא מעט נוספות</w:t>
      </w:r>
      <w:r w:rsidR="00B70046" w:rsidRPr="002B1F75">
        <w:rPr>
          <w:rFonts w:cs="David" w:hint="cs"/>
          <w:sz w:val="24"/>
          <w:rtl/>
        </w:rPr>
        <w:t xml:space="preserve">: </w:t>
      </w:r>
      <w:r w:rsidR="00F533F3" w:rsidRPr="002B1F75">
        <w:rPr>
          <w:rFonts w:cs="David" w:hint="cs"/>
          <w:sz w:val="24"/>
          <w:rtl/>
        </w:rPr>
        <w:t xml:space="preserve">סעיף 6(ב)(1) לחוק הביקורת הפנימית קובע כי המבקר הפנימי נדרש להגיש את הדוח שלו לממונה עליו ולשר של אותו משרד. </w:t>
      </w:r>
      <w:r w:rsidR="00E033D9" w:rsidRPr="002B1F75">
        <w:rPr>
          <w:rFonts w:cs="David" w:hint="cs"/>
          <w:sz w:val="24"/>
          <w:rtl/>
        </w:rPr>
        <w:t xml:space="preserve">מכיוון שמרבית המייצגים אינם חלק ממשרד המשפטים, האם הוא אמור למסור את הדוח גם לשרים האחרים האחראים על אותם המייצגים? למשל, </w:t>
      </w:r>
      <w:r w:rsidR="00F533F3" w:rsidRPr="002B1F75">
        <w:rPr>
          <w:rFonts w:cs="David" w:hint="cs"/>
          <w:sz w:val="24"/>
          <w:rtl/>
        </w:rPr>
        <w:t xml:space="preserve">לשר לביטחון הפנים </w:t>
      </w:r>
      <w:r w:rsidR="00F533F3" w:rsidRPr="002B1F75">
        <w:rPr>
          <w:rFonts w:cs="David" w:hint="cs"/>
          <w:sz w:val="24"/>
          <w:rtl/>
        </w:rPr>
        <w:lastRenderedPageBreak/>
        <w:t>(שאחראי על התביעה המשטרתית), לשר האוצר (שאחראי על תובעים שברשות המסים) ולשרים נוספים שיש במשרדם מייצגים שונים</w:t>
      </w:r>
      <w:r w:rsidR="00E033D9" w:rsidRPr="002B1F75">
        <w:rPr>
          <w:rFonts w:cs="David" w:hint="cs"/>
          <w:sz w:val="24"/>
          <w:rtl/>
        </w:rPr>
        <w:t>?</w:t>
      </w:r>
    </w:p>
    <w:p w:rsidR="00B72333" w:rsidRDefault="00397D9F" w:rsidP="005C1F25">
      <w:pPr>
        <w:spacing w:after="100" w:line="312" w:lineRule="auto"/>
        <w:rPr>
          <w:rFonts w:cs="David"/>
          <w:sz w:val="24"/>
          <w:rtl/>
        </w:rPr>
      </w:pPr>
      <w:r w:rsidRPr="002B1F75">
        <w:rPr>
          <w:rFonts w:cs="David" w:hint="cs"/>
          <w:sz w:val="24"/>
          <w:rtl/>
        </w:rPr>
        <w:t>יוער, כי בין הגורמים השונים שכתבו את דוח הצוות לבחינת אפשרות היישום של הקמת נציבות תלונות על הפרקליטות</w:t>
      </w:r>
      <w:r w:rsidR="00B72333">
        <w:rPr>
          <w:rFonts w:cs="David" w:hint="cs"/>
          <w:sz w:val="24"/>
          <w:rtl/>
        </w:rPr>
        <w:t>,</w:t>
      </w:r>
      <w:r w:rsidRPr="002B1F75">
        <w:rPr>
          <w:rFonts w:cs="David" w:hint="cs"/>
          <w:sz w:val="24"/>
          <w:rtl/>
        </w:rPr>
        <w:t xml:space="preserve"> שררה תמימות דעים כי אין לאמץ הסדר שמטיל את הביקורת המערכתית על הביקורת הפנימית, </w:t>
      </w:r>
      <w:r w:rsidR="009F7EFF" w:rsidRPr="002B1F75">
        <w:rPr>
          <w:rFonts w:cs="David" w:hint="cs"/>
          <w:sz w:val="24"/>
          <w:rtl/>
        </w:rPr>
        <w:t>בין היתר</w:t>
      </w:r>
      <w:r w:rsidR="00B72333">
        <w:rPr>
          <w:rFonts w:cs="David" w:hint="cs"/>
          <w:sz w:val="24"/>
          <w:rtl/>
        </w:rPr>
        <w:t>,</w:t>
      </w:r>
      <w:r w:rsidR="009F7EFF" w:rsidRPr="002B1F75">
        <w:rPr>
          <w:rFonts w:cs="David" w:hint="cs"/>
          <w:sz w:val="24"/>
          <w:rtl/>
        </w:rPr>
        <w:t xml:space="preserve"> בשל הנימוקים שהוצגו לעיל (</w:t>
      </w:r>
      <w:r w:rsidRPr="002B1F75">
        <w:rPr>
          <w:rFonts w:cs="David" w:hint="cs"/>
          <w:sz w:val="24"/>
          <w:rtl/>
        </w:rPr>
        <w:t>העדר עצמאות</w:t>
      </w:r>
      <w:r w:rsidR="009F7EFF" w:rsidRPr="002B1F75">
        <w:rPr>
          <w:rFonts w:cs="David" w:hint="cs"/>
          <w:sz w:val="24"/>
          <w:rtl/>
        </w:rPr>
        <w:t xml:space="preserve">; כלים מוגבלים; העדר מומחיות; והאופי הביזורי של מערך הייצוג). </w:t>
      </w:r>
      <w:r w:rsidR="002E6979" w:rsidRPr="002B1F75">
        <w:rPr>
          <w:rFonts w:cs="David" w:hint="cs"/>
          <w:sz w:val="24"/>
          <w:rtl/>
        </w:rPr>
        <w:t xml:space="preserve">המסקנה </w:t>
      </w:r>
      <w:r w:rsidR="0010306D" w:rsidRPr="002B1F75">
        <w:rPr>
          <w:rFonts w:cs="David" w:hint="cs"/>
          <w:sz w:val="24"/>
          <w:rtl/>
        </w:rPr>
        <w:t>מכלל הדברים האמורים, היא ש</w:t>
      </w:r>
      <w:r w:rsidR="0010306D" w:rsidRPr="00BF0851">
        <w:rPr>
          <w:rFonts w:cs="David" w:hint="cs"/>
          <w:sz w:val="24"/>
          <w:u w:val="single"/>
          <w:rtl/>
        </w:rPr>
        <w:t xml:space="preserve">המודל של מבקר פנימי לפי חוק הביקורת הפנימית שאומץ בהצעת החוק הממשלתית לוקה בקשיים ניכרים,  </w:t>
      </w:r>
      <w:r w:rsidR="00B72333" w:rsidRPr="00BF0851">
        <w:rPr>
          <w:rFonts w:cs="David" w:hint="cs"/>
          <w:sz w:val="24"/>
          <w:u w:val="single"/>
          <w:rtl/>
        </w:rPr>
        <w:t xml:space="preserve">ומבין כל הדגמים האפשריים, </w:t>
      </w:r>
      <w:r w:rsidR="0010306D" w:rsidRPr="00BF0851">
        <w:rPr>
          <w:rFonts w:cs="David" w:hint="cs"/>
          <w:sz w:val="24"/>
          <w:u w:val="single"/>
          <w:rtl/>
        </w:rPr>
        <w:t xml:space="preserve">ספק </w:t>
      </w:r>
      <w:r w:rsidR="00B72333" w:rsidRPr="00BF0851">
        <w:rPr>
          <w:rFonts w:cs="David" w:hint="cs"/>
          <w:sz w:val="24"/>
          <w:u w:val="single"/>
          <w:rtl/>
        </w:rPr>
        <w:t xml:space="preserve">גדול אם זהו </w:t>
      </w:r>
      <w:r w:rsidR="00980FD1" w:rsidRPr="00BF0851">
        <w:rPr>
          <w:rFonts w:cs="David" w:hint="cs"/>
          <w:sz w:val="24"/>
          <w:u w:val="single"/>
          <w:rtl/>
        </w:rPr>
        <w:t xml:space="preserve">המודל </w:t>
      </w:r>
      <w:r w:rsidR="00980FD1" w:rsidRPr="00AB3982">
        <w:rPr>
          <w:rFonts w:cs="David" w:hint="cs"/>
          <w:sz w:val="24"/>
          <w:u w:val="single"/>
          <w:rtl/>
        </w:rPr>
        <w:t>המיטבי.</w:t>
      </w:r>
      <w:r w:rsidR="001A7827" w:rsidRPr="00AB3982">
        <w:rPr>
          <w:rFonts w:cs="David" w:hint="cs"/>
          <w:sz w:val="24"/>
          <w:u w:val="single"/>
          <w:rtl/>
        </w:rPr>
        <w:t xml:space="preserve"> לכן, אף אם תחליט הוועדה לאמץ </w:t>
      </w:r>
      <w:r w:rsidR="00BF0851" w:rsidRPr="00AB3982">
        <w:rPr>
          <w:rFonts w:cs="David" w:hint="cs"/>
          <w:sz w:val="24"/>
          <w:u w:val="single"/>
          <w:rtl/>
        </w:rPr>
        <w:t>את ה</w:t>
      </w:r>
      <w:r w:rsidR="001A7827" w:rsidRPr="00AB3982">
        <w:rPr>
          <w:rFonts w:cs="David" w:hint="cs"/>
          <w:sz w:val="24"/>
          <w:u w:val="single"/>
          <w:rtl/>
        </w:rPr>
        <w:t xml:space="preserve">מודל מפוצל של ביקורת </w:t>
      </w:r>
      <w:r w:rsidR="00BF0851" w:rsidRPr="00AB3982">
        <w:rPr>
          <w:rFonts w:cs="David" w:hint="cs"/>
          <w:sz w:val="24"/>
          <w:u w:val="single"/>
          <w:rtl/>
        </w:rPr>
        <w:t>(קרי: בירור תלונות לחוד וביקורת מערכתית לחוד) שבמסגרתו</w:t>
      </w:r>
      <w:r w:rsidR="001A7827" w:rsidRPr="00AB3982">
        <w:rPr>
          <w:rFonts w:cs="David" w:hint="cs"/>
          <w:sz w:val="24"/>
          <w:u w:val="single"/>
          <w:rtl/>
        </w:rPr>
        <w:t xml:space="preserve"> הביקורת המערכתית כפופה ליועץ המשפטי לממשלה, יש לחוקק פרק בחוק שעניינו הביקורת המערכתית, ולהסדיר את כל הסוגיות הנדרשות, לרבות בעניין הביקורת על מייצגים שאינם חלק ממשרד המשפטים</w:t>
      </w:r>
      <w:r w:rsidR="001A7827">
        <w:rPr>
          <w:rFonts w:cs="David" w:hint="cs"/>
          <w:sz w:val="24"/>
          <w:rtl/>
        </w:rPr>
        <w:t>.</w:t>
      </w:r>
    </w:p>
    <w:p w:rsidR="00980FD1" w:rsidRPr="00DD4372" w:rsidRDefault="00980FD1" w:rsidP="00C04BFE">
      <w:pPr>
        <w:spacing w:after="100" w:line="312" w:lineRule="auto"/>
        <w:rPr>
          <w:rFonts w:cs="David"/>
          <w:sz w:val="24"/>
          <w:rtl/>
        </w:rPr>
      </w:pPr>
    </w:p>
    <w:p w:rsidR="002D561D" w:rsidRPr="00DD4372" w:rsidRDefault="002D561D" w:rsidP="0084226D">
      <w:pPr>
        <w:spacing w:after="120" w:line="240" w:lineRule="auto"/>
        <w:rPr>
          <w:rFonts w:cs="David"/>
          <w:b/>
          <w:bCs/>
          <w:sz w:val="26"/>
          <w:szCs w:val="26"/>
          <w:rtl/>
        </w:rPr>
      </w:pPr>
      <w:r w:rsidRPr="00DD4372">
        <w:rPr>
          <w:rFonts w:cs="David" w:hint="cs"/>
          <w:b/>
          <w:bCs/>
          <w:sz w:val="26"/>
          <w:szCs w:val="26"/>
          <w:rtl/>
        </w:rPr>
        <w:t>(</w:t>
      </w:r>
      <w:r w:rsidR="00397D9F" w:rsidRPr="00DD4372">
        <w:rPr>
          <w:rFonts w:cs="David" w:hint="cs"/>
          <w:b/>
          <w:bCs/>
          <w:sz w:val="26"/>
          <w:szCs w:val="26"/>
          <w:rtl/>
        </w:rPr>
        <w:t>4</w:t>
      </w:r>
      <w:r w:rsidRPr="00DD4372">
        <w:rPr>
          <w:rFonts w:cs="David" w:hint="cs"/>
          <w:b/>
          <w:bCs/>
          <w:sz w:val="26"/>
          <w:szCs w:val="26"/>
          <w:rtl/>
        </w:rPr>
        <w:t xml:space="preserve">) </w:t>
      </w:r>
      <w:r w:rsidR="003E2B80" w:rsidRPr="00DD4372">
        <w:rPr>
          <w:rFonts w:cs="David" w:hint="cs"/>
          <w:b/>
          <w:bCs/>
          <w:sz w:val="26"/>
          <w:szCs w:val="26"/>
          <w:u w:val="single"/>
          <w:rtl/>
        </w:rPr>
        <w:t xml:space="preserve">היועץ המשפטי </w:t>
      </w:r>
      <w:r w:rsidRPr="00DD4372">
        <w:rPr>
          <w:rFonts w:cs="David" w:hint="cs"/>
          <w:b/>
          <w:bCs/>
          <w:sz w:val="26"/>
          <w:szCs w:val="26"/>
          <w:u w:val="single"/>
          <w:rtl/>
        </w:rPr>
        <w:t xml:space="preserve">לממשלה </w:t>
      </w:r>
      <w:proofErr w:type="spellStart"/>
      <w:r w:rsidR="0084226D" w:rsidRPr="00DD4372">
        <w:rPr>
          <w:rFonts w:cs="David" w:hint="cs"/>
          <w:b/>
          <w:bCs/>
          <w:sz w:val="26"/>
          <w:szCs w:val="26"/>
          <w:u w:val="single"/>
          <w:rtl/>
        </w:rPr>
        <w:t>כנילון</w:t>
      </w:r>
      <w:proofErr w:type="spellEnd"/>
      <w:r w:rsidR="0084226D" w:rsidRPr="00DD4372">
        <w:rPr>
          <w:rFonts w:cs="David" w:hint="cs"/>
          <w:b/>
          <w:bCs/>
          <w:sz w:val="26"/>
          <w:szCs w:val="26"/>
          <w:u w:val="single"/>
          <w:rtl/>
        </w:rPr>
        <w:t xml:space="preserve"> וכמכריע</w:t>
      </w:r>
    </w:p>
    <w:p w:rsidR="00F4341C" w:rsidRPr="00DD4372" w:rsidRDefault="009350DC" w:rsidP="00C04BFE">
      <w:pPr>
        <w:spacing w:after="100" w:line="312" w:lineRule="auto"/>
        <w:rPr>
          <w:rFonts w:cs="David"/>
          <w:sz w:val="24"/>
          <w:rtl/>
        </w:rPr>
      </w:pPr>
      <w:r w:rsidRPr="00DD4372">
        <w:rPr>
          <w:rFonts w:cs="David" w:hint="cs"/>
          <w:sz w:val="24"/>
          <w:rtl/>
        </w:rPr>
        <w:t xml:space="preserve">אחת </w:t>
      </w:r>
      <w:r w:rsidR="00E474E4" w:rsidRPr="00DD4372">
        <w:rPr>
          <w:rFonts w:cs="David" w:hint="cs"/>
          <w:sz w:val="24"/>
          <w:rtl/>
        </w:rPr>
        <w:t>מ</w:t>
      </w:r>
      <w:r w:rsidRPr="00DD4372">
        <w:rPr>
          <w:rFonts w:cs="David" w:hint="cs"/>
          <w:sz w:val="24"/>
          <w:rtl/>
        </w:rPr>
        <w:t>השאלות המרכז</w:t>
      </w:r>
      <w:r w:rsidR="00415E4D" w:rsidRPr="00DD4372">
        <w:rPr>
          <w:rFonts w:cs="David" w:hint="cs"/>
          <w:sz w:val="24"/>
          <w:rtl/>
        </w:rPr>
        <w:t xml:space="preserve">יות שעלו </w:t>
      </w:r>
      <w:r w:rsidR="00E474E4" w:rsidRPr="00DD4372">
        <w:rPr>
          <w:rFonts w:cs="David" w:hint="cs"/>
          <w:sz w:val="24"/>
          <w:rtl/>
        </w:rPr>
        <w:t xml:space="preserve">במסגרת הדיונים על גוף ביקורת למערך הייצוג, </w:t>
      </w:r>
      <w:proofErr w:type="spellStart"/>
      <w:r w:rsidR="00E474E4" w:rsidRPr="00DD4372">
        <w:rPr>
          <w:rFonts w:cs="David" w:hint="cs"/>
          <w:sz w:val="24"/>
          <w:rtl/>
        </w:rPr>
        <w:t>היתה</w:t>
      </w:r>
      <w:proofErr w:type="spellEnd"/>
      <w:r w:rsidR="00E474E4" w:rsidRPr="00DD4372">
        <w:rPr>
          <w:rFonts w:cs="David" w:hint="cs"/>
          <w:sz w:val="24"/>
          <w:rtl/>
        </w:rPr>
        <w:t xml:space="preserve"> האם פעולותיו של היועץ המשפטי לממשלה </w:t>
      </w:r>
      <w:r w:rsidR="00E474E4" w:rsidRPr="00DD4372">
        <w:rPr>
          <w:rFonts w:cs="David"/>
          <w:sz w:val="24"/>
          <w:rtl/>
        </w:rPr>
        <w:t>–</w:t>
      </w:r>
      <w:r w:rsidR="00E474E4" w:rsidRPr="00DD4372">
        <w:rPr>
          <w:rFonts w:cs="David" w:hint="cs"/>
          <w:sz w:val="24"/>
          <w:rtl/>
        </w:rPr>
        <w:t xml:space="preserve"> כמו גם של פרקליט המדינה </w:t>
      </w:r>
      <w:r w:rsidR="00E474E4" w:rsidRPr="00DD4372">
        <w:rPr>
          <w:rFonts w:cs="David"/>
          <w:sz w:val="24"/>
          <w:rtl/>
        </w:rPr>
        <w:t>–</w:t>
      </w:r>
      <w:r w:rsidR="00E474E4" w:rsidRPr="00DD4372">
        <w:rPr>
          <w:rFonts w:cs="David" w:hint="cs"/>
          <w:sz w:val="24"/>
          <w:rtl/>
        </w:rPr>
        <w:t xml:space="preserve"> תהיינה מושא לבירור תלונות או לביקורת מערכתית. </w:t>
      </w:r>
      <w:r w:rsidR="00786B03" w:rsidRPr="00DD4372">
        <w:rPr>
          <w:rFonts w:cs="David" w:hint="cs"/>
          <w:sz w:val="24"/>
          <w:rtl/>
        </w:rPr>
        <w:t xml:space="preserve">בעוד שלפי מסמך העקרונות החלטות של היועץ המשפטי לממשלה כראש התביעה הכללית הוחרגו במפורש מסמכות הבדיקה של הנציב, הרי שבדוח גולדברג הומלץ מפורשות כי סמכות הבדיקה של הנציב תחול גם ביחס לפעולות של היועץ. מההגדרות שבהצעת החוק הממשלתית ובהצעת החוק הפרטית עולה, כי היועץ המשפטי לממשלה </w:t>
      </w:r>
      <w:r w:rsidR="00A21459" w:rsidRPr="00DD4372">
        <w:rPr>
          <w:rFonts w:cs="David" w:hint="cs"/>
          <w:sz w:val="24"/>
          <w:rtl/>
        </w:rPr>
        <w:t>כלול ברשימת "המייצגים" שלגביהם ניתן להגיש לנציב תלונות לבירור</w:t>
      </w:r>
      <w:r w:rsidR="009A1ED9" w:rsidRPr="00DD4372">
        <w:rPr>
          <w:rFonts w:cs="David" w:hint="cs"/>
          <w:sz w:val="24"/>
          <w:rtl/>
        </w:rPr>
        <w:t xml:space="preserve"> </w:t>
      </w:r>
      <w:r w:rsidR="003A5FFC">
        <w:rPr>
          <w:rFonts w:cs="David" w:hint="cs"/>
          <w:sz w:val="24"/>
          <w:rtl/>
        </w:rPr>
        <w:t xml:space="preserve">פרטני </w:t>
      </w:r>
      <w:r w:rsidR="009A1ED9" w:rsidRPr="00DD4372">
        <w:rPr>
          <w:rFonts w:cs="David" w:hint="cs"/>
          <w:sz w:val="24"/>
          <w:rtl/>
        </w:rPr>
        <w:t xml:space="preserve">ושכפופים </w:t>
      </w:r>
      <w:r w:rsidR="003A5FFC">
        <w:rPr>
          <w:rFonts w:cs="David" w:hint="cs"/>
          <w:sz w:val="24"/>
          <w:rtl/>
        </w:rPr>
        <w:t xml:space="preserve">גם </w:t>
      </w:r>
      <w:r w:rsidR="009A1ED9" w:rsidRPr="00DD4372">
        <w:rPr>
          <w:rFonts w:cs="David" w:hint="cs"/>
          <w:sz w:val="24"/>
          <w:rtl/>
        </w:rPr>
        <w:t>לביקורת המערכתית</w:t>
      </w:r>
      <w:r w:rsidR="00A21459" w:rsidRPr="00DD4372">
        <w:rPr>
          <w:rFonts w:cs="David" w:hint="cs"/>
          <w:sz w:val="24"/>
          <w:rtl/>
        </w:rPr>
        <w:t xml:space="preserve">. </w:t>
      </w:r>
    </w:p>
    <w:p w:rsidR="00EB1273" w:rsidRPr="00DD4372" w:rsidRDefault="00EB1273" w:rsidP="00C04BFE">
      <w:pPr>
        <w:spacing w:after="100" w:line="312" w:lineRule="auto"/>
        <w:rPr>
          <w:rFonts w:cs="David"/>
          <w:sz w:val="24"/>
          <w:rtl/>
        </w:rPr>
      </w:pPr>
      <w:r w:rsidRPr="00DD4372">
        <w:rPr>
          <w:rFonts w:cs="David" w:hint="cs"/>
          <w:sz w:val="24"/>
          <w:rtl/>
        </w:rPr>
        <w:t>מעבר לשאלה האם ניתן להגיש תלונות נגד מעשים של היועץ המשפטי לממשלה או לבצע ביקורת מערכתית גם על היועץ המשפטי לממשלה, מתעוררת שאלת היחס הנורמטיבי בין הנציב לבין היועץ</w:t>
      </w:r>
      <w:r w:rsidR="00635CAC" w:rsidRPr="00DD4372">
        <w:rPr>
          <w:rFonts w:cs="David" w:hint="cs"/>
          <w:sz w:val="24"/>
          <w:rtl/>
        </w:rPr>
        <w:t>.</w:t>
      </w:r>
      <w:r w:rsidR="00A30D92" w:rsidRPr="00DD4372">
        <w:rPr>
          <w:rFonts w:cs="David" w:hint="cs"/>
          <w:sz w:val="24"/>
          <w:rtl/>
        </w:rPr>
        <w:t xml:space="preserve"> </w:t>
      </w:r>
      <w:r w:rsidR="00635CAC" w:rsidRPr="00DD4372">
        <w:rPr>
          <w:rFonts w:cs="David" w:hint="cs"/>
          <w:sz w:val="24"/>
          <w:rtl/>
        </w:rPr>
        <w:t xml:space="preserve">במספר </w:t>
      </w:r>
      <w:r w:rsidR="00B60442" w:rsidRPr="00DD4372">
        <w:rPr>
          <w:rFonts w:cs="David" w:hint="cs"/>
          <w:sz w:val="24"/>
          <w:rtl/>
        </w:rPr>
        <w:t xml:space="preserve">מקומות </w:t>
      </w:r>
      <w:r w:rsidR="00FD5449" w:rsidRPr="00DD4372">
        <w:rPr>
          <w:rFonts w:cs="David" w:hint="cs"/>
          <w:sz w:val="24"/>
          <w:rtl/>
        </w:rPr>
        <w:t>ב</w:t>
      </w:r>
      <w:r w:rsidR="00B60442" w:rsidRPr="00DD4372">
        <w:rPr>
          <w:rFonts w:cs="David" w:hint="cs"/>
          <w:sz w:val="24"/>
          <w:rtl/>
        </w:rPr>
        <w:t>הצעת החוק הממשלתית</w:t>
      </w:r>
      <w:r w:rsidR="00FD5449" w:rsidRPr="00DD4372">
        <w:rPr>
          <w:rFonts w:cs="David" w:hint="cs"/>
          <w:sz w:val="24"/>
          <w:rtl/>
        </w:rPr>
        <w:t>,</w:t>
      </w:r>
      <w:r w:rsidR="00B60442" w:rsidRPr="00DD4372">
        <w:rPr>
          <w:rFonts w:cs="David" w:hint="cs"/>
          <w:sz w:val="24"/>
          <w:rtl/>
        </w:rPr>
        <w:t xml:space="preserve"> </w:t>
      </w:r>
      <w:r w:rsidR="00FD5449" w:rsidRPr="00DD4372">
        <w:rPr>
          <w:rFonts w:cs="David" w:hint="cs"/>
          <w:sz w:val="24"/>
          <w:rtl/>
        </w:rPr>
        <w:t xml:space="preserve">מוענקות </w:t>
      </w:r>
      <w:r w:rsidR="00B60442" w:rsidRPr="00DD4372">
        <w:rPr>
          <w:rFonts w:cs="David" w:hint="cs"/>
          <w:sz w:val="24"/>
          <w:rtl/>
        </w:rPr>
        <w:t>ליועץ המשפטי לממשלה סמכויות הנוגעות להליך בירור התלונות על ידי הנציב.</w:t>
      </w:r>
      <w:r w:rsidR="00B60442" w:rsidRPr="00DD4372">
        <w:rPr>
          <w:rStyle w:val="aa"/>
          <w:rFonts w:cs="David"/>
          <w:sz w:val="24"/>
          <w:rtl/>
        </w:rPr>
        <w:footnoteReference w:id="4"/>
      </w:r>
      <w:r w:rsidR="00050CEB" w:rsidRPr="00DD4372">
        <w:rPr>
          <w:rFonts w:cs="David" w:hint="cs"/>
          <w:sz w:val="24"/>
          <w:rtl/>
        </w:rPr>
        <w:t xml:space="preserve"> </w:t>
      </w:r>
      <w:r w:rsidR="00F90360" w:rsidRPr="00DD4372">
        <w:rPr>
          <w:rFonts w:cs="David" w:hint="cs"/>
          <w:sz w:val="24"/>
          <w:rtl/>
        </w:rPr>
        <w:t>שאלה אחת שעולה בהקשרים אלה, היא האם באמת בכל אחד מהמקומות הללו יש הצדקה ל</w:t>
      </w:r>
      <w:r w:rsidR="00050CEB" w:rsidRPr="00DD4372">
        <w:rPr>
          <w:rFonts w:cs="David" w:hint="cs"/>
          <w:sz w:val="24"/>
          <w:rtl/>
        </w:rPr>
        <w:t>מעורבותו של היועץ</w:t>
      </w:r>
      <w:r w:rsidR="00635CAC" w:rsidRPr="00DD4372">
        <w:rPr>
          <w:rFonts w:cs="David" w:hint="cs"/>
          <w:sz w:val="24"/>
          <w:rtl/>
        </w:rPr>
        <w:t>.</w:t>
      </w:r>
      <w:r w:rsidR="00050CEB" w:rsidRPr="00DD4372">
        <w:rPr>
          <w:rFonts w:cs="David" w:hint="cs"/>
          <w:sz w:val="24"/>
          <w:rtl/>
        </w:rPr>
        <w:t xml:space="preserve"> </w:t>
      </w:r>
      <w:r w:rsidR="00F90360" w:rsidRPr="00DD4372">
        <w:rPr>
          <w:rFonts w:cs="David" w:hint="cs"/>
          <w:sz w:val="24"/>
          <w:rtl/>
        </w:rPr>
        <w:t xml:space="preserve">שאלה </w:t>
      </w:r>
      <w:r w:rsidR="009660AA" w:rsidRPr="00DD4372">
        <w:rPr>
          <w:rFonts w:cs="David" w:hint="cs"/>
          <w:sz w:val="24"/>
          <w:rtl/>
        </w:rPr>
        <w:t xml:space="preserve">נוספת </w:t>
      </w:r>
      <w:r w:rsidR="00050CEB" w:rsidRPr="00DD4372">
        <w:rPr>
          <w:rFonts w:cs="David" w:hint="cs"/>
          <w:sz w:val="24"/>
          <w:rtl/>
        </w:rPr>
        <w:t xml:space="preserve">היא </w:t>
      </w:r>
      <w:r w:rsidR="009660AA" w:rsidRPr="00DD4372">
        <w:rPr>
          <w:rFonts w:cs="David" w:hint="cs"/>
          <w:sz w:val="24"/>
          <w:rtl/>
        </w:rPr>
        <w:t xml:space="preserve">שאלת כפיפותו הנורמטיבית של </w:t>
      </w:r>
      <w:r w:rsidR="00A30D92" w:rsidRPr="00DD4372">
        <w:rPr>
          <w:rFonts w:cs="David" w:hint="cs"/>
          <w:sz w:val="24"/>
          <w:rtl/>
        </w:rPr>
        <w:t xml:space="preserve">הנציב לפרשנות </w:t>
      </w:r>
      <w:r w:rsidR="009660AA" w:rsidRPr="00DD4372">
        <w:rPr>
          <w:rFonts w:cs="David" w:hint="cs"/>
          <w:sz w:val="24"/>
          <w:rtl/>
        </w:rPr>
        <w:t>המשפטית של היועץ.</w:t>
      </w:r>
      <w:r w:rsidR="00FD5449" w:rsidRPr="00DD4372">
        <w:rPr>
          <w:rFonts w:cs="David" w:hint="cs"/>
          <w:sz w:val="24"/>
          <w:rtl/>
        </w:rPr>
        <w:t xml:space="preserve"> </w:t>
      </w:r>
      <w:r w:rsidR="00AE41F4" w:rsidRPr="00DD4372">
        <w:rPr>
          <w:rFonts w:cs="David" w:hint="cs"/>
          <w:sz w:val="24"/>
          <w:rtl/>
        </w:rPr>
        <w:t xml:space="preserve">ההקשר </w:t>
      </w:r>
      <w:r w:rsidR="009B3085" w:rsidRPr="00DD4372">
        <w:rPr>
          <w:rFonts w:cs="David" w:hint="cs"/>
          <w:sz w:val="24"/>
          <w:rtl/>
        </w:rPr>
        <w:t xml:space="preserve">המרכזי שבו שאלה זו מתעוררת </w:t>
      </w:r>
      <w:r w:rsidR="00835F6E" w:rsidRPr="00DD4372">
        <w:rPr>
          <w:rFonts w:cs="David" w:hint="cs"/>
          <w:sz w:val="24"/>
          <w:rtl/>
        </w:rPr>
        <w:t xml:space="preserve">הוא סעיף 15(א)(6) המוצע, הקובע כי אם התעוררה שאלה אם התלונה נוגעת להפעלת שיקול דעת משפטי (ועל כן הנציב מנוע </w:t>
      </w:r>
      <w:proofErr w:type="spellStart"/>
      <w:r w:rsidR="00835F6E" w:rsidRPr="00DD4372">
        <w:rPr>
          <w:rFonts w:cs="David" w:hint="cs"/>
          <w:sz w:val="24"/>
          <w:rtl/>
        </w:rPr>
        <w:t>מלבררה</w:t>
      </w:r>
      <w:proofErr w:type="spellEnd"/>
      <w:r w:rsidR="00835F6E" w:rsidRPr="00DD4372">
        <w:rPr>
          <w:rFonts w:cs="David" w:hint="cs"/>
          <w:sz w:val="24"/>
          <w:rtl/>
        </w:rPr>
        <w:t xml:space="preserve">) </w:t>
      </w:r>
      <w:r w:rsidR="00835F6E" w:rsidRPr="00DD4372">
        <w:rPr>
          <w:rFonts w:cs="David"/>
          <w:sz w:val="24"/>
          <w:rtl/>
        </w:rPr>
        <w:t>–</w:t>
      </w:r>
      <w:r w:rsidR="00835F6E" w:rsidRPr="00DD4372">
        <w:rPr>
          <w:rFonts w:cs="David" w:hint="cs"/>
          <w:sz w:val="24"/>
          <w:rtl/>
        </w:rPr>
        <w:t xml:space="preserve"> השאלה תועבר להכרעת היועץ המשפטי לממשלה</w:t>
      </w:r>
      <w:r w:rsidR="009852C0" w:rsidRPr="00DD4372">
        <w:rPr>
          <w:rFonts w:cs="David" w:hint="cs"/>
          <w:sz w:val="24"/>
          <w:rtl/>
        </w:rPr>
        <w:t>, ואם יחליט היועץ שמדובר בהפעלת שיקול דעת משפטי, יידרש הנציב להפסיק את בירור התלונה</w:t>
      </w:r>
      <w:r w:rsidR="00835F6E" w:rsidRPr="00DD4372">
        <w:rPr>
          <w:rFonts w:cs="David" w:hint="cs"/>
          <w:sz w:val="24"/>
          <w:rtl/>
        </w:rPr>
        <w:t>.</w:t>
      </w:r>
    </w:p>
    <w:p w:rsidR="005D0CAA" w:rsidRPr="00DD4372" w:rsidRDefault="00567031" w:rsidP="00AB3982">
      <w:pPr>
        <w:pStyle w:val="Hesber"/>
        <w:spacing w:after="100" w:line="312" w:lineRule="auto"/>
        <w:ind w:firstLine="0"/>
        <w:rPr>
          <w:rFonts w:ascii="Times New Roman" w:eastAsia="Times New Roman" w:hAnsi="Times New Roman"/>
          <w:snapToGrid/>
          <w:color w:val="auto"/>
          <w:sz w:val="24"/>
          <w:szCs w:val="24"/>
          <w:rtl/>
          <w:lang w:eastAsia="he-IL"/>
        </w:rPr>
      </w:pPr>
      <w:r w:rsidRPr="00DD4372">
        <w:rPr>
          <w:rFonts w:ascii="Times New Roman" w:eastAsia="Times New Roman" w:hAnsi="Times New Roman" w:hint="cs"/>
          <w:snapToGrid/>
          <w:color w:val="auto"/>
          <w:sz w:val="24"/>
          <w:szCs w:val="24"/>
          <w:rtl/>
          <w:lang w:eastAsia="he-IL"/>
        </w:rPr>
        <w:t>הוראה זו מעוררת קושי מבני</w:t>
      </w:r>
      <w:r w:rsidR="00605FBC" w:rsidRPr="00DD4372">
        <w:rPr>
          <w:rFonts w:ascii="Times New Roman" w:eastAsia="Times New Roman" w:hAnsi="Times New Roman" w:hint="cs"/>
          <w:snapToGrid/>
          <w:color w:val="auto"/>
          <w:sz w:val="24"/>
          <w:szCs w:val="24"/>
          <w:rtl/>
          <w:lang w:eastAsia="he-IL"/>
        </w:rPr>
        <w:t xml:space="preserve"> לא מבוטל</w:t>
      </w:r>
      <w:r w:rsidRPr="00DD4372">
        <w:rPr>
          <w:rFonts w:ascii="Times New Roman" w:eastAsia="Times New Roman" w:hAnsi="Times New Roman" w:hint="cs"/>
          <w:snapToGrid/>
          <w:color w:val="auto"/>
          <w:sz w:val="24"/>
          <w:szCs w:val="24"/>
          <w:rtl/>
          <w:lang w:eastAsia="he-IL"/>
        </w:rPr>
        <w:t xml:space="preserve">. מצד אחד, הנציב הוא זרוע של הרשות המבצעת (שהרי הוא עומד בראש יחידה שבתוך משרד המשפטים), וככזה הוא </w:t>
      </w:r>
      <w:r w:rsidR="005D0CAA" w:rsidRPr="00DD4372">
        <w:rPr>
          <w:rFonts w:ascii="Times New Roman" w:eastAsia="Times New Roman" w:hAnsi="Times New Roman" w:hint="cs"/>
          <w:snapToGrid/>
          <w:color w:val="auto"/>
          <w:sz w:val="24"/>
          <w:szCs w:val="24"/>
          <w:rtl/>
          <w:lang w:eastAsia="he-IL"/>
        </w:rPr>
        <w:t xml:space="preserve">אמור להיות </w:t>
      </w:r>
      <w:r w:rsidRPr="00DD4372">
        <w:rPr>
          <w:rFonts w:ascii="Times New Roman" w:eastAsia="Times New Roman" w:hAnsi="Times New Roman" w:hint="cs"/>
          <w:snapToGrid/>
          <w:color w:val="auto"/>
          <w:sz w:val="24"/>
          <w:szCs w:val="24"/>
          <w:rtl/>
          <w:lang w:eastAsia="he-IL"/>
        </w:rPr>
        <w:t>כפוף לפרשנות לחוק שניתנת על ידי היועץ המשפטי לממשלה, שהוא הפרשן המוסמך של החוק כלפי הרשות המבצעת.</w:t>
      </w:r>
      <w:r w:rsidR="005049D0" w:rsidRPr="00DD4372">
        <w:rPr>
          <w:rFonts w:ascii="Times New Roman" w:eastAsia="Times New Roman" w:hAnsi="Times New Roman" w:hint="cs"/>
          <w:snapToGrid/>
          <w:color w:val="auto"/>
          <w:sz w:val="24"/>
          <w:szCs w:val="24"/>
          <w:rtl/>
          <w:lang w:eastAsia="he-IL"/>
        </w:rPr>
        <w:t xml:space="preserve"> </w:t>
      </w:r>
      <w:r w:rsidRPr="00DD4372">
        <w:rPr>
          <w:rFonts w:ascii="Times New Roman" w:eastAsia="Times New Roman" w:hAnsi="Times New Roman" w:hint="cs"/>
          <w:snapToGrid/>
          <w:color w:val="auto"/>
          <w:sz w:val="24"/>
          <w:szCs w:val="24"/>
          <w:rtl/>
          <w:lang w:eastAsia="he-IL"/>
        </w:rPr>
        <w:t xml:space="preserve">מצד שני, </w:t>
      </w:r>
      <w:r w:rsidR="00605FBC" w:rsidRPr="00DD4372">
        <w:rPr>
          <w:rFonts w:ascii="Times New Roman" w:eastAsia="Times New Roman" w:hAnsi="Times New Roman" w:hint="cs"/>
          <w:snapToGrid/>
          <w:color w:val="auto"/>
          <w:sz w:val="24"/>
          <w:szCs w:val="24"/>
          <w:rtl/>
          <w:lang w:eastAsia="he-IL"/>
        </w:rPr>
        <w:t>סיטואציה שבה הגורם המבוקר רשאי להחליט האם הגורם המבקר ימשיך בבירור תלונה או לא מעוררת קושי אינהרנטי, ויש בה משום פגיעה של ממש בעצמאות הגורם המבקר.</w:t>
      </w:r>
      <w:r w:rsidR="005D0CAA" w:rsidRPr="00DD4372">
        <w:rPr>
          <w:rFonts w:ascii="Times New Roman" w:eastAsia="Times New Roman" w:hAnsi="Times New Roman" w:hint="cs"/>
          <w:snapToGrid/>
          <w:color w:val="auto"/>
          <w:sz w:val="24"/>
          <w:szCs w:val="24"/>
          <w:rtl/>
          <w:lang w:eastAsia="he-IL"/>
        </w:rPr>
        <w:t xml:space="preserve"> הקושי בא לידי ביטוי באופן מיוחד במקרים בהם התלונה היא על מעשה של היועץ בעצמו, שכן המשמעות היא שהיועץ המשפטי לממשלה שהוא </w:t>
      </w:r>
      <w:proofErr w:type="spellStart"/>
      <w:r w:rsidR="005D0CAA" w:rsidRPr="00DD4372">
        <w:rPr>
          <w:rFonts w:ascii="Times New Roman" w:eastAsia="Times New Roman" w:hAnsi="Times New Roman" w:hint="cs"/>
          <w:snapToGrid/>
          <w:color w:val="auto"/>
          <w:sz w:val="24"/>
          <w:szCs w:val="24"/>
          <w:rtl/>
          <w:lang w:eastAsia="he-IL"/>
        </w:rPr>
        <w:t>הנילון</w:t>
      </w:r>
      <w:proofErr w:type="spellEnd"/>
      <w:r w:rsidR="005D0CAA" w:rsidRPr="00DD4372">
        <w:rPr>
          <w:rFonts w:ascii="Times New Roman" w:eastAsia="Times New Roman" w:hAnsi="Times New Roman" w:hint="cs"/>
          <w:snapToGrid/>
          <w:color w:val="auto"/>
          <w:sz w:val="24"/>
          <w:szCs w:val="24"/>
          <w:rtl/>
          <w:lang w:eastAsia="he-IL"/>
        </w:rPr>
        <w:t xml:space="preserve"> </w:t>
      </w:r>
      <w:r w:rsidR="005D0CAA" w:rsidRPr="00DD4372">
        <w:rPr>
          <w:rFonts w:ascii="Times New Roman" w:eastAsia="Times New Roman" w:hAnsi="Times New Roman"/>
          <w:snapToGrid/>
          <w:color w:val="auto"/>
          <w:sz w:val="24"/>
          <w:szCs w:val="24"/>
          <w:rtl/>
          <w:lang w:eastAsia="he-IL"/>
        </w:rPr>
        <w:t>–</w:t>
      </w:r>
      <w:r w:rsidR="005D0CAA" w:rsidRPr="00DD4372">
        <w:rPr>
          <w:rFonts w:ascii="Times New Roman" w:eastAsia="Times New Roman" w:hAnsi="Times New Roman" w:hint="cs"/>
          <w:snapToGrid/>
          <w:color w:val="auto"/>
          <w:sz w:val="24"/>
          <w:szCs w:val="24"/>
          <w:rtl/>
          <w:lang w:eastAsia="he-IL"/>
        </w:rPr>
        <w:t xml:space="preserve"> ולא הנציב </w:t>
      </w:r>
      <w:r w:rsidR="005D0CAA" w:rsidRPr="00DD4372">
        <w:rPr>
          <w:rFonts w:ascii="Times New Roman" w:eastAsia="Times New Roman" w:hAnsi="Times New Roman"/>
          <w:snapToGrid/>
          <w:color w:val="auto"/>
          <w:sz w:val="24"/>
          <w:szCs w:val="24"/>
          <w:rtl/>
          <w:lang w:eastAsia="he-IL"/>
        </w:rPr>
        <w:t>–</w:t>
      </w:r>
      <w:r w:rsidR="005D0CAA" w:rsidRPr="00DD4372">
        <w:rPr>
          <w:rFonts w:ascii="Times New Roman" w:eastAsia="Times New Roman" w:hAnsi="Times New Roman" w:hint="cs"/>
          <w:snapToGrid/>
          <w:color w:val="auto"/>
          <w:sz w:val="24"/>
          <w:szCs w:val="24"/>
          <w:rtl/>
          <w:lang w:eastAsia="he-IL"/>
        </w:rPr>
        <w:t xml:space="preserve"> הוא זה שיחליט בתלונה שהוגשה כנגד עצמו האם המעשה שהוא עשה הוא הפעלת שיקול דעת שיפוטי או לא. מדובר בתוצאה בעייתית.</w:t>
      </w:r>
    </w:p>
    <w:p w:rsidR="005D0CAA" w:rsidRPr="00CD600A" w:rsidRDefault="003C2E13" w:rsidP="00D05E2B">
      <w:pPr>
        <w:pStyle w:val="Hesber"/>
        <w:spacing w:after="100" w:line="312" w:lineRule="auto"/>
        <w:ind w:firstLine="0"/>
        <w:rPr>
          <w:rFonts w:ascii="Times New Roman" w:eastAsia="Times New Roman" w:hAnsi="Times New Roman"/>
          <w:snapToGrid/>
          <w:color w:val="auto"/>
          <w:sz w:val="24"/>
          <w:szCs w:val="24"/>
          <w:rtl/>
          <w:lang w:eastAsia="he-IL"/>
        </w:rPr>
      </w:pPr>
      <w:r w:rsidRPr="00DD4372">
        <w:rPr>
          <w:rFonts w:ascii="Times New Roman" w:eastAsia="Times New Roman" w:hAnsi="Times New Roman" w:hint="cs"/>
          <w:snapToGrid/>
          <w:color w:val="auto"/>
          <w:sz w:val="24"/>
          <w:szCs w:val="24"/>
          <w:rtl/>
          <w:lang w:eastAsia="he-IL"/>
        </w:rPr>
        <w:lastRenderedPageBreak/>
        <w:t xml:space="preserve">שאלה דומה מתעוררת בנוגע לסעיף 11(א) המוצע, הקובע כי ניתן להגיש לנציב תלונה בעילה שמעשהו של מייצג נעשה </w:t>
      </w:r>
      <w:r w:rsidRPr="00DD4372">
        <w:rPr>
          <w:rFonts w:ascii="Times New Roman" w:eastAsia="Times New Roman" w:hAnsi="Times New Roman" w:hint="cs"/>
          <w:snapToGrid/>
          <w:color w:val="auto"/>
          <w:sz w:val="24"/>
          <w:szCs w:val="24"/>
          <w:u w:val="single"/>
          <w:rtl/>
          <w:lang w:eastAsia="he-IL"/>
        </w:rPr>
        <w:t>בניגוד לחוק</w:t>
      </w:r>
      <w:r w:rsidRPr="00DD4372">
        <w:rPr>
          <w:rFonts w:ascii="Times New Roman" w:eastAsia="Times New Roman" w:hAnsi="Times New Roman" w:hint="cs"/>
          <w:snapToGrid/>
          <w:color w:val="auto"/>
          <w:sz w:val="24"/>
          <w:szCs w:val="24"/>
          <w:rtl/>
          <w:lang w:eastAsia="he-IL"/>
        </w:rPr>
        <w:t xml:space="preserve"> או </w:t>
      </w:r>
      <w:r w:rsidRPr="00DD4372">
        <w:rPr>
          <w:rFonts w:ascii="Times New Roman" w:eastAsia="Times New Roman" w:hAnsi="Times New Roman" w:hint="cs"/>
          <w:snapToGrid/>
          <w:color w:val="auto"/>
          <w:sz w:val="24"/>
          <w:szCs w:val="24"/>
          <w:u w:val="single"/>
          <w:rtl/>
          <w:lang w:eastAsia="he-IL"/>
        </w:rPr>
        <w:t>ללא סמכות חוקית</w:t>
      </w:r>
      <w:r w:rsidRPr="00DD4372">
        <w:rPr>
          <w:rFonts w:ascii="Times New Roman" w:eastAsia="Times New Roman" w:hAnsi="Times New Roman" w:hint="cs"/>
          <w:snapToGrid/>
          <w:color w:val="auto"/>
          <w:sz w:val="24"/>
          <w:szCs w:val="24"/>
          <w:rtl/>
          <w:lang w:eastAsia="he-IL"/>
        </w:rPr>
        <w:t>. קביעה זו מלמדת, לכאורה</w:t>
      </w:r>
      <w:r w:rsidR="00DB3E36">
        <w:rPr>
          <w:rFonts w:ascii="Times New Roman" w:eastAsia="Times New Roman" w:hAnsi="Times New Roman" w:hint="cs"/>
          <w:snapToGrid/>
          <w:color w:val="auto"/>
          <w:sz w:val="24"/>
          <w:szCs w:val="24"/>
          <w:rtl/>
          <w:lang w:eastAsia="he-IL"/>
        </w:rPr>
        <w:t>,</w:t>
      </w:r>
      <w:r w:rsidRPr="00DD4372">
        <w:rPr>
          <w:rFonts w:ascii="Times New Roman" w:eastAsia="Times New Roman" w:hAnsi="Times New Roman" w:hint="cs"/>
          <w:snapToGrid/>
          <w:color w:val="auto"/>
          <w:sz w:val="24"/>
          <w:szCs w:val="24"/>
          <w:rtl/>
          <w:lang w:eastAsia="he-IL"/>
        </w:rPr>
        <w:t xml:space="preserve"> </w:t>
      </w:r>
      <w:r w:rsidR="00141252" w:rsidRPr="00DD4372">
        <w:rPr>
          <w:rFonts w:ascii="Times New Roman" w:eastAsia="Times New Roman" w:hAnsi="Times New Roman" w:hint="cs"/>
          <w:snapToGrid/>
          <w:color w:val="auto"/>
          <w:sz w:val="24"/>
          <w:szCs w:val="24"/>
          <w:rtl/>
          <w:lang w:eastAsia="he-IL"/>
        </w:rPr>
        <w:t>ש</w:t>
      </w:r>
      <w:r w:rsidRPr="00DD4372">
        <w:rPr>
          <w:rFonts w:ascii="Times New Roman" w:eastAsia="Times New Roman" w:hAnsi="Times New Roman" w:hint="cs"/>
          <w:snapToGrid/>
          <w:color w:val="auto"/>
          <w:sz w:val="24"/>
          <w:szCs w:val="24"/>
          <w:rtl/>
          <w:lang w:eastAsia="he-IL"/>
        </w:rPr>
        <w:t>הכוונה היא להעניק לנציב את הסמכות לפרש את החוק ולקבוע את חוקיות המעשה נשוא התלונה.</w:t>
      </w:r>
      <w:r w:rsidR="00D23F41" w:rsidRPr="00DD4372">
        <w:rPr>
          <w:rFonts w:ascii="Times New Roman" w:eastAsia="Times New Roman" w:hAnsi="Times New Roman" w:hint="cs"/>
          <w:snapToGrid/>
          <w:color w:val="auto"/>
          <w:sz w:val="24"/>
          <w:szCs w:val="24"/>
          <w:rtl/>
          <w:lang w:eastAsia="he-IL"/>
        </w:rPr>
        <w:t xml:space="preserve"> מה יהיה במצב שבו הנציב סבור כי לפי הפרשנות הנכונה של החוק נפל פגם בחוקיות מעשהו של המייצג, ואילו היועץ המשפטי לממשלה סבור כי לא נפל כל פגם של חוקיות במעשהו של המייצג: האם פרשנות היועץ מחייבת את הנציב?</w:t>
      </w:r>
      <w:r w:rsidR="005049D0" w:rsidRPr="00DD4372">
        <w:rPr>
          <w:rFonts w:ascii="Times New Roman" w:eastAsia="Times New Roman" w:hAnsi="Times New Roman" w:hint="cs"/>
          <w:snapToGrid/>
          <w:color w:val="auto"/>
          <w:sz w:val="24"/>
          <w:szCs w:val="24"/>
          <w:rtl/>
          <w:lang w:eastAsia="he-IL"/>
        </w:rPr>
        <w:t xml:space="preserve"> </w:t>
      </w:r>
      <w:r w:rsidR="00D23F41" w:rsidRPr="00DD4372">
        <w:rPr>
          <w:rFonts w:ascii="Times New Roman" w:eastAsia="Times New Roman" w:hAnsi="Times New Roman" w:hint="cs"/>
          <w:snapToGrid/>
          <w:color w:val="auto"/>
          <w:sz w:val="24"/>
          <w:szCs w:val="24"/>
          <w:rtl/>
          <w:lang w:eastAsia="he-IL"/>
        </w:rPr>
        <w:t xml:space="preserve">אותו ספק שהוצג לעיל מתעורר גם כאן, אך בעוד שבהקשר של "הפעלת שיקול </w:t>
      </w:r>
      <w:r w:rsidR="00D23F41" w:rsidRPr="00CD600A">
        <w:rPr>
          <w:rFonts w:ascii="Times New Roman" w:eastAsia="Times New Roman" w:hAnsi="Times New Roman" w:hint="cs"/>
          <w:snapToGrid/>
          <w:color w:val="auto"/>
          <w:sz w:val="24"/>
          <w:szCs w:val="24"/>
          <w:rtl/>
          <w:lang w:eastAsia="he-IL"/>
        </w:rPr>
        <w:t xml:space="preserve">דעת משפטי" המחוקק בחר להכריע במפורש כי היועץ הוא זה הקובע, כאן לא נאמר דבר. </w:t>
      </w:r>
    </w:p>
    <w:p w:rsidR="006C6D3B" w:rsidRPr="00CD600A" w:rsidRDefault="00D62712" w:rsidP="00F42527">
      <w:pPr>
        <w:pStyle w:val="Hesber"/>
        <w:spacing w:after="100" w:line="312" w:lineRule="auto"/>
        <w:ind w:firstLine="0"/>
        <w:rPr>
          <w:rFonts w:ascii="Times New Roman" w:eastAsia="Times New Roman" w:hAnsi="Times New Roman"/>
          <w:snapToGrid/>
          <w:color w:val="auto"/>
          <w:sz w:val="24"/>
          <w:szCs w:val="24"/>
          <w:rtl/>
          <w:lang w:eastAsia="he-IL"/>
        </w:rPr>
      </w:pPr>
      <w:r w:rsidRPr="00CD600A">
        <w:rPr>
          <w:rFonts w:ascii="Times New Roman" w:eastAsia="Times New Roman" w:hAnsi="Times New Roman" w:hint="cs"/>
          <w:snapToGrid/>
          <w:color w:val="auto"/>
          <w:sz w:val="24"/>
          <w:szCs w:val="24"/>
          <w:rtl/>
          <w:lang w:eastAsia="he-IL"/>
        </w:rPr>
        <w:t xml:space="preserve">שאלה זו של היחס שבין סמכויות הביקורת של גוף מבקר למעמדו של היועץ המשפטי לממשלה </w:t>
      </w:r>
      <w:r w:rsidR="004F030B" w:rsidRPr="00CD600A">
        <w:rPr>
          <w:rFonts w:ascii="Times New Roman" w:eastAsia="Times New Roman" w:hAnsi="Times New Roman" w:hint="cs"/>
          <w:snapToGrid/>
          <w:color w:val="auto"/>
          <w:sz w:val="24"/>
          <w:szCs w:val="24"/>
          <w:rtl/>
          <w:lang w:eastAsia="he-IL"/>
        </w:rPr>
        <w:t xml:space="preserve">כגוף מבוקר </w:t>
      </w:r>
      <w:r w:rsidRPr="00CD600A">
        <w:rPr>
          <w:rFonts w:ascii="Times New Roman" w:eastAsia="Times New Roman" w:hAnsi="Times New Roman" w:hint="cs"/>
          <w:snapToGrid/>
          <w:color w:val="auto"/>
          <w:sz w:val="24"/>
          <w:szCs w:val="24"/>
          <w:rtl/>
          <w:lang w:eastAsia="he-IL"/>
        </w:rPr>
        <w:t xml:space="preserve">אינה חדשה </w:t>
      </w:r>
      <w:proofErr w:type="spellStart"/>
      <w:r w:rsidRPr="00CD600A">
        <w:rPr>
          <w:rFonts w:ascii="Times New Roman" w:eastAsia="Times New Roman" w:hAnsi="Times New Roman" w:hint="cs"/>
          <w:snapToGrid/>
          <w:color w:val="auto"/>
          <w:sz w:val="24"/>
          <w:szCs w:val="24"/>
          <w:rtl/>
          <w:lang w:eastAsia="he-IL"/>
        </w:rPr>
        <w:t>עימנו</w:t>
      </w:r>
      <w:proofErr w:type="spellEnd"/>
      <w:r w:rsidR="004F030B" w:rsidRPr="00CD600A">
        <w:rPr>
          <w:rFonts w:ascii="Times New Roman" w:eastAsia="Times New Roman" w:hAnsi="Times New Roman" w:hint="cs"/>
          <w:snapToGrid/>
          <w:color w:val="auto"/>
          <w:sz w:val="24"/>
          <w:szCs w:val="24"/>
          <w:rtl/>
          <w:lang w:eastAsia="he-IL"/>
        </w:rPr>
        <w:t>.</w:t>
      </w:r>
      <w:r w:rsidR="00D676A1" w:rsidRPr="00CD600A">
        <w:rPr>
          <w:rFonts w:ascii="Times New Roman" w:eastAsia="Times New Roman" w:hAnsi="Times New Roman" w:hint="cs"/>
          <w:snapToGrid/>
          <w:color w:val="auto"/>
          <w:sz w:val="24"/>
          <w:szCs w:val="24"/>
          <w:rtl/>
          <w:lang w:eastAsia="he-IL"/>
        </w:rPr>
        <w:t xml:space="preserve"> </w:t>
      </w:r>
      <w:r w:rsidR="00E71EEB" w:rsidRPr="00CD600A">
        <w:rPr>
          <w:rFonts w:ascii="Times New Roman" w:eastAsia="Times New Roman" w:hAnsi="Times New Roman" w:hint="cs"/>
          <w:snapToGrid/>
          <w:color w:val="auto"/>
          <w:sz w:val="24"/>
          <w:szCs w:val="24"/>
          <w:rtl/>
          <w:lang w:eastAsia="he-IL"/>
        </w:rPr>
        <w:t>שאלה דומה</w:t>
      </w:r>
      <w:r w:rsidR="00D676A1" w:rsidRPr="00CD600A">
        <w:rPr>
          <w:rFonts w:ascii="Times New Roman" w:eastAsia="Times New Roman" w:hAnsi="Times New Roman" w:hint="cs"/>
          <w:snapToGrid/>
          <w:color w:val="auto"/>
          <w:sz w:val="24"/>
          <w:szCs w:val="24"/>
          <w:rtl/>
          <w:lang w:eastAsia="he-IL"/>
        </w:rPr>
        <w:t xml:space="preserve"> התעוררה בנוגע ליחסים שבין מבקר המדינה בכובעו כ"נציב תלונות הציבור" למעמדו של היועץ המשפטי לממשלה כפרשן המוסמ</w:t>
      </w:r>
      <w:r w:rsidR="009467E1" w:rsidRPr="00CD600A">
        <w:rPr>
          <w:rFonts w:ascii="Times New Roman" w:eastAsia="Times New Roman" w:hAnsi="Times New Roman" w:hint="cs"/>
          <w:snapToGrid/>
          <w:color w:val="auto"/>
          <w:sz w:val="24"/>
          <w:szCs w:val="24"/>
          <w:rtl/>
          <w:lang w:eastAsia="he-IL"/>
        </w:rPr>
        <w:t>ך</w:t>
      </w:r>
      <w:r w:rsidR="00D676A1" w:rsidRPr="00CD600A">
        <w:rPr>
          <w:rFonts w:ascii="Times New Roman" w:eastAsia="Times New Roman" w:hAnsi="Times New Roman" w:hint="cs"/>
          <w:snapToGrid/>
          <w:color w:val="auto"/>
          <w:sz w:val="24"/>
          <w:szCs w:val="24"/>
          <w:rtl/>
          <w:lang w:eastAsia="he-IL"/>
        </w:rPr>
        <w:t xml:space="preserve"> של החוק כלפי הרשות המבצעת</w:t>
      </w:r>
      <w:r w:rsidRPr="00CD600A">
        <w:rPr>
          <w:rFonts w:ascii="Times New Roman" w:eastAsia="Times New Roman" w:hAnsi="Times New Roman" w:hint="cs"/>
          <w:snapToGrid/>
          <w:color w:val="auto"/>
          <w:sz w:val="24"/>
          <w:szCs w:val="24"/>
          <w:rtl/>
          <w:lang w:eastAsia="he-IL"/>
        </w:rPr>
        <w:t xml:space="preserve">. </w:t>
      </w:r>
      <w:r w:rsidR="00A35118" w:rsidRPr="00CD600A">
        <w:rPr>
          <w:rFonts w:ascii="Times New Roman" w:eastAsia="Times New Roman" w:hAnsi="Times New Roman" w:hint="cs"/>
          <w:snapToGrid/>
          <w:color w:val="auto"/>
          <w:sz w:val="24"/>
          <w:szCs w:val="24"/>
          <w:rtl/>
          <w:lang w:eastAsia="he-IL"/>
        </w:rPr>
        <w:t>מבקרת המדינה ושופטת בית המשפט העליון בדימוס מרים בן פורת סברה</w:t>
      </w:r>
      <w:r w:rsidR="00A35118" w:rsidRPr="00CD600A">
        <w:rPr>
          <w:rStyle w:val="aa"/>
          <w:rFonts w:ascii="Times New Roman" w:eastAsia="Times New Roman" w:hAnsi="Times New Roman"/>
          <w:snapToGrid/>
          <w:color w:val="auto"/>
          <w:szCs w:val="20"/>
          <w:rtl/>
          <w:lang w:eastAsia="he-IL"/>
        </w:rPr>
        <w:footnoteReference w:id="5"/>
      </w:r>
      <w:r w:rsidR="00CB12A9" w:rsidRPr="00CD600A">
        <w:rPr>
          <w:rFonts w:ascii="Times New Roman" w:eastAsia="Times New Roman" w:hAnsi="Times New Roman" w:hint="cs"/>
          <w:snapToGrid/>
          <w:color w:val="auto"/>
          <w:sz w:val="24"/>
          <w:szCs w:val="24"/>
          <w:rtl/>
          <w:lang w:eastAsia="he-IL"/>
        </w:rPr>
        <w:t>,</w:t>
      </w:r>
      <w:r w:rsidR="00A35118" w:rsidRPr="00CD600A">
        <w:rPr>
          <w:rFonts w:ascii="Times New Roman" w:eastAsia="Times New Roman" w:hAnsi="Times New Roman" w:hint="cs"/>
          <w:snapToGrid/>
          <w:color w:val="auto"/>
          <w:sz w:val="24"/>
          <w:szCs w:val="24"/>
          <w:rtl/>
          <w:lang w:eastAsia="he-IL"/>
        </w:rPr>
        <w:t xml:space="preserve"> כי במקרה שבו מתגלעת מחלוקת </w:t>
      </w:r>
      <w:r w:rsidR="00E71EEB" w:rsidRPr="00CD600A">
        <w:rPr>
          <w:rFonts w:ascii="Times New Roman" w:eastAsia="Times New Roman" w:hAnsi="Times New Roman" w:hint="cs"/>
          <w:snapToGrid/>
          <w:color w:val="auto"/>
          <w:sz w:val="24"/>
          <w:szCs w:val="24"/>
          <w:rtl/>
          <w:lang w:eastAsia="he-IL"/>
        </w:rPr>
        <w:t xml:space="preserve">בין </w:t>
      </w:r>
      <w:r w:rsidR="006C6D3B" w:rsidRPr="00CD600A">
        <w:rPr>
          <w:rFonts w:ascii="Times New Roman" w:eastAsia="Times New Roman" w:hAnsi="Times New Roman" w:hint="cs"/>
          <w:snapToGrid/>
          <w:color w:val="auto"/>
          <w:sz w:val="24"/>
          <w:szCs w:val="24"/>
          <w:rtl/>
          <w:lang w:eastAsia="he-IL"/>
        </w:rPr>
        <w:t>מבקר המדינה</w:t>
      </w:r>
      <w:r w:rsidR="00E71EEB" w:rsidRPr="00CD600A">
        <w:rPr>
          <w:rFonts w:ascii="Times New Roman" w:eastAsia="Times New Roman" w:hAnsi="Times New Roman" w:hint="cs"/>
          <w:snapToGrid/>
          <w:color w:val="auto"/>
          <w:sz w:val="24"/>
          <w:szCs w:val="24"/>
          <w:rtl/>
          <w:lang w:eastAsia="he-IL"/>
        </w:rPr>
        <w:t xml:space="preserve"> ליועץ </w:t>
      </w:r>
      <w:r w:rsidR="006C6D3B" w:rsidRPr="00CD600A">
        <w:rPr>
          <w:rFonts w:ascii="Times New Roman" w:eastAsia="Times New Roman" w:hAnsi="Times New Roman" w:hint="cs"/>
          <w:snapToGrid/>
          <w:color w:val="auto"/>
          <w:sz w:val="24"/>
          <w:szCs w:val="24"/>
          <w:rtl/>
          <w:lang w:eastAsia="he-IL"/>
        </w:rPr>
        <w:t xml:space="preserve">המשפטי לממשלה </w:t>
      </w:r>
      <w:r w:rsidR="00A35118" w:rsidRPr="00CD600A">
        <w:rPr>
          <w:rFonts w:ascii="Times New Roman" w:eastAsia="Times New Roman" w:hAnsi="Times New Roman" w:hint="cs"/>
          <w:snapToGrid/>
          <w:color w:val="auto"/>
          <w:sz w:val="24"/>
          <w:szCs w:val="24"/>
          <w:rtl/>
          <w:lang w:eastAsia="he-IL"/>
        </w:rPr>
        <w:t>באשר לפרשנות החקיקה</w:t>
      </w:r>
      <w:r w:rsidR="00E71EEB" w:rsidRPr="00CD600A">
        <w:rPr>
          <w:rFonts w:ascii="Times New Roman" w:eastAsia="Times New Roman" w:hAnsi="Times New Roman" w:hint="cs"/>
          <w:snapToGrid/>
          <w:color w:val="auto"/>
          <w:sz w:val="24"/>
          <w:szCs w:val="24"/>
          <w:rtl/>
          <w:lang w:eastAsia="he-IL"/>
        </w:rPr>
        <w:t>,</w:t>
      </w:r>
      <w:r w:rsidR="00A35118" w:rsidRPr="00CD600A">
        <w:rPr>
          <w:rFonts w:ascii="Times New Roman" w:eastAsia="Times New Roman" w:hAnsi="Times New Roman" w:hint="cs"/>
          <w:snapToGrid/>
          <w:color w:val="auto"/>
          <w:sz w:val="24"/>
          <w:szCs w:val="24"/>
          <w:rtl/>
          <w:lang w:eastAsia="he-IL"/>
        </w:rPr>
        <w:t xml:space="preserve"> מבקר המדינה אינו כפוף לפרשנותו של היועץ המשפטי לממשלה</w:t>
      </w:r>
      <w:r w:rsidR="00A35118" w:rsidRPr="00CD600A">
        <w:rPr>
          <w:rStyle w:val="aa"/>
          <w:rFonts w:ascii="Times New Roman" w:eastAsia="Times New Roman" w:hAnsi="Times New Roman"/>
          <w:snapToGrid/>
          <w:color w:val="auto"/>
          <w:szCs w:val="20"/>
          <w:rtl/>
          <w:lang w:eastAsia="he-IL"/>
        </w:rPr>
        <w:footnoteReference w:id="6"/>
      </w:r>
      <w:r w:rsidR="00A35118" w:rsidRPr="00CD600A">
        <w:rPr>
          <w:rFonts w:ascii="Times New Roman" w:eastAsia="Times New Roman" w:hAnsi="Times New Roman" w:hint="cs"/>
          <w:snapToGrid/>
          <w:color w:val="auto"/>
          <w:sz w:val="24"/>
          <w:szCs w:val="24"/>
          <w:rtl/>
          <w:lang w:eastAsia="he-IL"/>
        </w:rPr>
        <w:t xml:space="preserve">. </w:t>
      </w:r>
      <w:r w:rsidR="008A582F" w:rsidRPr="00CD600A">
        <w:rPr>
          <w:rFonts w:ascii="Times New Roman" w:eastAsia="Times New Roman" w:hAnsi="Times New Roman" w:hint="cs"/>
          <w:snapToGrid/>
          <w:color w:val="auto"/>
          <w:sz w:val="24"/>
          <w:szCs w:val="24"/>
          <w:rtl/>
          <w:lang w:eastAsia="he-IL"/>
        </w:rPr>
        <w:t xml:space="preserve">מעבר לנימוקים </w:t>
      </w:r>
      <w:r w:rsidR="009467E1" w:rsidRPr="00CD600A">
        <w:rPr>
          <w:rFonts w:ascii="Times New Roman" w:eastAsia="Times New Roman" w:hAnsi="Times New Roman" w:hint="cs"/>
          <w:snapToGrid/>
          <w:color w:val="auto"/>
          <w:sz w:val="24"/>
          <w:szCs w:val="24"/>
          <w:rtl/>
          <w:lang w:eastAsia="he-IL"/>
        </w:rPr>
        <w:t>מוסדיים-</w:t>
      </w:r>
      <w:r w:rsidR="008A582F" w:rsidRPr="00CD600A">
        <w:rPr>
          <w:rFonts w:ascii="Times New Roman" w:eastAsia="Times New Roman" w:hAnsi="Times New Roman" w:hint="cs"/>
          <w:snapToGrid/>
          <w:color w:val="auto"/>
          <w:sz w:val="24"/>
          <w:szCs w:val="24"/>
          <w:rtl/>
          <w:lang w:eastAsia="he-IL"/>
        </w:rPr>
        <w:t xml:space="preserve">מבניים </w:t>
      </w:r>
      <w:r w:rsidR="00A05E76" w:rsidRPr="00CD600A">
        <w:rPr>
          <w:rFonts w:ascii="Times New Roman" w:eastAsia="Times New Roman" w:hAnsi="Times New Roman" w:hint="cs"/>
          <w:snapToGrid/>
          <w:color w:val="auto"/>
          <w:sz w:val="24"/>
          <w:szCs w:val="24"/>
          <w:rtl/>
          <w:lang w:eastAsia="he-IL"/>
        </w:rPr>
        <w:t xml:space="preserve">שאינם </w:t>
      </w:r>
      <w:r w:rsidR="008A582F" w:rsidRPr="00CD600A">
        <w:rPr>
          <w:rFonts w:ascii="Times New Roman" w:eastAsia="Times New Roman" w:hAnsi="Times New Roman" w:hint="cs"/>
          <w:snapToGrid/>
          <w:color w:val="auto"/>
          <w:sz w:val="24"/>
          <w:szCs w:val="24"/>
          <w:rtl/>
          <w:lang w:eastAsia="he-IL"/>
        </w:rPr>
        <w:t>רלוונטי</w:t>
      </w:r>
      <w:r w:rsidR="001A1DDC" w:rsidRPr="00CD600A">
        <w:rPr>
          <w:rFonts w:ascii="Times New Roman" w:eastAsia="Times New Roman" w:hAnsi="Times New Roman" w:hint="cs"/>
          <w:snapToGrid/>
          <w:color w:val="auto"/>
          <w:sz w:val="24"/>
          <w:szCs w:val="24"/>
          <w:rtl/>
          <w:lang w:eastAsia="he-IL"/>
        </w:rPr>
        <w:t>ים</w:t>
      </w:r>
      <w:r w:rsidR="008A582F" w:rsidRPr="00CD600A">
        <w:rPr>
          <w:rFonts w:ascii="Times New Roman" w:eastAsia="Times New Roman" w:hAnsi="Times New Roman" w:hint="cs"/>
          <w:snapToGrid/>
          <w:color w:val="auto"/>
          <w:sz w:val="24"/>
          <w:szCs w:val="24"/>
          <w:rtl/>
          <w:lang w:eastAsia="he-IL"/>
        </w:rPr>
        <w:t xml:space="preserve"> לענייננו</w:t>
      </w:r>
      <w:r w:rsidR="008A582F" w:rsidRPr="00CD600A">
        <w:rPr>
          <w:rStyle w:val="aa"/>
          <w:rFonts w:ascii="Times New Roman" w:eastAsia="Times New Roman" w:hAnsi="Times New Roman"/>
          <w:snapToGrid/>
          <w:color w:val="auto"/>
          <w:szCs w:val="20"/>
          <w:rtl/>
          <w:lang w:eastAsia="he-IL"/>
        </w:rPr>
        <w:footnoteReference w:id="7"/>
      </w:r>
      <w:r w:rsidR="00A05E76" w:rsidRPr="00CD600A">
        <w:rPr>
          <w:rFonts w:ascii="Times New Roman" w:eastAsia="Times New Roman" w:hAnsi="Times New Roman" w:hint="cs"/>
          <w:snapToGrid/>
          <w:color w:val="auto"/>
          <w:sz w:val="24"/>
          <w:szCs w:val="24"/>
          <w:rtl/>
          <w:lang w:eastAsia="he-IL"/>
        </w:rPr>
        <w:t>,</w:t>
      </w:r>
      <w:r w:rsidR="00285FE2" w:rsidRPr="00CD600A">
        <w:rPr>
          <w:rFonts w:ascii="Times New Roman" w:eastAsia="Times New Roman" w:hAnsi="Times New Roman" w:hint="cs"/>
          <w:snapToGrid/>
          <w:color w:val="auto"/>
          <w:sz w:val="24"/>
          <w:szCs w:val="24"/>
          <w:rtl/>
          <w:lang w:eastAsia="he-IL"/>
        </w:rPr>
        <w:t xml:space="preserve"> </w:t>
      </w:r>
      <w:r w:rsidR="009467E1" w:rsidRPr="00CD600A">
        <w:rPr>
          <w:rFonts w:ascii="Times New Roman" w:eastAsia="Times New Roman" w:hAnsi="Times New Roman" w:hint="cs"/>
          <w:snapToGrid/>
          <w:color w:val="auto"/>
          <w:sz w:val="24"/>
          <w:szCs w:val="24"/>
          <w:rtl/>
          <w:lang w:eastAsia="he-IL"/>
        </w:rPr>
        <w:t xml:space="preserve">הטענה העיקרית נגד </w:t>
      </w:r>
      <w:r w:rsidR="008A582F" w:rsidRPr="00CD600A">
        <w:rPr>
          <w:rFonts w:ascii="Times New Roman" w:eastAsia="Times New Roman" w:hAnsi="Times New Roman" w:hint="cs"/>
          <w:snapToGrid/>
          <w:color w:val="auto"/>
          <w:sz w:val="24"/>
          <w:szCs w:val="24"/>
          <w:rtl/>
          <w:lang w:eastAsia="he-IL"/>
        </w:rPr>
        <w:t>הכפפ</w:t>
      </w:r>
      <w:r w:rsidR="00F162EA" w:rsidRPr="00CD600A">
        <w:rPr>
          <w:rFonts w:ascii="Times New Roman" w:eastAsia="Times New Roman" w:hAnsi="Times New Roman" w:hint="cs"/>
          <w:snapToGrid/>
          <w:color w:val="auto"/>
          <w:sz w:val="24"/>
          <w:szCs w:val="24"/>
          <w:rtl/>
          <w:lang w:eastAsia="he-IL"/>
        </w:rPr>
        <w:t>ה</w:t>
      </w:r>
      <w:r w:rsidR="008A582F" w:rsidRPr="00CD600A">
        <w:rPr>
          <w:rFonts w:ascii="Times New Roman" w:eastAsia="Times New Roman" w:hAnsi="Times New Roman" w:hint="cs"/>
          <w:snapToGrid/>
          <w:color w:val="auto"/>
          <w:sz w:val="24"/>
          <w:szCs w:val="24"/>
          <w:rtl/>
          <w:lang w:eastAsia="he-IL"/>
        </w:rPr>
        <w:t xml:space="preserve"> </w:t>
      </w:r>
      <w:r w:rsidR="00F162EA" w:rsidRPr="00CD600A">
        <w:rPr>
          <w:rFonts w:ascii="Times New Roman" w:eastAsia="Times New Roman" w:hAnsi="Times New Roman" w:hint="cs"/>
          <w:snapToGrid/>
          <w:color w:val="auto"/>
          <w:sz w:val="24"/>
          <w:szCs w:val="24"/>
          <w:rtl/>
          <w:lang w:eastAsia="he-IL"/>
        </w:rPr>
        <w:t xml:space="preserve">של </w:t>
      </w:r>
      <w:r w:rsidR="006C6D3B" w:rsidRPr="00CD600A">
        <w:rPr>
          <w:rFonts w:ascii="Times New Roman" w:eastAsia="Times New Roman" w:hAnsi="Times New Roman" w:hint="cs"/>
          <w:snapToGrid/>
          <w:color w:val="auto"/>
          <w:sz w:val="24"/>
          <w:szCs w:val="24"/>
          <w:rtl/>
          <w:lang w:eastAsia="he-IL"/>
        </w:rPr>
        <w:t>ה</w:t>
      </w:r>
      <w:r w:rsidR="008A582F" w:rsidRPr="00CD600A">
        <w:rPr>
          <w:rFonts w:ascii="Times New Roman" w:eastAsia="Times New Roman" w:hAnsi="Times New Roman" w:hint="cs"/>
          <w:snapToGrid/>
          <w:color w:val="auto"/>
          <w:sz w:val="24"/>
          <w:szCs w:val="24"/>
          <w:rtl/>
          <w:lang w:eastAsia="he-IL"/>
        </w:rPr>
        <w:t xml:space="preserve">מבקר לחוות דעתו של </w:t>
      </w:r>
      <w:r w:rsidR="00897FF0" w:rsidRPr="00CD600A">
        <w:rPr>
          <w:rFonts w:ascii="Times New Roman" w:eastAsia="Times New Roman" w:hAnsi="Times New Roman" w:hint="cs"/>
          <w:snapToGrid/>
          <w:color w:val="auto"/>
          <w:sz w:val="24"/>
          <w:szCs w:val="24"/>
          <w:rtl/>
          <w:lang w:eastAsia="he-IL"/>
        </w:rPr>
        <w:t xml:space="preserve">היועץ, </w:t>
      </w:r>
      <w:r w:rsidR="009467E1" w:rsidRPr="00CD600A">
        <w:rPr>
          <w:rFonts w:ascii="Times New Roman" w:eastAsia="Times New Roman" w:hAnsi="Times New Roman" w:hint="cs"/>
          <w:snapToGrid/>
          <w:color w:val="auto"/>
          <w:sz w:val="24"/>
          <w:szCs w:val="24"/>
          <w:rtl/>
          <w:lang w:eastAsia="he-IL"/>
        </w:rPr>
        <w:t>היא ש</w:t>
      </w:r>
      <w:r w:rsidR="00897FF0" w:rsidRPr="00CD600A">
        <w:rPr>
          <w:rFonts w:ascii="Times New Roman" w:eastAsia="Times New Roman" w:hAnsi="Times New Roman" w:hint="cs"/>
          <w:snapToGrid/>
          <w:color w:val="auto"/>
          <w:sz w:val="24"/>
          <w:szCs w:val="24"/>
          <w:rtl/>
          <w:lang w:eastAsia="he-IL"/>
        </w:rPr>
        <w:t xml:space="preserve">במידה רבה </w:t>
      </w:r>
      <w:r w:rsidR="009467E1" w:rsidRPr="00CD600A">
        <w:rPr>
          <w:rFonts w:ascii="Times New Roman" w:eastAsia="Times New Roman" w:hAnsi="Times New Roman" w:hint="cs"/>
          <w:snapToGrid/>
          <w:color w:val="auto"/>
          <w:sz w:val="24"/>
          <w:szCs w:val="24"/>
          <w:rtl/>
          <w:lang w:eastAsia="he-IL"/>
        </w:rPr>
        <w:t xml:space="preserve">הכפפה כזאת </w:t>
      </w:r>
      <w:r w:rsidR="001A1DDC" w:rsidRPr="00CD600A">
        <w:rPr>
          <w:rFonts w:ascii="Times New Roman" w:eastAsia="Times New Roman" w:hAnsi="Times New Roman" w:hint="cs"/>
          <w:snapToGrid/>
          <w:color w:val="auto"/>
          <w:sz w:val="24"/>
          <w:szCs w:val="24"/>
          <w:rtl/>
          <w:lang w:eastAsia="he-IL"/>
        </w:rPr>
        <w:t>מעקרת מתוכן את תפקידו של המבקר</w:t>
      </w:r>
      <w:r w:rsidR="002157B4" w:rsidRPr="00CD600A">
        <w:rPr>
          <w:rFonts w:ascii="Times New Roman" w:eastAsia="Times New Roman" w:hAnsi="Times New Roman" w:hint="cs"/>
          <w:snapToGrid/>
          <w:color w:val="auto"/>
          <w:sz w:val="24"/>
          <w:szCs w:val="24"/>
          <w:rtl/>
          <w:lang w:eastAsia="he-IL"/>
        </w:rPr>
        <w:t>.</w:t>
      </w:r>
      <w:r w:rsidR="00285FE2" w:rsidRPr="00CD600A">
        <w:rPr>
          <w:rFonts w:ascii="Times New Roman" w:eastAsia="Times New Roman" w:hAnsi="Times New Roman" w:hint="cs"/>
          <w:snapToGrid/>
          <w:color w:val="auto"/>
          <w:sz w:val="24"/>
          <w:szCs w:val="24"/>
          <w:rtl/>
          <w:lang w:eastAsia="he-IL"/>
        </w:rPr>
        <w:t xml:space="preserve"> </w:t>
      </w:r>
      <w:r w:rsidR="001A1DDC" w:rsidRPr="00CD600A">
        <w:rPr>
          <w:rFonts w:ascii="Times New Roman" w:eastAsia="Times New Roman" w:hAnsi="Times New Roman" w:hint="cs"/>
          <w:snapToGrid/>
          <w:color w:val="auto"/>
          <w:sz w:val="24"/>
          <w:szCs w:val="24"/>
          <w:rtl/>
          <w:lang w:eastAsia="he-IL"/>
        </w:rPr>
        <w:t xml:space="preserve">אם המחוקק מעניק </w:t>
      </w:r>
      <w:r w:rsidR="00897FF0" w:rsidRPr="00CD600A">
        <w:rPr>
          <w:rFonts w:ascii="Times New Roman" w:eastAsia="Times New Roman" w:hAnsi="Times New Roman" w:hint="cs"/>
          <w:snapToGrid/>
          <w:color w:val="auto"/>
          <w:sz w:val="24"/>
          <w:szCs w:val="24"/>
          <w:rtl/>
          <w:lang w:eastAsia="he-IL"/>
        </w:rPr>
        <w:t>ל</w:t>
      </w:r>
      <w:r w:rsidR="001A1DDC" w:rsidRPr="00CD600A">
        <w:rPr>
          <w:rFonts w:ascii="Times New Roman" w:eastAsia="Times New Roman" w:hAnsi="Times New Roman" w:hint="cs"/>
          <w:snapToGrid/>
          <w:color w:val="auto"/>
          <w:sz w:val="24"/>
          <w:szCs w:val="24"/>
          <w:rtl/>
          <w:lang w:eastAsia="he-IL"/>
        </w:rPr>
        <w:t xml:space="preserve">מבקר </w:t>
      </w:r>
      <w:r w:rsidR="00897FF0" w:rsidRPr="00CD600A">
        <w:rPr>
          <w:rFonts w:ascii="Times New Roman" w:eastAsia="Times New Roman" w:hAnsi="Times New Roman" w:hint="cs"/>
          <w:snapToGrid/>
          <w:color w:val="auto"/>
          <w:sz w:val="24"/>
          <w:szCs w:val="24"/>
          <w:rtl/>
          <w:lang w:eastAsia="he-IL"/>
        </w:rPr>
        <w:t xml:space="preserve">המדינה </w:t>
      </w:r>
      <w:r w:rsidR="00A962F1" w:rsidRPr="00CD600A">
        <w:rPr>
          <w:rFonts w:ascii="Times New Roman" w:eastAsia="Times New Roman" w:hAnsi="Times New Roman" w:hint="cs"/>
          <w:snapToGrid/>
          <w:color w:val="auto"/>
          <w:sz w:val="24"/>
          <w:szCs w:val="24"/>
          <w:rtl/>
          <w:lang w:eastAsia="he-IL"/>
        </w:rPr>
        <w:t>סמכות לבדוק את חוקיות הפעולות</w:t>
      </w:r>
      <w:r w:rsidR="001A1DDC" w:rsidRPr="00CD600A">
        <w:rPr>
          <w:rFonts w:ascii="Times New Roman" w:eastAsia="Times New Roman" w:hAnsi="Times New Roman" w:hint="cs"/>
          <w:snapToGrid/>
          <w:color w:val="auto"/>
          <w:sz w:val="24"/>
          <w:szCs w:val="24"/>
          <w:rtl/>
          <w:lang w:eastAsia="he-IL"/>
        </w:rPr>
        <w:t xml:space="preserve"> של </w:t>
      </w:r>
      <w:proofErr w:type="spellStart"/>
      <w:r w:rsidR="00897FF0" w:rsidRPr="00CD600A">
        <w:rPr>
          <w:rFonts w:ascii="Times New Roman" w:eastAsia="Times New Roman" w:hAnsi="Times New Roman" w:hint="cs"/>
          <w:snapToGrid/>
          <w:color w:val="auto"/>
          <w:sz w:val="24"/>
          <w:szCs w:val="24"/>
          <w:rtl/>
          <w:lang w:eastAsia="he-IL"/>
        </w:rPr>
        <w:t>המינהל</w:t>
      </w:r>
      <w:proofErr w:type="spellEnd"/>
      <w:r w:rsidR="00897FF0" w:rsidRPr="00CD600A">
        <w:rPr>
          <w:rFonts w:ascii="Times New Roman" w:eastAsia="Times New Roman" w:hAnsi="Times New Roman" w:hint="cs"/>
          <w:snapToGrid/>
          <w:color w:val="auto"/>
          <w:sz w:val="24"/>
          <w:szCs w:val="24"/>
          <w:rtl/>
          <w:lang w:eastAsia="he-IL"/>
        </w:rPr>
        <w:t xml:space="preserve"> הציבורי (ובכלל זה של היועץ המשפטי לממשלה)</w:t>
      </w:r>
      <w:r w:rsidR="001A1DDC" w:rsidRPr="00CD600A">
        <w:rPr>
          <w:rFonts w:ascii="Times New Roman" w:eastAsia="Times New Roman" w:hAnsi="Times New Roman" w:hint="cs"/>
          <w:snapToGrid/>
          <w:color w:val="auto"/>
          <w:sz w:val="24"/>
          <w:szCs w:val="24"/>
          <w:rtl/>
          <w:lang w:eastAsia="he-IL"/>
        </w:rPr>
        <w:t xml:space="preserve">, הכפפה של מבקר </w:t>
      </w:r>
      <w:r w:rsidR="00897FF0" w:rsidRPr="00CD600A">
        <w:rPr>
          <w:rFonts w:ascii="Times New Roman" w:eastAsia="Times New Roman" w:hAnsi="Times New Roman" w:hint="cs"/>
          <w:snapToGrid/>
          <w:color w:val="auto"/>
          <w:sz w:val="24"/>
          <w:szCs w:val="24"/>
          <w:rtl/>
          <w:lang w:eastAsia="he-IL"/>
        </w:rPr>
        <w:t xml:space="preserve">המדינה </w:t>
      </w:r>
      <w:r w:rsidR="001A1DDC" w:rsidRPr="00CD600A">
        <w:rPr>
          <w:rFonts w:ascii="Times New Roman" w:eastAsia="Times New Roman" w:hAnsi="Times New Roman" w:hint="cs"/>
          <w:snapToGrid/>
          <w:color w:val="auto"/>
          <w:sz w:val="24"/>
          <w:szCs w:val="24"/>
          <w:rtl/>
          <w:lang w:eastAsia="he-IL"/>
        </w:rPr>
        <w:t xml:space="preserve">לחוות דעתו של </w:t>
      </w:r>
      <w:r w:rsidR="00897FF0" w:rsidRPr="00CD600A">
        <w:rPr>
          <w:rFonts w:ascii="Times New Roman" w:eastAsia="Times New Roman" w:hAnsi="Times New Roman" w:hint="cs"/>
          <w:snapToGrid/>
          <w:color w:val="auto"/>
          <w:sz w:val="24"/>
          <w:szCs w:val="24"/>
          <w:rtl/>
          <w:lang w:eastAsia="he-IL"/>
        </w:rPr>
        <w:t xml:space="preserve">היועץ המשפטי לממשלה </w:t>
      </w:r>
      <w:r w:rsidR="001A1DDC" w:rsidRPr="00CD600A">
        <w:rPr>
          <w:rFonts w:ascii="Times New Roman" w:eastAsia="Times New Roman" w:hAnsi="Times New Roman" w:hint="cs"/>
          <w:snapToGrid/>
          <w:color w:val="auto"/>
          <w:sz w:val="24"/>
          <w:szCs w:val="24"/>
          <w:rtl/>
          <w:lang w:eastAsia="he-IL"/>
        </w:rPr>
        <w:t xml:space="preserve">בדבר חוקיות הפעולה, </w:t>
      </w:r>
      <w:r w:rsidR="00A962F1" w:rsidRPr="00CD600A">
        <w:rPr>
          <w:rFonts w:ascii="Times New Roman" w:eastAsia="Times New Roman" w:hAnsi="Times New Roman" w:hint="cs"/>
          <w:snapToGrid/>
          <w:color w:val="auto"/>
          <w:sz w:val="24"/>
          <w:szCs w:val="24"/>
          <w:rtl/>
          <w:lang w:eastAsia="he-IL"/>
        </w:rPr>
        <w:t xml:space="preserve">תגביל את </w:t>
      </w:r>
      <w:r w:rsidR="00A05E76" w:rsidRPr="00CD600A">
        <w:rPr>
          <w:rFonts w:ascii="Times New Roman" w:eastAsia="Times New Roman" w:hAnsi="Times New Roman" w:hint="cs"/>
          <w:snapToGrid/>
          <w:color w:val="auto"/>
          <w:sz w:val="24"/>
          <w:szCs w:val="24"/>
          <w:rtl/>
          <w:lang w:eastAsia="he-IL"/>
        </w:rPr>
        <w:t>ה</w:t>
      </w:r>
      <w:r w:rsidR="00A962F1" w:rsidRPr="00CD600A">
        <w:rPr>
          <w:rFonts w:ascii="Times New Roman" w:eastAsia="Times New Roman" w:hAnsi="Times New Roman" w:hint="cs"/>
          <w:snapToGrid/>
          <w:color w:val="auto"/>
          <w:sz w:val="24"/>
          <w:szCs w:val="24"/>
          <w:rtl/>
          <w:lang w:eastAsia="he-IL"/>
        </w:rPr>
        <w:t xml:space="preserve">מבקר לבדיקת השאלה האם </w:t>
      </w:r>
      <w:proofErr w:type="spellStart"/>
      <w:r w:rsidR="00A962F1" w:rsidRPr="00CD600A">
        <w:rPr>
          <w:rFonts w:ascii="Times New Roman" w:eastAsia="Times New Roman" w:hAnsi="Times New Roman" w:hint="cs"/>
          <w:snapToGrid/>
          <w:color w:val="auto"/>
          <w:sz w:val="24"/>
          <w:szCs w:val="24"/>
          <w:rtl/>
          <w:lang w:eastAsia="he-IL"/>
        </w:rPr>
        <w:t>המינהל</w:t>
      </w:r>
      <w:proofErr w:type="spellEnd"/>
      <w:r w:rsidR="00A962F1" w:rsidRPr="00CD600A">
        <w:rPr>
          <w:rFonts w:ascii="Times New Roman" w:eastAsia="Times New Roman" w:hAnsi="Times New Roman" w:hint="cs"/>
          <w:snapToGrid/>
          <w:color w:val="auto"/>
          <w:sz w:val="24"/>
          <w:szCs w:val="24"/>
          <w:rtl/>
          <w:lang w:eastAsia="he-IL"/>
        </w:rPr>
        <w:t xml:space="preserve"> הציבורי פעל לפי עצתו של היועץ, ולמעשה </w:t>
      </w:r>
      <w:r w:rsidR="00897FF0" w:rsidRPr="00CD600A">
        <w:rPr>
          <w:rFonts w:ascii="Times New Roman" w:eastAsia="Times New Roman" w:hAnsi="Times New Roman" w:hint="cs"/>
          <w:snapToGrid/>
          <w:color w:val="auto"/>
          <w:sz w:val="24"/>
          <w:szCs w:val="24"/>
          <w:rtl/>
          <w:lang w:eastAsia="he-IL"/>
        </w:rPr>
        <w:t xml:space="preserve">תהפוך </w:t>
      </w:r>
      <w:r w:rsidR="001A1DDC" w:rsidRPr="00CD600A">
        <w:rPr>
          <w:rFonts w:ascii="Times New Roman" w:eastAsia="Times New Roman" w:hAnsi="Times New Roman" w:hint="cs"/>
          <w:snapToGrid/>
          <w:color w:val="auto"/>
          <w:sz w:val="24"/>
          <w:szCs w:val="24"/>
          <w:rtl/>
          <w:lang w:eastAsia="he-IL"/>
        </w:rPr>
        <w:t xml:space="preserve">את </w:t>
      </w:r>
      <w:r w:rsidR="00A05E76" w:rsidRPr="00CD600A">
        <w:rPr>
          <w:rFonts w:ascii="Times New Roman" w:eastAsia="Times New Roman" w:hAnsi="Times New Roman" w:hint="cs"/>
          <w:snapToGrid/>
          <w:color w:val="auto"/>
          <w:sz w:val="24"/>
          <w:szCs w:val="24"/>
          <w:rtl/>
          <w:lang w:eastAsia="he-IL"/>
        </w:rPr>
        <w:t>ה</w:t>
      </w:r>
      <w:r w:rsidR="00897FF0" w:rsidRPr="00CD600A">
        <w:rPr>
          <w:rFonts w:ascii="Times New Roman" w:eastAsia="Times New Roman" w:hAnsi="Times New Roman" w:hint="cs"/>
          <w:snapToGrid/>
          <w:color w:val="auto"/>
          <w:sz w:val="24"/>
          <w:szCs w:val="24"/>
          <w:rtl/>
          <w:lang w:eastAsia="he-IL"/>
        </w:rPr>
        <w:t xml:space="preserve">מבקר </w:t>
      </w:r>
      <w:r w:rsidR="001A1DDC" w:rsidRPr="00CD600A">
        <w:rPr>
          <w:rFonts w:ascii="Times New Roman" w:eastAsia="Times New Roman" w:hAnsi="Times New Roman" w:hint="cs"/>
          <w:snapToGrid/>
          <w:color w:val="auto"/>
          <w:sz w:val="24"/>
          <w:szCs w:val="24"/>
          <w:rtl/>
          <w:lang w:eastAsia="he-IL"/>
        </w:rPr>
        <w:t xml:space="preserve">לכלי עזר של </w:t>
      </w:r>
      <w:r w:rsidR="00897FF0" w:rsidRPr="00CD600A">
        <w:rPr>
          <w:rFonts w:ascii="Times New Roman" w:eastAsia="Times New Roman" w:hAnsi="Times New Roman" w:hint="cs"/>
          <w:snapToGrid/>
          <w:color w:val="auto"/>
          <w:sz w:val="24"/>
          <w:szCs w:val="24"/>
          <w:rtl/>
          <w:lang w:eastAsia="he-IL"/>
        </w:rPr>
        <w:t xml:space="preserve">היועץ </w:t>
      </w:r>
      <w:r w:rsidR="001A1DDC" w:rsidRPr="00CD600A">
        <w:rPr>
          <w:rFonts w:ascii="Times New Roman" w:eastAsia="Times New Roman" w:hAnsi="Times New Roman" w:hint="cs"/>
          <w:snapToGrid/>
          <w:color w:val="auto"/>
          <w:sz w:val="24"/>
          <w:szCs w:val="24"/>
          <w:rtl/>
          <w:lang w:eastAsia="he-IL"/>
        </w:rPr>
        <w:t>במקום לשמש רשות מבקרת ומפקחת, המבצעת בדיקה נוספת, עצמאית וחיצונית.</w:t>
      </w:r>
      <w:r w:rsidR="006C6D3B" w:rsidRPr="00CD600A">
        <w:rPr>
          <w:rFonts w:ascii="Times New Roman" w:eastAsia="Times New Roman" w:hAnsi="Times New Roman" w:hint="cs"/>
          <w:snapToGrid/>
          <w:color w:val="auto"/>
          <w:sz w:val="24"/>
          <w:szCs w:val="24"/>
          <w:rtl/>
          <w:lang w:eastAsia="he-IL"/>
        </w:rPr>
        <w:t xml:space="preserve"> </w:t>
      </w:r>
    </w:p>
    <w:p w:rsidR="00D96692" w:rsidRPr="00CD600A" w:rsidRDefault="001D08E5" w:rsidP="001A0CD0">
      <w:pPr>
        <w:pStyle w:val="Hesber"/>
        <w:spacing w:after="100" w:line="312" w:lineRule="auto"/>
        <w:ind w:firstLine="0"/>
        <w:rPr>
          <w:rFonts w:ascii="Times New Roman" w:eastAsia="Times New Roman" w:hAnsi="Times New Roman"/>
          <w:snapToGrid/>
          <w:color w:val="auto"/>
          <w:sz w:val="24"/>
          <w:szCs w:val="24"/>
          <w:rtl/>
          <w:lang w:eastAsia="he-IL"/>
        </w:rPr>
      </w:pPr>
      <w:r w:rsidRPr="00CD600A">
        <w:rPr>
          <w:rFonts w:ascii="Times New Roman" w:eastAsia="Times New Roman" w:hAnsi="Times New Roman" w:hint="cs"/>
          <w:snapToGrid/>
          <w:color w:val="auto"/>
          <w:sz w:val="24"/>
          <w:szCs w:val="24"/>
          <w:rtl/>
          <w:lang w:eastAsia="he-IL"/>
        </w:rPr>
        <w:t xml:space="preserve">אין ספק כי </w:t>
      </w:r>
      <w:r w:rsidR="00010161" w:rsidRPr="00CD600A">
        <w:rPr>
          <w:rFonts w:ascii="Times New Roman" w:eastAsia="Times New Roman" w:hAnsi="Times New Roman" w:hint="cs"/>
          <w:snapToGrid/>
          <w:color w:val="auto"/>
          <w:sz w:val="24"/>
          <w:szCs w:val="24"/>
          <w:rtl/>
          <w:lang w:eastAsia="he-IL"/>
        </w:rPr>
        <w:t xml:space="preserve">נימוק זה רלוונטי </w:t>
      </w:r>
      <w:r w:rsidR="00F45EEA" w:rsidRPr="00CD600A">
        <w:rPr>
          <w:rFonts w:ascii="Times New Roman" w:eastAsia="Times New Roman" w:hAnsi="Times New Roman" w:hint="cs"/>
          <w:snapToGrid/>
          <w:color w:val="auto"/>
          <w:sz w:val="24"/>
          <w:szCs w:val="24"/>
          <w:rtl/>
          <w:lang w:eastAsia="he-IL"/>
        </w:rPr>
        <w:t>גם לענייננו.</w:t>
      </w:r>
      <w:r w:rsidR="005E3794" w:rsidRPr="00CD600A">
        <w:rPr>
          <w:rFonts w:ascii="Times New Roman" w:eastAsia="Times New Roman" w:hAnsi="Times New Roman" w:hint="cs"/>
          <w:snapToGrid/>
          <w:color w:val="auto"/>
          <w:sz w:val="24"/>
          <w:szCs w:val="24"/>
          <w:rtl/>
          <w:lang w:eastAsia="he-IL"/>
        </w:rPr>
        <w:t xml:space="preserve"> עם זאת, </w:t>
      </w:r>
      <w:r w:rsidR="00BA5BF4" w:rsidRPr="00CD600A">
        <w:rPr>
          <w:rFonts w:ascii="Times New Roman" w:eastAsia="Times New Roman" w:hAnsi="Times New Roman" w:hint="cs"/>
          <w:snapToGrid/>
          <w:color w:val="auto"/>
          <w:sz w:val="24"/>
          <w:szCs w:val="24"/>
          <w:rtl/>
          <w:lang w:eastAsia="he-IL"/>
        </w:rPr>
        <w:t xml:space="preserve">חשוב להבהיר כי </w:t>
      </w:r>
      <w:r w:rsidR="00BA5BF4" w:rsidRPr="00CD600A">
        <w:rPr>
          <w:rFonts w:ascii="Times New Roman" w:eastAsia="Times New Roman" w:hAnsi="Times New Roman" w:hint="cs"/>
          <w:snapToGrid/>
          <w:color w:val="auto"/>
          <w:sz w:val="24"/>
          <w:szCs w:val="24"/>
          <w:u w:val="single"/>
          <w:rtl/>
          <w:lang w:eastAsia="he-IL"/>
        </w:rPr>
        <w:t xml:space="preserve">החלופה למתווה המוצע אינה בהכרח הכפפה הפוכה, קרי: </w:t>
      </w:r>
      <w:r w:rsidR="005E3794" w:rsidRPr="00CD600A">
        <w:rPr>
          <w:rFonts w:ascii="Times New Roman" w:eastAsia="Times New Roman" w:hAnsi="Times New Roman" w:hint="cs"/>
          <w:snapToGrid/>
          <w:color w:val="auto"/>
          <w:sz w:val="24"/>
          <w:szCs w:val="24"/>
          <w:u w:val="single"/>
          <w:rtl/>
          <w:lang w:eastAsia="he-IL"/>
        </w:rPr>
        <w:t xml:space="preserve">הכפפה של </w:t>
      </w:r>
      <w:r w:rsidR="00BA5BF4" w:rsidRPr="00CD600A">
        <w:rPr>
          <w:rFonts w:ascii="Times New Roman" w:eastAsia="Times New Roman" w:hAnsi="Times New Roman" w:hint="cs"/>
          <w:snapToGrid/>
          <w:color w:val="auto"/>
          <w:sz w:val="24"/>
          <w:szCs w:val="24"/>
          <w:u w:val="single"/>
          <w:rtl/>
          <w:lang w:eastAsia="he-IL"/>
        </w:rPr>
        <w:t>היועץ המשפטי לממשלה להכרעת</w:t>
      </w:r>
      <w:r w:rsidR="005E3794" w:rsidRPr="00CD600A">
        <w:rPr>
          <w:rFonts w:ascii="Times New Roman" w:eastAsia="Times New Roman" w:hAnsi="Times New Roman" w:hint="cs"/>
          <w:snapToGrid/>
          <w:color w:val="auto"/>
          <w:sz w:val="24"/>
          <w:szCs w:val="24"/>
          <w:u w:val="single"/>
          <w:rtl/>
          <w:lang w:eastAsia="he-IL"/>
        </w:rPr>
        <w:t>ו</w:t>
      </w:r>
      <w:r w:rsidR="00BA5BF4" w:rsidRPr="00CD600A">
        <w:rPr>
          <w:rFonts w:ascii="Times New Roman" w:eastAsia="Times New Roman" w:hAnsi="Times New Roman" w:hint="cs"/>
          <w:snapToGrid/>
          <w:color w:val="auto"/>
          <w:sz w:val="24"/>
          <w:szCs w:val="24"/>
          <w:u w:val="single"/>
          <w:rtl/>
          <w:lang w:eastAsia="he-IL"/>
        </w:rPr>
        <w:t xml:space="preserve"> </w:t>
      </w:r>
      <w:r w:rsidR="005E3794" w:rsidRPr="00CD600A">
        <w:rPr>
          <w:rFonts w:ascii="Times New Roman" w:eastAsia="Times New Roman" w:hAnsi="Times New Roman" w:hint="cs"/>
          <w:snapToGrid/>
          <w:color w:val="auto"/>
          <w:sz w:val="24"/>
          <w:szCs w:val="24"/>
          <w:u w:val="single"/>
          <w:rtl/>
          <w:lang w:eastAsia="he-IL"/>
        </w:rPr>
        <w:t xml:space="preserve">של </w:t>
      </w:r>
      <w:r w:rsidR="00BA5BF4" w:rsidRPr="00CD600A">
        <w:rPr>
          <w:rFonts w:ascii="Times New Roman" w:eastAsia="Times New Roman" w:hAnsi="Times New Roman" w:hint="cs"/>
          <w:snapToGrid/>
          <w:color w:val="auto"/>
          <w:sz w:val="24"/>
          <w:szCs w:val="24"/>
          <w:u w:val="single"/>
          <w:rtl/>
          <w:lang w:eastAsia="he-IL"/>
        </w:rPr>
        <w:t>נציב</w:t>
      </w:r>
      <w:r w:rsidR="00510D3A" w:rsidRPr="00CD600A">
        <w:rPr>
          <w:rFonts w:ascii="Times New Roman" w:eastAsia="Times New Roman" w:hAnsi="Times New Roman" w:hint="cs"/>
          <w:snapToGrid/>
          <w:color w:val="auto"/>
          <w:sz w:val="24"/>
          <w:szCs w:val="24"/>
          <w:u w:val="single"/>
          <w:rtl/>
          <w:lang w:eastAsia="he-IL"/>
        </w:rPr>
        <w:t xml:space="preserve"> תלונות הציבור על מייצגי המדינה בערכאות</w:t>
      </w:r>
      <w:r w:rsidR="00CD600A">
        <w:rPr>
          <w:rFonts w:ascii="Times New Roman" w:eastAsia="Times New Roman" w:hAnsi="Times New Roman" w:hint="cs"/>
          <w:snapToGrid/>
          <w:color w:val="auto"/>
          <w:sz w:val="24"/>
          <w:szCs w:val="24"/>
          <w:u w:val="single"/>
          <w:rtl/>
          <w:lang w:eastAsia="he-IL"/>
        </w:rPr>
        <w:t>;</w:t>
      </w:r>
      <w:r w:rsidR="00BA5BF4" w:rsidRPr="00CD600A">
        <w:rPr>
          <w:rFonts w:ascii="Times New Roman" w:eastAsia="Times New Roman" w:hAnsi="Times New Roman" w:hint="cs"/>
          <w:snapToGrid/>
          <w:color w:val="auto"/>
          <w:sz w:val="24"/>
          <w:szCs w:val="24"/>
          <w:u w:val="single"/>
          <w:rtl/>
          <w:lang w:eastAsia="he-IL"/>
        </w:rPr>
        <w:t xml:space="preserve"> </w:t>
      </w:r>
      <w:r w:rsidR="00CD600A">
        <w:rPr>
          <w:rFonts w:ascii="Times New Roman" w:eastAsia="Times New Roman" w:hAnsi="Times New Roman" w:hint="cs"/>
          <w:snapToGrid/>
          <w:color w:val="auto"/>
          <w:sz w:val="24"/>
          <w:szCs w:val="24"/>
          <w:u w:val="single"/>
          <w:rtl/>
          <w:lang w:eastAsia="he-IL"/>
        </w:rPr>
        <w:t>החלופה האפשרית היא ש</w:t>
      </w:r>
      <w:r w:rsidR="00BA5BF4" w:rsidRPr="00CD600A">
        <w:rPr>
          <w:rFonts w:ascii="Times New Roman" w:eastAsia="Times New Roman" w:hAnsi="Times New Roman" w:hint="cs"/>
          <w:snapToGrid/>
          <w:color w:val="auto"/>
          <w:sz w:val="24"/>
          <w:szCs w:val="24"/>
          <w:u w:val="single"/>
          <w:rtl/>
          <w:lang w:eastAsia="he-IL"/>
        </w:rPr>
        <w:t xml:space="preserve">כל אחד מהגורמים </w:t>
      </w:r>
      <w:r w:rsidR="00CD600A">
        <w:rPr>
          <w:rFonts w:ascii="Times New Roman" w:eastAsia="Times New Roman" w:hAnsi="Times New Roman" w:hint="cs"/>
          <w:snapToGrid/>
          <w:color w:val="auto"/>
          <w:sz w:val="24"/>
          <w:szCs w:val="24"/>
          <w:u w:val="single"/>
          <w:rtl/>
          <w:lang w:eastAsia="he-IL"/>
        </w:rPr>
        <w:t xml:space="preserve">(הנציב והיועץ) </w:t>
      </w:r>
      <w:r w:rsidR="00BA5BF4" w:rsidRPr="00CD600A">
        <w:rPr>
          <w:rFonts w:ascii="Times New Roman" w:eastAsia="Times New Roman" w:hAnsi="Times New Roman" w:hint="cs"/>
          <w:snapToGrid/>
          <w:color w:val="auto"/>
          <w:sz w:val="24"/>
          <w:szCs w:val="24"/>
          <w:u w:val="single"/>
          <w:rtl/>
          <w:lang w:eastAsia="he-IL"/>
        </w:rPr>
        <w:t>יבצע את תפקידו מבלי להיות כפוף למשנהו, ובמקרה של מחלוקת</w:t>
      </w:r>
      <w:r w:rsidR="00510D3A" w:rsidRPr="00CD600A">
        <w:rPr>
          <w:rFonts w:ascii="Times New Roman" w:eastAsia="Times New Roman" w:hAnsi="Times New Roman" w:hint="cs"/>
          <w:snapToGrid/>
          <w:color w:val="auto"/>
          <w:sz w:val="24"/>
          <w:szCs w:val="24"/>
          <w:u w:val="single"/>
          <w:rtl/>
          <w:lang w:eastAsia="he-IL"/>
        </w:rPr>
        <w:t xml:space="preserve"> </w:t>
      </w:r>
      <w:r w:rsidR="00510D3A" w:rsidRPr="00CD600A">
        <w:rPr>
          <w:rFonts w:ascii="Times New Roman" w:eastAsia="Times New Roman" w:hAnsi="Times New Roman"/>
          <w:snapToGrid/>
          <w:color w:val="auto"/>
          <w:sz w:val="24"/>
          <w:szCs w:val="24"/>
          <w:u w:val="single"/>
          <w:rtl/>
          <w:lang w:eastAsia="he-IL"/>
        </w:rPr>
        <w:t>–</w:t>
      </w:r>
      <w:r w:rsidR="00BA5BF4" w:rsidRPr="00CD600A">
        <w:rPr>
          <w:rFonts w:ascii="Times New Roman" w:eastAsia="Times New Roman" w:hAnsi="Times New Roman" w:hint="cs"/>
          <w:snapToGrid/>
          <w:color w:val="auto"/>
          <w:sz w:val="24"/>
          <w:szCs w:val="24"/>
          <w:u w:val="single"/>
          <w:rtl/>
          <w:lang w:eastAsia="he-IL"/>
        </w:rPr>
        <w:t xml:space="preserve"> המחלוקת תיוותר על כנה ללא הכרע</w:t>
      </w:r>
      <w:r w:rsidR="00022380" w:rsidRPr="00CD600A">
        <w:rPr>
          <w:rFonts w:ascii="Times New Roman" w:eastAsia="Times New Roman" w:hAnsi="Times New Roman" w:hint="cs"/>
          <w:snapToGrid/>
          <w:color w:val="auto"/>
          <w:sz w:val="24"/>
          <w:szCs w:val="24"/>
          <w:u w:val="single"/>
          <w:rtl/>
          <w:lang w:eastAsia="he-IL"/>
        </w:rPr>
        <w:t>ה ברור</w:t>
      </w:r>
      <w:r w:rsidR="00BA5BF4" w:rsidRPr="00CD600A">
        <w:rPr>
          <w:rFonts w:ascii="Times New Roman" w:eastAsia="Times New Roman" w:hAnsi="Times New Roman" w:hint="cs"/>
          <w:snapToGrid/>
          <w:color w:val="auto"/>
          <w:sz w:val="24"/>
          <w:szCs w:val="24"/>
          <w:u w:val="single"/>
          <w:rtl/>
          <w:lang w:eastAsia="he-IL"/>
        </w:rPr>
        <w:t>ה</w:t>
      </w:r>
      <w:r w:rsidR="00D96692" w:rsidRPr="00CD600A">
        <w:rPr>
          <w:rStyle w:val="aa"/>
          <w:rFonts w:ascii="Times New Roman" w:eastAsia="Times New Roman" w:hAnsi="Times New Roman"/>
          <w:snapToGrid/>
          <w:color w:val="auto"/>
          <w:szCs w:val="20"/>
          <w:u w:val="single"/>
          <w:rtl/>
          <w:lang w:eastAsia="he-IL"/>
        </w:rPr>
        <w:footnoteReference w:id="8"/>
      </w:r>
      <w:r w:rsidR="00BA5BF4" w:rsidRPr="00CD600A">
        <w:rPr>
          <w:rFonts w:ascii="Times New Roman" w:eastAsia="Times New Roman" w:hAnsi="Times New Roman" w:hint="cs"/>
          <w:snapToGrid/>
          <w:color w:val="auto"/>
          <w:sz w:val="24"/>
          <w:szCs w:val="24"/>
          <w:rtl/>
          <w:lang w:eastAsia="he-IL"/>
        </w:rPr>
        <w:t xml:space="preserve">. ודאי שלא תהיה זו הפעם </w:t>
      </w:r>
      <w:r w:rsidR="00510D3A" w:rsidRPr="00CD600A">
        <w:rPr>
          <w:rFonts w:ascii="Times New Roman" w:eastAsia="Times New Roman" w:hAnsi="Times New Roman" w:hint="cs"/>
          <w:snapToGrid/>
          <w:color w:val="auto"/>
          <w:sz w:val="24"/>
          <w:szCs w:val="24"/>
          <w:rtl/>
          <w:lang w:eastAsia="he-IL"/>
        </w:rPr>
        <w:t xml:space="preserve">הראשונה </w:t>
      </w:r>
      <w:r w:rsidR="00BA5BF4" w:rsidRPr="00CD600A">
        <w:rPr>
          <w:rFonts w:ascii="Times New Roman" w:eastAsia="Times New Roman" w:hAnsi="Times New Roman" w:hint="cs"/>
          <w:snapToGrid/>
          <w:color w:val="auto"/>
          <w:sz w:val="24"/>
          <w:szCs w:val="24"/>
          <w:rtl/>
          <w:lang w:eastAsia="he-IL"/>
        </w:rPr>
        <w:t xml:space="preserve">שמבקר </w:t>
      </w:r>
      <w:r w:rsidR="001A0CD0">
        <w:rPr>
          <w:rFonts w:ascii="Times New Roman" w:eastAsia="Times New Roman" w:hAnsi="Times New Roman" w:hint="cs"/>
          <w:snapToGrid/>
          <w:color w:val="auto"/>
          <w:sz w:val="24"/>
          <w:szCs w:val="24"/>
          <w:rtl/>
          <w:lang w:eastAsia="he-IL"/>
        </w:rPr>
        <w:t>מ</w:t>
      </w:r>
      <w:r w:rsidR="00BA5BF4" w:rsidRPr="00CD600A">
        <w:rPr>
          <w:rFonts w:ascii="Times New Roman" w:eastAsia="Times New Roman" w:hAnsi="Times New Roman" w:hint="cs"/>
          <w:snapToGrid/>
          <w:color w:val="auto"/>
          <w:sz w:val="24"/>
          <w:szCs w:val="24"/>
          <w:rtl/>
          <w:lang w:eastAsia="he-IL"/>
        </w:rPr>
        <w:t xml:space="preserve">צביע על ליקויים בפעילותו של גוף מבוקר, בעוד שהגוף המבוקר </w:t>
      </w:r>
      <w:r w:rsidR="00AC6A99" w:rsidRPr="00CD600A">
        <w:rPr>
          <w:rFonts w:ascii="Times New Roman" w:eastAsia="Times New Roman" w:hAnsi="Times New Roman"/>
          <w:snapToGrid/>
          <w:color w:val="auto"/>
          <w:sz w:val="24"/>
          <w:szCs w:val="24"/>
          <w:rtl/>
          <w:lang w:eastAsia="he-IL"/>
        </w:rPr>
        <w:t>–</w:t>
      </w:r>
      <w:r w:rsidR="00AC6A99" w:rsidRPr="00CD600A">
        <w:rPr>
          <w:rFonts w:ascii="Times New Roman" w:eastAsia="Times New Roman" w:hAnsi="Times New Roman" w:hint="cs"/>
          <w:snapToGrid/>
          <w:color w:val="auto"/>
          <w:sz w:val="24"/>
          <w:szCs w:val="24"/>
          <w:rtl/>
          <w:lang w:eastAsia="he-IL"/>
        </w:rPr>
        <w:t xml:space="preserve"> </w:t>
      </w:r>
      <w:r w:rsidR="00BA5BF4" w:rsidRPr="00CD600A">
        <w:rPr>
          <w:rFonts w:ascii="Times New Roman" w:eastAsia="Times New Roman" w:hAnsi="Times New Roman" w:hint="cs"/>
          <w:snapToGrid/>
          <w:color w:val="auto"/>
          <w:sz w:val="24"/>
          <w:szCs w:val="24"/>
          <w:rtl/>
          <w:lang w:eastAsia="he-IL"/>
        </w:rPr>
        <w:t xml:space="preserve">לאחר ששמע, בדק והתייחס </w:t>
      </w:r>
      <w:r w:rsidR="00510D3A" w:rsidRPr="00CD600A">
        <w:rPr>
          <w:rFonts w:ascii="Times New Roman" w:eastAsia="Times New Roman" w:hAnsi="Times New Roman" w:hint="cs"/>
          <w:snapToGrid/>
          <w:color w:val="auto"/>
          <w:sz w:val="24"/>
          <w:szCs w:val="24"/>
          <w:rtl/>
          <w:lang w:eastAsia="he-IL"/>
        </w:rPr>
        <w:t xml:space="preserve">בכובד ראש </w:t>
      </w:r>
      <w:r w:rsidR="00BA5BF4" w:rsidRPr="00CD600A">
        <w:rPr>
          <w:rFonts w:ascii="Times New Roman" w:eastAsia="Times New Roman" w:hAnsi="Times New Roman" w:hint="cs"/>
          <w:snapToGrid/>
          <w:color w:val="auto"/>
          <w:sz w:val="24"/>
          <w:szCs w:val="24"/>
          <w:rtl/>
          <w:lang w:eastAsia="he-IL"/>
        </w:rPr>
        <w:t>לממצאיו של המבקר</w:t>
      </w:r>
      <w:r w:rsidR="00AC6A99" w:rsidRPr="00CD600A">
        <w:rPr>
          <w:rFonts w:ascii="Times New Roman" w:eastAsia="Times New Roman" w:hAnsi="Times New Roman" w:hint="cs"/>
          <w:snapToGrid/>
          <w:color w:val="auto"/>
          <w:sz w:val="24"/>
          <w:szCs w:val="24"/>
          <w:rtl/>
          <w:lang w:eastAsia="he-IL"/>
        </w:rPr>
        <w:t xml:space="preserve"> </w:t>
      </w:r>
      <w:r w:rsidR="00AC6A99" w:rsidRPr="00CD600A">
        <w:rPr>
          <w:rFonts w:ascii="Times New Roman" w:eastAsia="Times New Roman" w:hAnsi="Times New Roman"/>
          <w:snapToGrid/>
          <w:color w:val="auto"/>
          <w:sz w:val="24"/>
          <w:szCs w:val="24"/>
          <w:rtl/>
          <w:lang w:eastAsia="he-IL"/>
        </w:rPr>
        <w:t>–</w:t>
      </w:r>
      <w:r w:rsidR="00BA5BF4" w:rsidRPr="00CD600A">
        <w:rPr>
          <w:rFonts w:ascii="Times New Roman" w:eastAsia="Times New Roman" w:hAnsi="Times New Roman" w:hint="cs"/>
          <w:snapToGrid/>
          <w:color w:val="auto"/>
          <w:sz w:val="24"/>
          <w:szCs w:val="24"/>
          <w:rtl/>
          <w:lang w:eastAsia="he-IL"/>
        </w:rPr>
        <w:t xml:space="preserve"> </w:t>
      </w:r>
      <w:r w:rsidR="00AC6A99" w:rsidRPr="00CD600A">
        <w:rPr>
          <w:rFonts w:ascii="Times New Roman" w:eastAsia="Times New Roman" w:hAnsi="Times New Roman" w:hint="cs"/>
          <w:snapToGrid/>
          <w:color w:val="auto"/>
          <w:sz w:val="24"/>
          <w:szCs w:val="24"/>
          <w:rtl/>
          <w:lang w:eastAsia="he-IL"/>
        </w:rPr>
        <w:t>ח</w:t>
      </w:r>
      <w:r w:rsidR="001A0CD0">
        <w:rPr>
          <w:rFonts w:ascii="Times New Roman" w:eastAsia="Times New Roman" w:hAnsi="Times New Roman" w:hint="cs"/>
          <w:snapToGrid/>
          <w:color w:val="auto"/>
          <w:sz w:val="24"/>
          <w:szCs w:val="24"/>
          <w:rtl/>
          <w:lang w:eastAsia="he-IL"/>
        </w:rPr>
        <w:t>ו</w:t>
      </w:r>
      <w:r w:rsidR="00AC6A99" w:rsidRPr="00CD600A">
        <w:rPr>
          <w:rFonts w:ascii="Times New Roman" w:eastAsia="Times New Roman" w:hAnsi="Times New Roman" w:hint="cs"/>
          <w:snapToGrid/>
          <w:color w:val="auto"/>
          <w:sz w:val="24"/>
          <w:szCs w:val="24"/>
          <w:rtl/>
          <w:lang w:eastAsia="he-IL"/>
        </w:rPr>
        <w:t>לק על המבקר וט</w:t>
      </w:r>
      <w:r w:rsidR="001A0CD0">
        <w:rPr>
          <w:rFonts w:ascii="Times New Roman" w:eastAsia="Times New Roman" w:hAnsi="Times New Roman" w:hint="cs"/>
          <w:snapToGrid/>
          <w:color w:val="auto"/>
          <w:sz w:val="24"/>
          <w:szCs w:val="24"/>
          <w:rtl/>
          <w:lang w:eastAsia="he-IL"/>
        </w:rPr>
        <w:t>ו</w:t>
      </w:r>
      <w:r w:rsidR="00AC6A99" w:rsidRPr="00CD600A">
        <w:rPr>
          <w:rFonts w:ascii="Times New Roman" w:eastAsia="Times New Roman" w:hAnsi="Times New Roman" w:hint="cs"/>
          <w:snapToGrid/>
          <w:color w:val="auto"/>
          <w:sz w:val="24"/>
          <w:szCs w:val="24"/>
          <w:rtl/>
          <w:lang w:eastAsia="he-IL"/>
        </w:rPr>
        <w:t xml:space="preserve">ען כי לא </w:t>
      </w:r>
      <w:r w:rsidR="00A045FC" w:rsidRPr="00CD600A">
        <w:rPr>
          <w:rFonts w:ascii="Times New Roman" w:eastAsia="Times New Roman" w:hAnsi="Times New Roman" w:hint="cs"/>
          <w:snapToGrid/>
          <w:color w:val="auto"/>
          <w:sz w:val="24"/>
          <w:szCs w:val="24"/>
          <w:rtl/>
          <w:lang w:eastAsia="he-IL"/>
        </w:rPr>
        <w:t>מדובר ב</w:t>
      </w:r>
      <w:r w:rsidR="00AC6A99" w:rsidRPr="00CD600A">
        <w:rPr>
          <w:rFonts w:ascii="Times New Roman" w:eastAsia="Times New Roman" w:hAnsi="Times New Roman" w:hint="cs"/>
          <w:snapToGrid/>
          <w:color w:val="auto"/>
          <w:sz w:val="24"/>
          <w:szCs w:val="24"/>
          <w:rtl/>
          <w:lang w:eastAsia="he-IL"/>
        </w:rPr>
        <w:t>ליקויים</w:t>
      </w:r>
      <w:r w:rsidR="00A045FC" w:rsidRPr="00CD600A">
        <w:rPr>
          <w:rFonts w:ascii="Times New Roman" w:eastAsia="Times New Roman" w:hAnsi="Times New Roman" w:hint="cs"/>
          <w:snapToGrid/>
          <w:color w:val="auto"/>
          <w:sz w:val="24"/>
          <w:szCs w:val="24"/>
          <w:rtl/>
          <w:lang w:eastAsia="he-IL"/>
        </w:rPr>
        <w:t xml:space="preserve">. מחלוקת זו יכולה לנבוע </w:t>
      </w:r>
      <w:r w:rsidR="00BA5BF4" w:rsidRPr="00CD600A">
        <w:rPr>
          <w:rFonts w:ascii="Times New Roman" w:eastAsia="Times New Roman" w:hAnsi="Times New Roman" w:hint="cs"/>
          <w:snapToGrid/>
          <w:color w:val="auto"/>
          <w:sz w:val="24"/>
          <w:szCs w:val="24"/>
          <w:rtl/>
          <w:lang w:eastAsia="he-IL"/>
        </w:rPr>
        <w:t xml:space="preserve">ממגוון </w:t>
      </w:r>
      <w:r w:rsidR="00A045FC" w:rsidRPr="00CD600A">
        <w:rPr>
          <w:rFonts w:ascii="Times New Roman" w:eastAsia="Times New Roman" w:hAnsi="Times New Roman" w:hint="cs"/>
          <w:snapToGrid/>
          <w:color w:val="auto"/>
          <w:sz w:val="24"/>
          <w:szCs w:val="24"/>
          <w:rtl/>
          <w:lang w:eastAsia="he-IL"/>
        </w:rPr>
        <w:t xml:space="preserve">של </w:t>
      </w:r>
      <w:r w:rsidR="00BA5BF4" w:rsidRPr="00CD600A">
        <w:rPr>
          <w:rFonts w:ascii="Times New Roman" w:eastAsia="Times New Roman" w:hAnsi="Times New Roman" w:hint="cs"/>
          <w:snapToGrid/>
          <w:color w:val="auto"/>
          <w:sz w:val="24"/>
          <w:szCs w:val="24"/>
          <w:rtl/>
          <w:lang w:eastAsia="he-IL"/>
        </w:rPr>
        <w:t xml:space="preserve">סיבות: הבנה שונה של המציאות, פרשנות שונה של הכללים ועוד. </w:t>
      </w:r>
      <w:r w:rsidR="00D96692" w:rsidRPr="00CD600A">
        <w:rPr>
          <w:rFonts w:ascii="Times New Roman" w:eastAsia="Times New Roman" w:hAnsi="Times New Roman" w:hint="cs"/>
          <w:snapToGrid/>
          <w:color w:val="auto"/>
          <w:sz w:val="24"/>
          <w:szCs w:val="24"/>
          <w:rtl/>
          <w:lang w:eastAsia="he-IL"/>
        </w:rPr>
        <w:t xml:space="preserve">בין </w:t>
      </w:r>
      <w:r w:rsidR="001A0CD0">
        <w:rPr>
          <w:rFonts w:ascii="Times New Roman" w:eastAsia="Times New Roman" w:hAnsi="Times New Roman" w:hint="cs"/>
          <w:snapToGrid/>
          <w:color w:val="auto"/>
          <w:sz w:val="24"/>
          <w:szCs w:val="24"/>
          <w:rtl/>
          <w:lang w:eastAsia="he-IL"/>
        </w:rPr>
        <w:t xml:space="preserve">החלופה </w:t>
      </w:r>
      <w:r w:rsidR="00D96692" w:rsidRPr="00CD600A">
        <w:rPr>
          <w:rFonts w:ascii="Times New Roman" w:eastAsia="Times New Roman" w:hAnsi="Times New Roman" w:hint="cs"/>
          <w:snapToGrid/>
          <w:color w:val="auto"/>
          <w:sz w:val="24"/>
          <w:szCs w:val="24"/>
          <w:rtl/>
          <w:lang w:eastAsia="he-IL"/>
        </w:rPr>
        <w:t xml:space="preserve">של חסימה מוחלטת של האפשרות לברר תלונה אם היועץ סבור כי מדובר ב"שיקול דעת משפטי" והנציב סבור שלא מדובר ב"שיקול דעת משפטי", </w:t>
      </w:r>
      <w:r w:rsidR="001A0CD0">
        <w:rPr>
          <w:rFonts w:ascii="Times New Roman" w:eastAsia="Times New Roman" w:hAnsi="Times New Roman" w:hint="cs"/>
          <w:snapToGrid/>
          <w:color w:val="auto"/>
          <w:sz w:val="24"/>
          <w:szCs w:val="24"/>
          <w:rtl/>
          <w:lang w:eastAsia="he-IL"/>
        </w:rPr>
        <w:t>לחלופה</w:t>
      </w:r>
      <w:r w:rsidR="00D96692" w:rsidRPr="00CD600A">
        <w:rPr>
          <w:rFonts w:ascii="Times New Roman" w:eastAsia="Times New Roman" w:hAnsi="Times New Roman" w:hint="cs"/>
          <w:snapToGrid/>
          <w:color w:val="auto"/>
          <w:sz w:val="24"/>
          <w:szCs w:val="24"/>
          <w:rtl/>
          <w:lang w:eastAsia="he-IL"/>
        </w:rPr>
        <w:t xml:space="preserve"> של הותרת המחלוקת על כנה </w:t>
      </w:r>
      <w:r w:rsidR="00D96692" w:rsidRPr="00CD600A">
        <w:rPr>
          <w:rFonts w:ascii="Times New Roman" w:eastAsia="Times New Roman" w:hAnsi="Times New Roman"/>
          <w:snapToGrid/>
          <w:color w:val="auto"/>
          <w:sz w:val="24"/>
          <w:szCs w:val="24"/>
          <w:rtl/>
          <w:lang w:eastAsia="he-IL"/>
        </w:rPr>
        <w:t>–</w:t>
      </w:r>
      <w:r w:rsidR="00D96692" w:rsidRPr="00CD600A">
        <w:rPr>
          <w:rFonts w:ascii="Times New Roman" w:eastAsia="Times New Roman" w:hAnsi="Times New Roman" w:hint="cs"/>
          <w:snapToGrid/>
          <w:color w:val="auto"/>
          <w:sz w:val="24"/>
          <w:szCs w:val="24"/>
          <w:rtl/>
          <w:lang w:eastAsia="he-IL"/>
        </w:rPr>
        <w:t xml:space="preserve"> נדמה כי האפשרות האחרונה עדיפה.</w:t>
      </w:r>
    </w:p>
    <w:p w:rsidR="00BA5BF4" w:rsidRPr="00CD600A" w:rsidRDefault="00BA5BF4" w:rsidP="00D05E2B">
      <w:pPr>
        <w:pStyle w:val="Hesber"/>
        <w:spacing w:after="100" w:line="312" w:lineRule="auto"/>
        <w:ind w:firstLine="0"/>
        <w:rPr>
          <w:rFonts w:ascii="Times New Roman" w:eastAsia="Times New Roman" w:hAnsi="Times New Roman"/>
          <w:snapToGrid/>
          <w:color w:val="auto"/>
          <w:sz w:val="24"/>
          <w:szCs w:val="24"/>
          <w:rtl/>
          <w:lang w:eastAsia="he-IL"/>
        </w:rPr>
      </w:pPr>
    </w:p>
    <w:sectPr w:rsidR="00BA5BF4" w:rsidRPr="00CD600A" w:rsidSect="00B97B15">
      <w:footerReference w:type="default" r:id="rId7"/>
      <w:pgSz w:w="11906" w:h="16838"/>
      <w:pgMar w:top="1361" w:right="1701" w:bottom="1361" w:left="1701"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7DEA" w:rsidRDefault="00F97DEA" w:rsidP="008B4222">
      <w:pPr>
        <w:spacing w:line="240" w:lineRule="auto"/>
      </w:pPr>
      <w:r>
        <w:separator/>
      </w:r>
    </w:p>
  </w:endnote>
  <w:endnote w:type="continuationSeparator" w:id="0">
    <w:p w:rsidR="00F97DEA" w:rsidRDefault="00F97DEA" w:rsidP="008B42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0000000000000000000"/>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99210058"/>
      <w:docPartObj>
        <w:docPartGallery w:val="Page Numbers (Bottom of Page)"/>
        <w:docPartUnique/>
      </w:docPartObj>
    </w:sdtPr>
    <w:sdtEndPr/>
    <w:sdtContent>
      <w:p w:rsidR="00F97DEA" w:rsidRDefault="00F97DEA">
        <w:pPr>
          <w:pStyle w:val="a6"/>
          <w:jc w:val="center"/>
          <w:rPr>
            <w:rtl/>
            <w:cs/>
          </w:rPr>
        </w:pPr>
        <w:r w:rsidRPr="008B4222">
          <w:rPr>
            <w:sz w:val="16"/>
            <w:szCs w:val="16"/>
          </w:rPr>
          <w:fldChar w:fldCharType="begin"/>
        </w:r>
        <w:r w:rsidRPr="008B4222">
          <w:rPr>
            <w:sz w:val="16"/>
            <w:szCs w:val="16"/>
            <w:rtl/>
            <w:cs/>
          </w:rPr>
          <w:instrText>PAGE   \* MERGEFORMAT</w:instrText>
        </w:r>
        <w:r w:rsidRPr="008B4222">
          <w:rPr>
            <w:sz w:val="16"/>
            <w:szCs w:val="16"/>
          </w:rPr>
          <w:fldChar w:fldCharType="separate"/>
        </w:r>
        <w:r w:rsidR="00890526" w:rsidRPr="00890526">
          <w:rPr>
            <w:noProof/>
            <w:sz w:val="16"/>
            <w:szCs w:val="16"/>
            <w:rtl/>
            <w:lang w:val="he-IL"/>
          </w:rPr>
          <w:t>8</w:t>
        </w:r>
        <w:r w:rsidRPr="008B4222">
          <w:rPr>
            <w:sz w:val="16"/>
            <w:szCs w:val="16"/>
          </w:rPr>
          <w:fldChar w:fldCharType="end"/>
        </w:r>
      </w:p>
    </w:sdtContent>
  </w:sdt>
  <w:p w:rsidR="00F97DEA" w:rsidRDefault="00F97DE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7DEA" w:rsidRDefault="00F97DEA" w:rsidP="008B4222">
      <w:pPr>
        <w:spacing w:line="240" w:lineRule="auto"/>
      </w:pPr>
      <w:r>
        <w:separator/>
      </w:r>
    </w:p>
  </w:footnote>
  <w:footnote w:type="continuationSeparator" w:id="0">
    <w:p w:rsidR="00F97DEA" w:rsidRDefault="00F97DEA" w:rsidP="008B4222">
      <w:pPr>
        <w:spacing w:line="240" w:lineRule="auto"/>
      </w:pPr>
      <w:r>
        <w:continuationSeparator/>
      </w:r>
    </w:p>
  </w:footnote>
  <w:footnote w:id="1">
    <w:p w:rsidR="00F97DEA" w:rsidRDefault="00F97DEA">
      <w:pPr>
        <w:pStyle w:val="a8"/>
        <w:rPr>
          <w:rtl/>
        </w:rPr>
      </w:pPr>
      <w:r>
        <w:rPr>
          <w:rStyle w:val="aa"/>
        </w:rPr>
        <w:footnoteRef/>
      </w:r>
      <w:r>
        <w:rPr>
          <w:rtl/>
        </w:rPr>
        <w:t xml:space="preserve"> </w:t>
      </w:r>
      <w:r w:rsidRPr="00281C55">
        <w:rPr>
          <w:rFonts w:cs="David" w:hint="cs"/>
          <w:rtl/>
        </w:rPr>
        <w:t>הצעת חוק נציב תלונות הציבור על פרקליטים, התשע"א-2011 של חה"כ גדעון עזרא ואחרים (פ/3275/18); והצעת חוק מבקר הפרקליטות, התשע"א-2011 של חה"כ מיכאל בן ארי (פ/3449/18).</w:t>
      </w:r>
    </w:p>
  </w:footnote>
  <w:footnote w:id="2">
    <w:p w:rsidR="00F97DEA" w:rsidRDefault="00F97DEA" w:rsidP="00FE4C85">
      <w:pPr>
        <w:pStyle w:val="a8"/>
      </w:pPr>
      <w:r>
        <w:rPr>
          <w:rStyle w:val="aa"/>
        </w:rPr>
        <w:footnoteRef/>
      </w:r>
      <w:r>
        <w:rPr>
          <w:rtl/>
        </w:rPr>
        <w:t xml:space="preserve"> </w:t>
      </w:r>
      <w:r w:rsidRPr="004C38FF">
        <w:rPr>
          <w:rFonts w:cs="David" w:hint="cs"/>
          <w:rtl/>
        </w:rPr>
        <w:t xml:space="preserve">עם זאת, הוסכם </w:t>
      </w:r>
      <w:r w:rsidR="00FE4C85">
        <w:rPr>
          <w:rFonts w:cs="David" w:hint="cs"/>
          <w:rtl/>
        </w:rPr>
        <w:t>שמי שיערוך את הביקורת המערכתית</w:t>
      </w:r>
      <w:r w:rsidRPr="004C38FF">
        <w:rPr>
          <w:rFonts w:cs="David" w:hint="cs"/>
          <w:rtl/>
        </w:rPr>
        <w:t xml:space="preserve"> יוכל לטפל במקרים פרטניים אם היועץ המשפטי לממשלה ביקש זאת או אם אגב ביקורת מערכתית התגלה כשל פרטני מסוים.</w:t>
      </w:r>
    </w:p>
  </w:footnote>
  <w:footnote w:id="3">
    <w:p w:rsidR="00F97DEA" w:rsidRDefault="00F97DEA" w:rsidP="000F4F76">
      <w:pPr>
        <w:pStyle w:val="a8"/>
      </w:pPr>
      <w:r>
        <w:rPr>
          <w:rStyle w:val="aa"/>
        </w:rPr>
        <w:footnoteRef/>
      </w:r>
      <w:r>
        <w:rPr>
          <w:rtl/>
        </w:rPr>
        <w:t xml:space="preserve"> </w:t>
      </w:r>
      <w:r>
        <w:rPr>
          <w:rFonts w:cs="David" w:hint="cs"/>
          <w:rtl/>
        </w:rPr>
        <w:t xml:space="preserve">4 הדגמים האפשריים הם: (1) </w:t>
      </w:r>
      <w:r w:rsidRPr="00791AB9">
        <w:rPr>
          <w:rFonts w:cs="David" w:hint="cs"/>
          <w:rtl/>
        </w:rPr>
        <w:t>גוף ביקורת חיצוני ועצמאי שגם מברר תלונות וגם מבצע ביקורת מערכתית (=ביקורת חיצונית מודל מאוחד) (הצעת החוק הפרטית); (2) יחידה ייעודית במשרד מבקר המדינה שמבצעת רק ביקורת מערכתית (=ביקורת חיצונית מודל מפוצל) (מודל א' בדוח הצוות); (3) מבקר ייעודי שפועל תחת היועץ המשפטי לממשלה ומכוחו שגם מברר תלונות וגם מבצע ביקורת מערכתית (=ביקורת פנימית מודל מפוצל) (מודל ב' בדוח הצוות); (4) מבקר פנימי ייעודי במשרד המשפטים שמבצע ביקורת מערכתית ונציב נפרד שמברר תלונות (=ביקורת פנימית מודל מאוחד) (הצעת החוק הממשלתית).</w:t>
      </w:r>
    </w:p>
  </w:footnote>
  <w:footnote w:id="4">
    <w:p w:rsidR="00F97DEA" w:rsidRDefault="00F97DEA" w:rsidP="00B60442">
      <w:pPr>
        <w:pStyle w:val="a8"/>
      </w:pPr>
      <w:r>
        <w:rPr>
          <w:rStyle w:val="aa"/>
        </w:rPr>
        <w:footnoteRef/>
      </w:r>
      <w:r>
        <w:rPr>
          <w:rtl/>
        </w:rPr>
        <w:t xml:space="preserve"> </w:t>
      </w:r>
      <w:r w:rsidRPr="001F07A0">
        <w:rPr>
          <w:rFonts w:cs="David" w:hint="cs"/>
          <w:rtl/>
        </w:rPr>
        <w:t xml:space="preserve">כך, למשל, לפי סעיף 15(ב)(1) המוצע, החלטה של הנציב לפתוח בבירור תלונה על מעשה הנוגע להליך תלוי ועומד (אם מצא סיבה מיוחדת לכך), טעונה את אישורו של היועץ; לפי סעיף 17(ג) המוצע, </w:t>
      </w:r>
      <w:proofErr w:type="spellStart"/>
      <w:r w:rsidRPr="001F07A0">
        <w:rPr>
          <w:rFonts w:cs="David" w:hint="cs"/>
          <w:rtl/>
        </w:rPr>
        <w:t>נילון</w:t>
      </w:r>
      <w:proofErr w:type="spellEnd"/>
      <w:r w:rsidRPr="001F07A0">
        <w:rPr>
          <w:rFonts w:cs="David" w:hint="cs"/>
          <w:rtl/>
        </w:rPr>
        <w:t xml:space="preserve"> שטוען שיכולתו להתגונן מפני תלונה נפגעה באופן משמעותי בגלל שהמידע שדרוש לצורך הגנתו הוא מידע שגילויו אסור לפי דין, אם היועץ מצא שטענתו מוצדקת היועץ יודיע על הפסקת בירור התלונה והנציב יפסיק את בירורה; לפי סעיף 20(ב)(2) המוצע על אף חובת הסודיות, אם הנציב סבור כי בירור תלונה מעלה חשש לעבירה משמעתית, השר יהיה רשאי לקבל את החומר, אלא אם כן היועץ קבע כי קיימת מניעה מלהעביר את החומר.</w:t>
      </w:r>
    </w:p>
  </w:footnote>
  <w:footnote w:id="5">
    <w:p w:rsidR="00A35118" w:rsidRPr="00E71EEB" w:rsidRDefault="00A35118" w:rsidP="00A962F1">
      <w:pPr>
        <w:pStyle w:val="a8"/>
        <w:rPr>
          <w:rFonts w:cs="David"/>
          <w:snapToGrid w:val="0"/>
          <w:rtl/>
        </w:rPr>
      </w:pPr>
      <w:r>
        <w:rPr>
          <w:rStyle w:val="aa"/>
        </w:rPr>
        <w:footnoteRef/>
      </w:r>
      <w:r>
        <w:rPr>
          <w:rtl/>
        </w:rPr>
        <w:t xml:space="preserve"> </w:t>
      </w:r>
      <w:r w:rsidR="00A962F1" w:rsidRPr="00E71EEB">
        <w:rPr>
          <w:rFonts w:cs="David" w:hint="cs"/>
          <w:snapToGrid w:val="0"/>
          <w:rtl/>
        </w:rPr>
        <w:t xml:space="preserve">מרים בן פורת "כאשר היועץ המשפטי לממשלה ונציב תלונות הציבור חלוקים בשאלה משפטית או בפירושו של דבר חקיקה" </w:t>
      </w:r>
      <w:r w:rsidR="00A962F1" w:rsidRPr="00E71EEB">
        <w:rPr>
          <w:rFonts w:cs="David" w:hint="cs"/>
          <w:b/>
          <w:bCs/>
          <w:snapToGrid w:val="0"/>
          <w:rtl/>
        </w:rPr>
        <w:t xml:space="preserve">ספר </w:t>
      </w:r>
      <w:proofErr w:type="spellStart"/>
      <w:r w:rsidR="00A962F1" w:rsidRPr="00E71EEB">
        <w:rPr>
          <w:rFonts w:cs="David" w:hint="cs"/>
          <w:b/>
          <w:bCs/>
          <w:snapToGrid w:val="0"/>
          <w:rtl/>
        </w:rPr>
        <w:t>ברנזון</w:t>
      </w:r>
      <w:proofErr w:type="spellEnd"/>
      <w:r w:rsidR="00A962F1" w:rsidRPr="00E71EEB">
        <w:rPr>
          <w:rFonts w:cs="David" w:hint="cs"/>
          <w:snapToGrid w:val="0"/>
          <w:rtl/>
        </w:rPr>
        <w:t>, כרך ב' (תש"ס-2000) 391</w:t>
      </w:r>
      <w:r w:rsidR="00A962F1">
        <w:rPr>
          <w:rFonts w:cs="David" w:hint="cs"/>
          <w:snapToGrid w:val="0"/>
          <w:rtl/>
        </w:rPr>
        <w:t xml:space="preserve">; </w:t>
      </w:r>
      <w:r w:rsidR="00E71EEB" w:rsidRPr="00E71EEB">
        <w:rPr>
          <w:rFonts w:cs="David" w:hint="cs"/>
          <w:snapToGrid w:val="0"/>
          <w:rtl/>
        </w:rPr>
        <w:t xml:space="preserve">מרים בן פורת "יחסי גומלין בין מבקר המדינה לבין היועץ המשפטי לממשלה" </w:t>
      </w:r>
      <w:r w:rsidR="00E71EEB" w:rsidRPr="00E71EEB">
        <w:rPr>
          <w:rFonts w:cs="David" w:hint="cs"/>
          <w:b/>
          <w:bCs/>
          <w:snapToGrid w:val="0"/>
          <w:rtl/>
        </w:rPr>
        <w:t>המשפט</w:t>
      </w:r>
      <w:r w:rsidR="00E71EEB" w:rsidRPr="00E71EEB">
        <w:rPr>
          <w:rFonts w:cs="David" w:hint="cs"/>
          <w:snapToGrid w:val="0"/>
          <w:rtl/>
        </w:rPr>
        <w:t xml:space="preserve"> יד (תשע"א) 149.</w:t>
      </w:r>
    </w:p>
  </w:footnote>
  <w:footnote w:id="6">
    <w:p w:rsidR="00A35118" w:rsidRDefault="00A35118" w:rsidP="00285FE2">
      <w:pPr>
        <w:pStyle w:val="a8"/>
        <w:rPr>
          <w:rtl/>
        </w:rPr>
      </w:pPr>
      <w:r>
        <w:rPr>
          <w:rStyle w:val="aa"/>
        </w:rPr>
        <w:footnoteRef/>
      </w:r>
      <w:r w:rsidRPr="00A35118">
        <w:rPr>
          <w:rFonts w:cs="David"/>
          <w:rtl/>
        </w:rPr>
        <w:t xml:space="preserve"> </w:t>
      </w:r>
      <w:r w:rsidRPr="00A35118">
        <w:rPr>
          <w:rFonts w:cs="David" w:hint="cs"/>
          <w:rtl/>
        </w:rPr>
        <w:t>יתירה מזאת, בן</w:t>
      </w:r>
      <w:r w:rsidR="00285FE2">
        <w:rPr>
          <w:rFonts w:cs="David" w:hint="cs"/>
          <w:rtl/>
        </w:rPr>
        <w:t>-</w:t>
      </w:r>
      <w:r w:rsidRPr="00A35118">
        <w:rPr>
          <w:rFonts w:cs="David" w:hint="cs"/>
          <w:rtl/>
        </w:rPr>
        <w:t xml:space="preserve">פורת אף הרחיקה צעד נוסף וטענה, כי יש לתת לגוף </w:t>
      </w:r>
      <w:proofErr w:type="spellStart"/>
      <w:r w:rsidRPr="00A35118">
        <w:rPr>
          <w:rFonts w:cs="David" w:hint="cs"/>
          <w:rtl/>
        </w:rPr>
        <w:t>הנילון</w:t>
      </w:r>
      <w:proofErr w:type="spellEnd"/>
      <w:r w:rsidRPr="00A35118">
        <w:rPr>
          <w:rFonts w:cs="David" w:hint="cs"/>
          <w:rtl/>
        </w:rPr>
        <w:t xml:space="preserve"> את האפשרות לבחור להישמע לפרשנותו של המבקר ולא של היועץ.</w:t>
      </w:r>
    </w:p>
  </w:footnote>
  <w:footnote w:id="7">
    <w:p w:rsidR="008A582F" w:rsidRDefault="008A582F" w:rsidP="008A582F">
      <w:pPr>
        <w:pStyle w:val="a8"/>
      </w:pPr>
      <w:r>
        <w:rPr>
          <w:rStyle w:val="aa"/>
        </w:rPr>
        <w:footnoteRef/>
      </w:r>
      <w:r>
        <w:rPr>
          <w:rtl/>
        </w:rPr>
        <w:t xml:space="preserve"> </w:t>
      </w:r>
      <w:r>
        <w:rPr>
          <w:rFonts w:cs="David" w:hint="cs"/>
          <w:rtl/>
        </w:rPr>
        <w:t>אחד מהנימוקים ה</w:t>
      </w:r>
      <w:r w:rsidR="00762025">
        <w:rPr>
          <w:rFonts w:cs="David" w:hint="cs"/>
          <w:rtl/>
        </w:rPr>
        <w:t>מבניים ה</w:t>
      </w:r>
      <w:r>
        <w:rPr>
          <w:rFonts w:cs="David" w:hint="cs"/>
          <w:rtl/>
        </w:rPr>
        <w:t>מרכזיים של בן-פורת</w:t>
      </w:r>
      <w:r w:rsidRPr="00670868">
        <w:rPr>
          <w:rFonts w:cs="David" w:hint="cs"/>
          <w:rtl/>
        </w:rPr>
        <w:t xml:space="preserve"> היה שחוות דעתו של היועץ מחייבת את הרשות המבצעת והמבקר איננו חלק מהרשות המבצעת. גם אם ניתן לאמץ טענה</w:t>
      </w:r>
      <w:r w:rsidRPr="000039C6">
        <w:rPr>
          <w:rFonts w:cs="David" w:hint="cs"/>
          <w:rtl/>
        </w:rPr>
        <w:t xml:space="preserve"> </w:t>
      </w:r>
      <w:r>
        <w:rPr>
          <w:rFonts w:cs="David" w:hint="cs"/>
          <w:rtl/>
        </w:rPr>
        <w:t xml:space="preserve">זו </w:t>
      </w:r>
      <w:r w:rsidRPr="000039C6">
        <w:rPr>
          <w:rFonts w:cs="David" w:hint="cs"/>
          <w:rtl/>
        </w:rPr>
        <w:t>לגבי מבקר</w:t>
      </w:r>
      <w:r>
        <w:rPr>
          <w:rFonts w:cs="David" w:hint="cs"/>
          <w:rtl/>
        </w:rPr>
        <w:t xml:space="preserve"> המדינה</w:t>
      </w:r>
      <w:r w:rsidRPr="000039C6">
        <w:rPr>
          <w:rFonts w:cs="David" w:hint="cs"/>
          <w:rtl/>
        </w:rPr>
        <w:t>, קשה לקבל</w:t>
      </w:r>
      <w:r>
        <w:rPr>
          <w:rFonts w:cs="David" w:hint="cs"/>
          <w:rtl/>
        </w:rPr>
        <w:t>ה</w:t>
      </w:r>
      <w:r w:rsidRPr="000039C6">
        <w:rPr>
          <w:rFonts w:cs="David" w:hint="cs"/>
          <w:rtl/>
        </w:rPr>
        <w:t xml:space="preserve"> לגבי נציב תלונות הציבור על מייצגי המדינה בערכאות, שהוא ודאי חלק מהרשות המבצעת.</w:t>
      </w:r>
    </w:p>
  </w:footnote>
  <w:footnote w:id="8">
    <w:p w:rsidR="00D96692" w:rsidRDefault="00D96692" w:rsidP="00180F9F">
      <w:pPr>
        <w:pStyle w:val="a8"/>
      </w:pPr>
      <w:r>
        <w:rPr>
          <w:rStyle w:val="aa"/>
        </w:rPr>
        <w:footnoteRef/>
      </w:r>
      <w:r>
        <w:rPr>
          <w:rtl/>
        </w:rPr>
        <w:t xml:space="preserve"> </w:t>
      </w:r>
      <w:r w:rsidRPr="00D96692">
        <w:rPr>
          <w:rFonts w:cs="David" w:hint="cs"/>
          <w:rtl/>
        </w:rPr>
        <w:t xml:space="preserve">זאת, במיוחד נוכח </w:t>
      </w:r>
      <w:r w:rsidR="00EF72B8">
        <w:rPr>
          <w:rFonts w:cs="David" w:hint="cs"/>
          <w:rtl/>
        </w:rPr>
        <w:t xml:space="preserve">התפיסה העולה מהצעת החוק הממשלתית ולפיה </w:t>
      </w:r>
      <w:r w:rsidRPr="00D96692">
        <w:rPr>
          <w:rFonts w:cs="David" w:hint="cs"/>
          <w:rtl/>
        </w:rPr>
        <w:t xml:space="preserve">הנציב </w:t>
      </w:r>
      <w:r w:rsidR="00EF72B8">
        <w:rPr>
          <w:rFonts w:cs="David" w:hint="cs"/>
          <w:rtl/>
        </w:rPr>
        <w:t xml:space="preserve">הוא </w:t>
      </w:r>
      <w:r w:rsidRPr="00D96692">
        <w:rPr>
          <w:rFonts w:cs="David" w:hint="cs"/>
          <w:rtl/>
        </w:rPr>
        <w:t>גורם שמטרתו היא לבדוק באופן חיצוני ועצמאי את פעילות מערך הייצוג</w:t>
      </w:r>
      <w:r w:rsidR="00EF72B8">
        <w:rPr>
          <w:rFonts w:cs="David" w:hint="cs"/>
          <w:rtl/>
        </w:rPr>
        <w:t>,</w:t>
      </w:r>
      <w:r w:rsidRPr="00D96692">
        <w:rPr>
          <w:rFonts w:cs="David" w:hint="cs"/>
          <w:rtl/>
        </w:rPr>
        <w:t xml:space="preserve"> להצביע על ליקויים ולהצביע דרכים לתיקונם, ואין הוא גורם </w:t>
      </w:r>
      <w:r w:rsidR="00180F9F">
        <w:rPr>
          <w:rFonts w:cs="David" w:hint="cs"/>
          <w:rtl/>
        </w:rPr>
        <w:t>שבסמכותו</w:t>
      </w:r>
      <w:r w:rsidR="00F42527">
        <w:rPr>
          <w:rFonts w:cs="David" w:hint="cs"/>
          <w:rtl/>
        </w:rPr>
        <w:t xml:space="preserve"> להפעיל את הדין ה</w:t>
      </w:r>
      <w:r w:rsidRPr="00D96692">
        <w:rPr>
          <w:rFonts w:cs="David" w:hint="cs"/>
          <w:rtl/>
        </w:rPr>
        <w:t xml:space="preserve">משמעתי </w:t>
      </w:r>
      <w:r w:rsidR="00F42527">
        <w:rPr>
          <w:rFonts w:cs="David" w:hint="cs"/>
          <w:rtl/>
        </w:rPr>
        <w:t>ו</w:t>
      </w:r>
      <w:r w:rsidRPr="00D96692">
        <w:rPr>
          <w:rFonts w:cs="David" w:hint="cs"/>
          <w:rtl/>
        </w:rPr>
        <w:t>להטיל סנקציות על המייצגים.</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3E7B2F"/>
    <w:multiLevelType w:val="hybridMultilevel"/>
    <w:tmpl w:val="5DB436B0"/>
    <w:lvl w:ilvl="0" w:tplc="C43A85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CF23D9"/>
    <w:multiLevelType w:val="hybridMultilevel"/>
    <w:tmpl w:val="9A66EB22"/>
    <w:lvl w:ilvl="0" w:tplc="4EE4FE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7A6FED"/>
    <w:multiLevelType w:val="hybridMultilevel"/>
    <w:tmpl w:val="C26E71EA"/>
    <w:lvl w:ilvl="0" w:tplc="7D3E18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4F31AF"/>
    <w:multiLevelType w:val="hybridMultilevel"/>
    <w:tmpl w:val="C0A2A870"/>
    <w:lvl w:ilvl="0" w:tplc="5E58C2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747F68"/>
    <w:multiLevelType w:val="hybridMultilevel"/>
    <w:tmpl w:val="39D889B4"/>
    <w:lvl w:ilvl="0" w:tplc="6D06FC5E">
      <w:start w:val="1"/>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DE0ED6"/>
    <w:multiLevelType w:val="hybridMultilevel"/>
    <w:tmpl w:val="A8427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AB0F99"/>
    <w:multiLevelType w:val="hybridMultilevel"/>
    <w:tmpl w:val="04BA9B3C"/>
    <w:lvl w:ilvl="0" w:tplc="C8001B06">
      <w:start w:val="4"/>
      <w:numFmt w:val="bullet"/>
      <w:lvlText w:val="-"/>
      <w:lvlJc w:val="left"/>
      <w:pPr>
        <w:ind w:left="720" w:hanging="360"/>
      </w:pPr>
      <w:rPr>
        <w:rFonts w:ascii="David" w:eastAsiaTheme="minorHAnsi"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05274E"/>
    <w:multiLevelType w:val="hybridMultilevel"/>
    <w:tmpl w:val="B85673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E0618CB"/>
    <w:multiLevelType w:val="hybridMultilevel"/>
    <w:tmpl w:val="93D26DEA"/>
    <w:lvl w:ilvl="0" w:tplc="9FA4FC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FD72C45"/>
    <w:multiLevelType w:val="hybridMultilevel"/>
    <w:tmpl w:val="1E70F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7"/>
  </w:num>
  <w:num w:numId="4">
    <w:abstractNumId w:val="0"/>
  </w:num>
  <w:num w:numId="5">
    <w:abstractNumId w:val="5"/>
  </w:num>
  <w:num w:numId="6">
    <w:abstractNumId w:val="3"/>
  </w:num>
  <w:num w:numId="7">
    <w:abstractNumId w:val="1"/>
  </w:num>
  <w:num w:numId="8">
    <w:abstractNumId w:val="2"/>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198"/>
    <w:rsid w:val="00010161"/>
    <w:rsid w:val="000136E3"/>
    <w:rsid w:val="00015FC3"/>
    <w:rsid w:val="00016CFE"/>
    <w:rsid w:val="00021EA3"/>
    <w:rsid w:val="00022380"/>
    <w:rsid w:val="00027545"/>
    <w:rsid w:val="0003363B"/>
    <w:rsid w:val="00034469"/>
    <w:rsid w:val="00040C47"/>
    <w:rsid w:val="0004510F"/>
    <w:rsid w:val="000461FF"/>
    <w:rsid w:val="00050CEB"/>
    <w:rsid w:val="0005270B"/>
    <w:rsid w:val="00054287"/>
    <w:rsid w:val="00055ED7"/>
    <w:rsid w:val="00061A44"/>
    <w:rsid w:val="00065BF9"/>
    <w:rsid w:val="000679B8"/>
    <w:rsid w:val="000724EC"/>
    <w:rsid w:val="000752AD"/>
    <w:rsid w:val="00077178"/>
    <w:rsid w:val="00081B7A"/>
    <w:rsid w:val="00083BD9"/>
    <w:rsid w:val="000879F2"/>
    <w:rsid w:val="000930FB"/>
    <w:rsid w:val="000A528B"/>
    <w:rsid w:val="000A60D7"/>
    <w:rsid w:val="000A7567"/>
    <w:rsid w:val="000B4032"/>
    <w:rsid w:val="000C0BB7"/>
    <w:rsid w:val="000C10DE"/>
    <w:rsid w:val="000E789E"/>
    <w:rsid w:val="000F4F76"/>
    <w:rsid w:val="0010306D"/>
    <w:rsid w:val="00113A55"/>
    <w:rsid w:val="00121466"/>
    <w:rsid w:val="00127E23"/>
    <w:rsid w:val="001306D1"/>
    <w:rsid w:val="00133E93"/>
    <w:rsid w:val="0013727A"/>
    <w:rsid w:val="0013741A"/>
    <w:rsid w:val="00141252"/>
    <w:rsid w:val="00157173"/>
    <w:rsid w:val="00162480"/>
    <w:rsid w:val="00165318"/>
    <w:rsid w:val="0017723B"/>
    <w:rsid w:val="00177525"/>
    <w:rsid w:val="00180F9F"/>
    <w:rsid w:val="001863F2"/>
    <w:rsid w:val="00191C09"/>
    <w:rsid w:val="001957BA"/>
    <w:rsid w:val="001A0CD0"/>
    <w:rsid w:val="001A0DEA"/>
    <w:rsid w:val="001A1DDC"/>
    <w:rsid w:val="001A50A3"/>
    <w:rsid w:val="001A7827"/>
    <w:rsid w:val="001B75BD"/>
    <w:rsid w:val="001B7B13"/>
    <w:rsid w:val="001D08E5"/>
    <w:rsid w:val="001D0C8E"/>
    <w:rsid w:val="001E06D1"/>
    <w:rsid w:val="001E0C74"/>
    <w:rsid w:val="001E4ECB"/>
    <w:rsid w:val="001F07A0"/>
    <w:rsid w:val="001F3992"/>
    <w:rsid w:val="00201DE7"/>
    <w:rsid w:val="00203DAB"/>
    <w:rsid w:val="00205168"/>
    <w:rsid w:val="00206510"/>
    <w:rsid w:val="002157B4"/>
    <w:rsid w:val="00216293"/>
    <w:rsid w:val="00244039"/>
    <w:rsid w:val="00251DDA"/>
    <w:rsid w:val="00253719"/>
    <w:rsid w:val="00255C8E"/>
    <w:rsid w:val="00255CDD"/>
    <w:rsid w:val="00266C02"/>
    <w:rsid w:val="00273A61"/>
    <w:rsid w:val="00274124"/>
    <w:rsid w:val="00275571"/>
    <w:rsid w:val="00281C55"/>
    <w:rsid w:val="00285448"/>
    <w:rsid w:val="00285FE2"/>
    <w:rsid w:val="002866DD"/>
    <w:rsid w:val="00291427"/>
    <w:rsid w:val="00295BB8"/>
    <w:rsid w:val="0029667A"/>
    <w:rsid w:val="002A71F0"/>
    <w:rsid w:val="002B12A1"/>
    <w:rsid w:val="002B1F75"/>
    <w:rsid w:val="002B3DC7"/>
    <w:rsid w:val="002D0A49"/>
    <w:rsid w:val="002D1B9F"/>
    <w:rsid w:val="002D459D"/>
    <w:rsid w:val="002D50EA"/>
    <w:rsid w:val="002D561D"/>
    <w:rsid w:val="002D6E5F"/>
    <w:rsid w:val="002E6979"/>
    <w:rsid w:val="00300A75"/>
    <w:rsid w:val="003058C5"/>
    <w:rsid w:val="00322712"/>
    <w:rsid w:val="003265C1"/>
    <w:rsid w:val="0033638A"/>
    <w:rsid w:val="003426FD"/>
    <w:rsid w:val="00345D48"/>
    <w:rsid w:val="0034625E"/>
    <w:rsid w:val="0035000A"/>
    <w:rsid w:val="00364F25"/>
    <w:rsid w:val="00367273"/>
    <w:rsid w:val="003723E0"/>
    <w:rsid w:val="00376259"/>
    <w:rsid w:val="00376B76"/>
    <w:rsid w:val="0037701C"/>
    <w:rsid w:val="0038097A"/>
    <w:rsid w:val="00380EE1"/>
    <w:rsid w:val="00383517"/>
    <w:rsid w:val="00386359"/>
    <w:rsid w:val="003864F7"/>
    <w:rsid w:val="00394432"/>
    <w:rsid w:val="00396DF0"/>
    <w:rsid w:val="00397D9F"/>
    <w:rsid w:val="003A235D"/>
    <w:rsid w:val="003A5FFC"/>
    <w:rsid w:val="003C0C24"/>
    <w:rsid w:val="003C2E13"/>
    <w:rsid w:val="003C3764"/>
    <w:rsid w:val="003C402B"/>
    <w:rsid w:val="003C6930"/>
    <w:rsid w:val="003D3402"/>
    <w:rsid w:val="003D639C"/>
    <w:rsid w:val="003D79E6"/>
    <w:rsid w:val="003E2B80"/>
    <w:rsid w:val="003F21AB"/>
    <w:rsid w:val="003F5064"/>
    <w:rsid w:val="00402F78"/>
    <w:rsid w:val="00403220"/>
    <w:rsid w:val="004128EC"/>
    <w:rsid w:val="00413C21"/>
    <w:rsid w:val="00415E4D"/>
    <w:rsid w:val="00426A5A"/>
    <w:rsid w:val="0043021D"/>
    <w:rsid w:val="00437ACB"/>
    <w:rsid w:val="004415E0"/>
    <w:rsid w:val="00444096"/>
    <w:rsid w:val="00444E93"/>
    <w:rsid w:val="00445954"/>
    <w:rsid w:val="00454696"/>
    <w:rsid w:val="00460512"/>
    <w:rsid w:val="004638E7"/>
    <w:rsid w:val="00463D5A"/>
    <w:rsid w:val="0047150C"/>
    <w:rsid w:val="0048022C"/>
    <w:rsid w:val="00480F38"/>
    <w:rsid w:val="004866D8"/>
    <w:rsid w:val="0049007B"/>
    <w:rsid w:val="004924FD"/>
    <w:rsid w:val="00495317"/>
    <w:rsid w:val="00497B8A"/>
    <w:rsid w:val="004B5A61"/>
    <w:rsid w:val="004C024A"/>
    <w:rsid w:val="004C195B"/>
    <w:rsid w:val="004C38FF"/>
    <w:rsid w:val="004D19B1"/>
    <w:rsid w:val="004E0431"/>
    <w:rsid w:val="004F0020"/>
    <w:rsid w:val="004F030B"/>
    <w:rsid w:val="005019E0"/>
    <w:rsid w:val="005019F8"/>
    <w:rsid w:val="0050354F"/>
    <w:rsid w:val="00503F6C"/>
    <w:rsid w:val="0050484D"/>
    <w:rsid w:val="005049D0"/>
    <w:rsid w:val="00510D3A"/>
    <w:rsid w:val="00514723"/>
    <w:rsid w:val="00516201"/>
    <w:rsid w:val="00516714"/>
    <w:rsid w:val="00532400"/>
    <w:rsid w:val="005329BD"/>
    <w:rsid w:val="005429BA"/>
    <w:rsid w:val="00560E16"/>
    <w:rsid w:val="00562F16"/>
    <w:rsid w:val="00567031"/>
    <w:rsid w:val="005718E9"/>
    <w:rsid w:val="0058538F"/>
    <w:rsid w:val="00593124"/>
    <w:rsid w:val="005A2270"/>
    <w:rsid w:val="005A4271"/>
    <w:rsid w:val="005B1200"/>
    <w:rsid w:val="005B338B"/>
    <w:rsid w:val="005B496C"/>
    <w:rsid w:val="005C1F25"/>
    <w:rsid w:val="005C5CD1"/>
    <w:rsid w:val="005D0CAA"/>
    <w:rsid w:val="005D4F36"/>
    <w:rsid w:val="005D63DB"/>
    <w:rsid w:val="005E3794"/>
    <w:rsid w:val="005E41B7"/>
    <w:rsid w:val="005E76AD"/>
    <w:rsid w:val="005F5BF2"/>
    <w:rsid w:val="005F77F6"/>
    <w:rsid w:val="00601B26"/>
    <w:rsid w:val="006032CB"/>
    <w:rsid w:val="00605FBC"/>
    <w:rsid w:val="00612E3E"/>
    <w:rsid w:val="006210F5"/>
    <w:rsid w:val="006222A1"/>
    <w:rsid w:val="00626173"/>
    <w:rsid w:val="00627C1F"/>
    <w:rsid w:val="00633D6E"/>
    <w:rsid w:val="00635CAC"/>
    <w:rsid w:val="00643E7C"/>
    <w:rsid w:val="00656825"/>
    <w:rsid w:val="00663119"/>
    <w:rsid w:val="006722F4"/>
    <w:rsid w:val="0067670D"/>
    <w:rsid w:val="006778ED"/>
    <w:rsid w:val="006848F0"/>
    <w:rsid w:val="0068654E"/>
    <w:rsid w:val="0068724A"/>
    <w:rsid w:val="006913AA"/>
    <w:rsid w:val="006A632B"/>
    <w:rsid w:val="006B0975"/>
    <w:rsid w:val="006B1915"/>
    <w:rsid w:val="006C3987"/>
    <w:rsid w:val="006C3EAB"/>
    <w:rsid w:val="006C57ED"/>
    <w:rsid w:val="006C59A3"/>
    <w:rsid w:val="006C6D3B"/>
    <w:rsid w:val="006D31B9"/>
    <w:rsid w:val="006D5221"/>
    <w:rsid w:val="006D569B"/>
    <w:rsid w:val="006D6CF4"/>
    <w:rsid w:val="006E13F6"/>
    <w:rsid w:val="006E5134"/>
    <w:rsid w:val="006F045B"/>
    <w:rsid w:val="006F356B"/>
    <w:rsid w:val="006F5347"/>
    <w:rsid w:val="007007AB"/>
    <w:rsid w:val="00710ABB"/>
    <w:rsid w:val="00712FC3"/>
    <w:rsid w:val="00723888"/>
    <w:rsid w:val="00726BE1"/>
    <w:rsid w:val="00731348"/>
    <w:rsid w:val="00733BF6"/>
    <w:rsid w:val="00750DB2"/>
    <w:rsid w:val="00753AA3"/>
    <w:rsid w:val="00762025"/>
    <w:rsid w:val="00765E73"/>
    <w:rsid w:val="0077040B"/>
    <w:rsid w:val="00786B03"/>
    <w:rsid w:val="00791AB9"/>
    <w:rsid w:val="00795035"/>
    <w:rsid w:val="00795733"/>
    <w:rsid w:val="007959E1"/>
    <w:rsid w:val="0079684A"/>
    <w:rsid w:val="007B0A8D"/>
    <w:rsid w:val="007B4512"/>
    <w:rsid w:val="007C7124"/>
    <w:rsid w:val="007D4198"/>
    <w:rsid w:val="007D6523"/>
    <w:rsid w:val="007E39DA"/>
    <w:rsid w:val="007E3E78"/>
    <w:rsid w:val="007E4225"/>
    <w:rsid w:val="007F102A"/>
    <w:rsid w:val="007F6742"/>
    <w:rsid w:val="007F7592"/>
    <w:rsid w:val="00802B4E"/>
    <w:rsid w:val="00804EBC"/>
    <w:rsid w:val="00812398"/>
    <w:rsid w:val="00813CF2"/>
    <w:rsid w:val="00815966"/>
    <w:rsid w:val="008206D9"/>
    <w:rsid w:val="0082476C"/>
    <w:rsid w:val="00832785"/>
    <w:rsid w:val="00835F6E"/>
    <w:rsid w:val="008376D7"/>
    <w:rsid w:val="0084226D"/>
    <w:rsid w:val="00862673"/>
    <w:rsid w:val="00862A26"/>
    <w:rsid w:val="00862AF1"/>
    <w:rsid w:val="0087003A"/>
    <w:rsid w:val="00873590"/>
    <w:rsid w:val="0088496E"/>
    <w:rsid w:val="00884AE5"/>
    <w:rsid w:val="008854FD"/>
    <w:rsid w:val="008856EE"/>
    <w:rsid w:val="00890526"/>
    <w:rsid w:val="00897FF0"/>
    <w:rsid w:val="008A36A3"/>
    <w:rsid w:val="008A582F"/>
    <w:rsid w:val="008A6E60"/>
    <w:rsid w:val="008B4222"/>
    <w:rsid w:val="008C2EB4"/>
    <w:rsid w:val="008C6D76"/>
    <w:rsid w:val="008E4F67"/>
    <w:rsid w:val="008F0E9B"/>
    <w:rsid w:val="008F7357"/>
    <w:rsid w:val="00903890"/>
    <w:rsid w:val="00910421"/>
    <w:rsid w:val="00915633"/>
    <w:rsid w:val="00921A5C"/>
    <w:rsid w:val="00927B40"/>
    <w:rsid w:val="00932701"/>
    <w:rsid w:val="009350DC"/>
    <w:rsid w:val="0093728E"/>
    <w:rsid w:val="00940399"/>
    <w:rsid w:val="00943B3B"/>
    <w:rsid w:val="00944050"/>
    <w:rsid w:val="00944A2E"/>
    <w:rsid w:val="009467E1"/>
    <w:rsid w:val="00947146"/>
    <w:rsid w:val="009506C2"/>
    <w:rsid w:val="00955DE6"/>
    <w:rsid w:val="009660AA"/>
    <w:rsid w:val="00980AB1"/>
    <w:rsid w:val="00980FD1"/>
    <w:rsid w:val="009852C0"/>
    <w:rsid w:val="00987888"/>
    <w:rsid w:val="009906CA"/>
    <w:rsid w:val="00995C1C"/>
    <w:rsid w:val="009A1ED9"/>
    <w:rsid w:val="009A7DF0"/>
    <w:rsid w:val="009B0CC1"/>
    <w:rsid w:val="009B3085"/>
    <w:rsid w:val="009B7D51"/>
    <w:rsid w:val="009C48DB"/>
    <w:rsid w:val="009C7D2A"/>
    <w:rsid w:val="009C7EE2"/>
    <w:rsid w:val="009D0B93"/>
    <w:rsid w:val="009D7FCE"/>
    <w:rsid w:val="009E76C7"/>
    <w:rsid w:val="009F131D"/>
    <w:rsid w:val="009F7EFF"/>
    <w:rsid w:val="00A045FC"/>
    <w:rsid w:val="00A05368"/>
    <w:rsid w:val="00A05E76"/>
    <w:rsid w:val="00A13368"/>
    <w:rsid w:val="00A134B4"/>
    <w:rsid w:val="00A21459"/>
    <w:rsid w:val="00A22281"/>
    <w:rsid w:val="00A30D92"/>
    <w:rsid w:val="00A35118"/>
    <w:rsid w:val="00A40AE8"/>
    <w:rsid w:val="00A4306B"/>
    <w:rsid w:val="00A43C35"/>
    <w:rsid w:val="00A546F3"/>
    <w:rsid w:val="00A613B4"/>
    <w:rsid w:val="00A6500F"/>
    <w:rsid w:val="00A71983"/>
    <w:rsid w:val="00A74A3A"/>
    <w:rsid w:val="00A7545E"/>
    <w:rsid w:val="00A77BA8"/>
    <w:rsid w:val="00A822C9"/>
    <w:rsid w:val="00A962F1"/>
    <w:rsid w:val="00A96996"/>
    <w:rsid w:val="00AA00B5"/>
    <w:rsid w:val="00AB3982"/>
    <w:rsid w:val="00AB7732"/>
    <w:rsid w:val="00AC0849"/>
    <w:rsid w:val="00AC3309"/>
    <w:rsid w:val="00AC6A99"/>
    <w:rsid w:val="00AC7F75"/>
    <w:rsid w:val="00AD4A65"/>
    <w:rsid w:val="00AE0A0B"/>
    <w:rsid w:val="00AE0BB0"/>
    <w:rsid w:val="00AE1F11"/>
    <w:rsid w:val="00AE41F4"/>
    <w:rsid w:val="00AE6D0E"/>
    <w:rsid w:val="00AF6F3D"/>
    <w:rsid w:val="00B0324F"/>
    <w:rsid w:val="00B13E56"/>
    <w:rsid w:val="00B13EC2"/>
    <w:rsid w:val="00B22B3A"/>
    <w:rsid w:val="00B34276"/>
    <w:rsid w:val="00B34BE5"/>
    <w:rsid w:val="00B36A4D"/>
    <w:rsid w:val="00B553F0"/>
    <w:rsid w:val="00B60442"/>
    <w:rsid w:val="00B62523"/>
    <w:rsid w:val="00B67A9C"/>
    <w:rsid w:val="00B70046"/>
    <w:rsid w:val="00B72333"/>
    <w:rsid w:val="00B72E8D"/>
    <w:rsid w:val="00B81A0A"/>
    <w:rsid w:val="00B90CAE"/>
    <w:rsid w:val="00B940D1"/>
    <w:rsid w:val="00B94B52"/>
    <w:rsid w:val="00B97B15"/>
    <w:rsid w:val="00BA45B0"/>
    <w:rsid w:val="00BA5BF4"/>
    <w:rsid w:val="00BA66E7"/>
    <w:rsid w:val="00BB256E"/>
    <w:rsid w:val="00BB59C7"/>
    <w:rsid w:val="00BB5AC6"/>
    <w:rsid w:val="00BC1FB3"/>
    <w:rsid w:val="00BC41C6"/>
    <w:rsid w:val="00BD0340"/>
    <w:rsid w:val="00BE20CA"/>
    <w:rsid w:val="00BE2948"/>
    <w:rsid w:val="00BE3DAE"/>
    <w:rsid w:val="00BF0851"/>
    <w:rsid w:val="00BF2D31"/>
    <w:rsid w:val="00BF5A5B"/>
    <w:rsid w:val="00C00F8D"/>
    <w:rsid w:val="00C04BFE"/>
    <w:rsid w:val="00C0561C"/>
    <w:rsid w:val="00C260A4"/>
    <w:rsid w:val="00C30BC7"/>
    <w:rsid w:val="00C40008"/>
    <w:rsid w:val="00C46AA4"/>
    <w:rsid w:val="00C46BAB"/>
    <w:rsid w:val="00C57B7E"/>
    <w:rsid w:val="00C62113"/>
    <w:rsid w:val="00C67CE5"/>
    <w:rsid w:val="00C72987"/>
    <w:rsid w:val="00C818B7"/>
    <w:rsid w:val="00C96E02"/>
    <w:rsid w:val="00CB0666"/>
    <w:rsid w:val="00CB12A9"/>
    <w:rsid w:val="00CC4083"/>
    <w:rsid w:val="00CD192C"/>
    <w:rsid w:val="00CD600A"/>
    <w:rsid w:val="00CE110E"/>
    <w:rsid w:val="00CE13ED"/>
    <w:rsid w:val="00CF1C8F"/>
    <w:rsid w:val="00CF5FF2"/>
    <w:rsid w:val="00D025D5"/>
    <w:rsid w:val="00D02991"/>
    <w:rsid w:val="00D05E2B"/>
    <w:rsid w:val="00D122F2"/>
    <w:rsid w:val="00D23F41"/>
    <w:rsid w:val="00D276EF"/>
    <w:rsid w:val="00D345E3"/>
    <w:rsid w:val="00D419D5"/>
    <w:rsid w:val="00D44811"/>
    <w:rsid w:val="00D44AB7"/>
    <w:rsid w:val="00D44FAC"/>
    <w:rsid w:val="00D47450"/>
    <w:rsid w:val="00D624D3"/>
    <w:rsid w:val="00D62712"/>
    <w:rsid w:val="00D64FCF"/>
    <w:rsid w:val="00D66E49"/>
    <w:rsid w:val="00D676A1"/>
    <w:rsid w:val="00D73013"/>
    <w:rsid w:val="00D83906"/>
    <w:rsid w:val="00D877F3"/>
    <w:rsid w:val="00D96692"/>
    <w:rsid w:val="00D97747"/>
    <w:rsid w:val="00DA1C20"/>
    <w:rsid w:val="00DA668C"/>
    <w:rsid w:val="00DB3E36"/>
    <w:rsid w:val="00DB5A53"/>
    <w:rsid w:val="00DC0709"/>
    <w:rsid w:val="00DD424D"/>
    <w:rsid w:val="00DD4372"/>
    <w:rsid w:val="00DE379D"/>
    <w:rsid w:val="00E015E4"/>
    <w:rsid w:val="00E024AB"/>
    <w:rsid w:val="00E033D9"/>
    <w:rsid w:val="00E05999"/>
    <w:rsid w:val="00E065ED"/>
    <w:rsid w:val="00E105B2"/>
    <w:rsid w:val="00E13B65"/>
    <w:rsid w:val="00E16342"/>
    <w:rsid w:val="00E23DDD"/>
    <w:rsid w:val="00E32901"/>
    <w:rsid w:val="00E32CE5"/>
    <w:rsid w:val="00E40C05"/>
    <w:rsid w:val="00E44672"/>
    <w:rsid w:val="00E474E4"/>
    <w:rsid w:val="00E64C8B"/>
    <w:rsid w:val="00E71EEB"/>
    <w:rsid w:val="00E81F72"/>
    <w:rsid w:val="00E87DD8"/>
    <w:rsid w:val="00E9032A"/>
    <w:rsid w:val="00E93563"/>
    <w:rsid w:val="00E952A4"/>
    <w:rsid w:val="00E96F67"/>
    <w:rsid w:val="00EA52FF"/>
    <w:rsid w:val="00EB1241"/>
    <w:rsid w:val="00EB1273"/>
    <w:rsid w:val="00EC481B"/>
    <w:rsid w:val="00ED2ABE"/>
    <w:rsid w:val="00ED2E8D"/>
    <w:rsid w:val="00ED5A08"/>
    <w:rsid w:val="00ED6EAC"/>
    <w:rsid w:val="00EE2268"/>
    <w:rsid w:val="00EE2C0E"/>
    <w:rsid w:val="00EE3A93"/>
    <w:rsid w:val="00EE3E91"/>
    <w:rsid w:val="00EF72B8"/>
    <w:rsid w:val="00F162EA"/>
    <w:rsid w:val="00F25917"/>
    <w:rsid w:val="00F32A77"/>
    <w:rsid w:val="00F32B57"/>
    <w:rsid w:val="00F366FB"/>
    <w:rsid w:val="00F40F43"/>
    <w:rsid w:val="00F42527"/>
    <w:rsid w:val="00F4341C"/>
    <w:rsid w:val="00F45EEA"/>
    <w:rsid w:val="00F5051A"/>
    <w:rsid w:val="00F533F3"/>
    <w:rsid w:val="00F66F60"/>
    <w:rsid w:val="00F735BC"/>
    <w:rsid w:val="00F82362"/>
    <w:rsid w:val="00F83532"/>
    <w:rsid w:val="00F84645"/>
    <w:rsid w:val="00F90360"/>
    <w:rsid w:val="00F94181"/>
    <w:rsid w:val="00F9505B"/>
    <w:rsid w:val="00F97DEA"/>
    <w:rsid w:val="00FA561E"/>
    <w:rsid w:val="00FB58E6"/>
    <w:rsid w:val="00FC0959"/>
    <w:rsid w:val="00FC19C4"/>
    <w:rsid w:val="00FD4FED"/>
    <w:rsid w:val="00FD5449"/>
    <w:rsid w:val="00FD6C48"/>
    <w:rsid w:val="00FE4C85"/>
    <w:rsid w:val="00FE6F60"/>
    <w:rsid w:val="00FE7B96"/>
    <w:rsid w:val="00FF61B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406C92-83DA-49F0-962A-619ACB889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4198"/>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D4198"/>
    <w:pPr>
      <w:ind w:left="720"/>
      <w:contextualSpacing/>
    </w:pPr>
  </w:style>
  <w:style w:type="paragraph" w:customStyle="1" w:styleId="HeadHatzaotHok">
    <w:name w:val="Head HatzaotHok"/>
    <w:basedOn w:val="a"/>
    <w:rsid w:val="00C46AA4"/>
    <w:pPr>
      <w:keepNext/>
      <w:keepLines/>
      <w:widowControl w:val="0"/>
      <w:adjustRightInd w:val="0"/>
      <w:snapToGrid w:val="0"/>
      <w:spacing w:before="240"/>
      <w:jc w:val="center"/>
      <w:textAlignment w:val="center"/>
    </w:pPr>
    <w:rPr>
      <w:rFonts w:ascii="Arial" w:eastAsia="Arial Unicode MS" w:hAnsi="Arial" w:cs="David"/>
      <w:b/>
      <w:bCs/>
      <w:snapToGrid w:val="0"/>
      <w:color w:val="000000"/>
      <w:sz w:val="20"/>
      <w:szCs w:val="26"/>
      <w:lang w:eastAsia="ja-JP"/>
    </w:rPr>
  </w:style>
  <w:style w:type="paragraph" w:customStyle="1" w:styleId="David">
    <w:name w:val="רגיל + (עברית ושפות אחרות) David"/>
    <w:aliases w:val="‏13 נק',מודגש,אחרי:  6 נק'"/>
    <w:basedOn w:val="a"/>
    <w:rsid w:val="00C46AA4"/>
    <w:pPr>
      <w:widowControl w:val="0"/>
      <w:adjustRightInd w:val="0"/>
      <w:spacing w:before="102" w:line="204" w:lineRule="atLeast"/>
      <w:jc w:val="left"/>
      <w:textAlignment w:val="center"/>
    </w:pPr>
    <w:rPr>
      <w:rFonts w:ascii="Hadasa Roso SL" w:eastAsia="MS Mincho" w:hAnsi="Hadasa Roso SL" w:cs="David"/>
      <w:color w:val="000000"/>
      <w:spacing w:val="1"/>
      <w:sz w:val="26"/>
      <w:szCs w:val="26"/>
      <w:lang w:eastAsia="ja-JP"/>
    </w:rPr>
  </w:style>
  <w:style w:type="paragraph" w:customStyle="1" w:styleId="HesberHeading">
    <w:name w:val="Hesber Heading"/>
    <w:basedOn w:val="a"/>
    <w:rsid w:val="00723888"/>
    <w:pPr>
      <w:widowControl w:val="0"/>
      <w:tabs>
        <w:tab w:val="left" w:pos="624"/>
        <w:tab w:val="left" w:pos="1247"/>
      </w:tabs>
      <w:adjustRightInd w:val="0"/>
      <w:snapToGrid w:val="0"/>
      <w:textAlignment w:val="center"/>
    </w:pPr>
    <w:rPr>
      <w:rFonts w:ascii="Arial" w:eastAsia="Arial Unicode MS" w:hAnsi="Arial" w:cs="David"/>
      <w:b/>
      <w:bCs/>
      <w:snapToGrid w:val="0"/>
      <w:color w:val="000000"/>
      <w:sz w:val="20"/>
      <w:szCs w:val="26"/>
      <w:lang w:eastAsia="ja-JP"/>
    </w:rPr>
  </w:style>
  <w:style w:type="paragraph" w:styleId="a4">
    <w:name w:val="header"/>
    <w:basedOn w:val="a"/>
    <w:link w:val="a5"/>
    <w:uiPriority w:val="99"/>
    <w:unhideWhenUsed/>
    <w:rsid w:val="008B4222"/>
    <w:pPr>
      <w:tabs>
        <w:tab w:val="center" w:pos="4153"/>
        <w:tab w:val="right" w:pos="8306"/>
      </w:tabs>
      <w:spacing w:line="240" w:lineRule="auto"/>
    </w:pPr>
  </w:style>
  <w:style w:type="character" w:customStyle="1" w:styleId="a5">
    <w:name w:val="כותרת עליונה תו"/>
    <w:basedOn w:val="a0"/>
    <w:link w:val="a4"/>
    <w:uiPriority w:val="99"/>
    <w:rsid w:val="008B4222"/>
    <w:rPr>
      <w:rFonts w:ascii="Times New Roman" w:eastAsia="Times New Roman" w:hAnsi="Times New Roman" w:cs="Times New Roman"/>
      <w:szCs w:val="24"/>
      <w:lang w:eastAsia="he-IL"/>
    </w:rPr>
  </w:style>
  <w:style w:type="paragraph" w:styleId="a6">
    <w:name w:val="footer"/>
    <w:basedOn w:val="a"/>
    <w:link w:val="a7"/>
    <w:uiPriority w:val="99"/>
    <w:unhideWhenUsed/>
    <w:rsid w:val="008B4222"/>
    <w:pPr>
      <w:tabs>
        <w:tab w:val="center" w:pos="4153"/>
        <w:tab w:val="right" w:pos="8306"/>
      </w:tabs>
      <w:spacing w:line="240" w:lineRule="auto"/>
    </w:pPr>
  </w:style>
  <w:style w:type="character" w:customStyle="1" w:styleId="a7">
    <w:name w:val="כותרת תחתונה תו"/>
    <w:basedOn w:val="a0"/>
    <w:link w:val="a6"/>
    <w:uiPriority w:val="99"/>
    <w:rsid w:val="008B4222"/>
    <w:rPr>
      <w:rFonts w:ascii="Times New Roman" w:eastAsia="Times New Roman" w:hAnsi="Times New Roman" w:cs="Times New Roman"/>
      <w:szCs w:val="24"/>
      <w:lang w:eastAsia="he-IL"/>
    </w:rPr>
  </w:style>
  <w:style w:type="paragraph" w:styleId="a8">
    <w:name w:val="footnote text"/>
    <w:basedOn w:val="a"/>
    <w:link w:val="a9"/>
    <w:unhideWhenUsed/>
    <w:rsid w:val="00791AB9"/>
    <w:pPr>
      <w:spacing w:line="240" w:lineRule="auto"/>
    </w:pPr>
    <w:rPr>
      <w:sz w:val="20"/>
      <w:szCs w:val="20"/>
    </w:rPr>
  </w:style>
  <w:style w:type="character" w:customStyle="1" w:styleId="a9">
    <w:name w:val="טקסט הערת שוליים תו"/>
    <w:basedOn w:val="a0"/>
    <w:link w:val="a8"/>
    <w:rsid w:val="00791AB9"/>
    <w:rPr>
      <w:rFonts w:ascii="Times New Roman" w:eastAsia="Times New Roman" w:hAnsi="Times New Roman" w:cs="Times New Roman"/>
      <w:sz w:val="20"/>
      <w:szCs w:val="20"/>
      <w:lang w:eastAsia="he-IL"/>
    </w:rPr>
  </w:style>
  <w:style w:type="character" w:styleId="aa">
    <w:name w:val="footnote reference"/>
    <w:aliases w:val="Footnote Reference"/>
    <w:basedOn w:val="a0"/>
    <w:unhideWhenUsed/>
    <w:rsid w:val="00791AB9"/>
    <w:rPr>
      <w:vertAlign w:val="superscript"/>
    </w:rPr>
  </w:style>
  <w:style w:type="paragraph" w:customStyle="1" w:styleId="Hesber">
    <w:name w:val="Hesber"/>
    <w:basedOn w:val="a"/>
    <w:rsid w:val="00A30D92"/>
    <w:pPr>
      <w:widowControl w:val="0"/>
      <w:adjustRightInd w:val="0"/>
      <w:snapToGrid w:val="0"/>
      <w:ind w:firstLine="340"/>
      <w:textAlignment w:val="center"/>
    </w:pPr>
    <w:rPr>
      <w:rFonts w:ascii="Arial" w:eastAsia="Arial Unicode MS" w:hAnsi="Arial" w:cs="David"/>
      <w:snapToGrid w:val="0"/>
      <w:color w:val="00000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50CECF-C412-4FC7-8FCF-988C2CC09C19}"/>
</file>

<file path=customXml/itemProps2.xml><?xml version="1.0" encoding="utf-8"?>
<ds:datastoreItem xmlns:ds="http://schemas.openxmlformats.org/officeDocument/2006/customXml" ds:itemID="{1A5AE32C-72DB-4C1E-9E9E-B22C13EA758A}"/>
</file>

<file path=customXml/itemProps3.xml><?xml version="1.0" encoding="utf-8"?>
<ds:datastoreItem xmlns:ds="http://schemas.openxmlformats.org/officeDocument/2006/customXml" ds:itemID="{12048C9A-A16E-40EF-BD76-D8D79C6B723E}"/>
</file>

<file path=docProps/app.xml><?xml version="1.0" encoding="utf-8"?>
<Properties xmlns="http://schemas.openxmlformats.org/officeDocument/2006/extended-properties" xmlns:vt="http://schemas.openxmlformats.org/officeDocument/2006/docPropsVTypes">
  <Template>Normal</Template>
  <TotalTime>1331</TotalTime>
  <Pages>8</Pages>
  <Words>3827</Words>
  <Characters>19138</Characters>
  <Application>Microsoft Office Word</Application>
  <DocSecurity>0</DocSecurity>
  <Lines>159</Lines>
  <Paragraphs>45</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22920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אלעזר שטרן - הלשכה המשפטית</cp:lastModifiedBy>
  <cp:revision>546</cp:revision>
  <cp:lastPrinted>2016-05-26T12:14:00Z</cp:lastPrinted>
  <dcterms:created xsi:type="dcterms:W3CDTF">2016-05-24T12:17:00Z</dcterms:created>
  <dcterms:modified xsi:type="dcterms:W3CDTF">2016-07-19T04:58:00Z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2006164</vt:r8>
  </property>
</Properties>
</file>