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F5E" w:rsidRPr="005D6154" w:rsidRDefault="0031782A" w:rsidP="00B85B67">
      <w:pPr>
        <w:rPr>
          <w:rFonts w:cs="David"/>
          <w:b/>
          <w:bCs/>
          <w:sz w:val="30"/>
          <w:szCs w:val="30"/>
          <w:rtl/>
        </w:rPr>
      </w:pPr>
      <w:bookmarkStart w:id="0" w:name="_GoBack"/>
      <w:bookmarkEnd w:id="0"/>
      <w:r w:rsidRPr="005D6154">
        <w:rPr>
          <w:rFonts w:cs="David"/>
          <w:b/>
          <w:bCs/>
          <w:sz w:val="30"/>
          <w:szCs w:val="30"/>
          <w:rtl/>
        </w:rPr>
        <w:t>פורום דיני ביטוח</w:t>
      </w:r>
    </w:p>
    <w:p w:rsidR="00DA1F5E" w:rsidRPr="00C35DCF" w:rsidRDefault="00DA1F5E" w:rsidP="00E21849">
      <w:pPr>
        <w:rPr>
          <w:rFonts w:cs="David"/>
          <w:sz w:val="24"/>
          <w:szCs w:val="24"/>
          <w:rtl/>
        </w:rPr>
      </w:pPr>
    </w:p>
    <w:tbl>
      <w:tblPr>
        <w:bidiVisual/>
        <w:tblW w:w="0" w:type="auto"/>
        <w:tblLook w:val="04A0" w:firstRow="1" w:lastRow="0" w:firstColumn="1" w:lastColumn="0" w:noHBand="0" w:noVBand="1"/>
      </w:tblPr>
      <w:tblGrid>
        <w:gridCol w:w="2709"/>
        <w:gridCol w:w="2710"/>
        <w:gridCol w:w="2710"/>
      </w:tblGrid>
      <w:tr w:rsidR="00835E57" w:rsidRPr="00C35DCF" w:rsidTr="008F417C">
        <w:trPr>
          <w:trHeight w:val="892"/>
        </w:trPr>
        <w:tc>
          <w:tcPr>
            <w:tcW w:w="2709" w:type="dxa"/>
          </w:tcPr>
          <w:p w:rsidR="0031782A" w:rsidRDefault="0031782A" w:rsidP="00E21849">
            <w:pPr>
              <w:rPr>
                <w:rFonts w:cs="David"/>
                <w:sz w:val="24"/>
                <w:szCs w:val="24"/>
                <w:rtl/>
              </w:rPr>
            </w:pPr>
            <w:r>
              <w:rPr>
                <w:rFonts w:cs="David"/>
                <w:sz w:val="24"/>
                <w:szCs w:val="24"/>
                <w:rtl/>
              </w:rPr>
              <w:t>יו"ר הפורום:</w:t>
            </w:r>
          </w:p>
          <w:p w:rsidR="0031782A" w:rsidRDefault="0031782A" w:rsidP="00E21849">
            <w:pPr>
              <w:rPr>
                <w:rFonts w:cs="David"/>
                <w:sz w:val="24"/>
                <w:szCs w:val="24"/>
                <w:rtl/>
              </w:rPr>
            </w:pPr>
            <w:r>
              <w:rPr>
                <w:rFonts w:cs="David"/>
                <w:sz w:val="24"/>
                <w:szCs w:val="24"/>
                <w:rtl/>
              </w:rPr>
              <w:t>עו"ד רחל לויתן</w:t>
            </w:r>
          </w:p>
          <w:p w:rsidR="00835E57" w:rsidRDefault="0031782A" w:rsidP="00E21849">
            <w:pPr>
              <w:rPr>
                <w:rFonts w:cs="David"/>
                <w:sz w:val="24"/>
                <w:szCs w:val="24"/>
                <w:rtl/>
              </w:rPr>
            </w:pPr>
            <w:r>
              <w:rPr>
                <w:rFonts w:cs="David"/>
                <w:sz w:val="24"/>
                <w:szCs w:val="24"/>
                <w:rtl/>
              </w:rPr>
              <w:t>עו"ד אילנה סקר</w:t>
            </w:r>
          </w:p>
          <w:p w:rsidR="00835E57" w:rsidRPr="00C35DCF" w:rsidRDefault="00835E57" w:rsidP="00E21849">
            <w:pPr>
              <w:rPr>
                <w:rFonts w:cs="David"/>
                <w:sz w:val="24"/>
                <w:szCs w:val="24"/>
                <w:rtl/>
              </w:rPr>
            </w:pPr>
          </w:p>
        </w:tc>
        <w:tc>
          <w:tcPr>
            <w:tcW w:w="2710" w:type="dxa"/>
          </w:tcPr>
          <w:p w:rsidR="0031782A" w:rsidRDefault="0031782A" w:rsidP="00E21849">
            <w:pPr>
              <w:rPr>
                <w:rFonts w:cs="David"/>
                <w:sz w:val="24"/>
                <w:szCs w:val="24"/>
                <w:rtl/>
              </w:rPr>
            </w:pPr>
            <w:r>
              <w:rPr>
                <w:rFonts w:cs="David"/>
                <w:sz w:val="24"/>
                <w:szCs w:val="24"/>
                <w:rtl/>
              </w:rPr>
              <w:t xml:space="preserve">מ"מ : </w:t>
            </w:r>
          </w:p>
          <w:p w:rsidR="00835E57" w:rsidRDefault="0031782A" w:rsidP="00E21849">
            <w:pPr>
              <w:rPr>
                <w:rFonts w:cs="David"/>
                <w:sz w:val="24"/>
                <w:szCs w:val="24"/>
                <w:rtl/>
              </w:rPr>
            </w:pPr>
            <w:r>
              <w:rPr>
                <w:rFonts w:cs="David"/>
                <w:sz w:val="24"/>
                <w:szCs w:val="24"/>
                <w:rtl/>
              </w:rPr>
              <w:t>עו"ד עודד שטרנברג</w:t>
            </w:r>
          </w:p>
          <w:p w:rsidR="00835E57" w:rsidRPr="00C35DCF" w:rsidRDefault="00835E57" w:rsidP="00E21849">
            <w:pPr>
              <w:rPr>
                <w:rFonts w:cs="David"/>
                <w:sz w:val="24"/>
                <w:szCs w:val="24"/>
                <w:rtl/>
              </w:rPr>
            </w:pPr>
          </w:p>
        </w:tc>
        <w:tc>
          <w:tcPr>
            <w:tcW w:w="2710" w:type="dxa"/>
          </w:tcPr>
          <w:p w:rsidR="0031782A" w:rsidRDefault="0031782A" w:rsidP="00E21849">
            <w:pPr>
              <w:rPr>
                <w:rFonts w:cs="David"/>
                <w:sz w:val="24"/>
                <w:szCs w:val="24"/>
                <w:rtl/>
              </w:rPr>
            </w:pPr>
            <w:r>
              <w:rPr>
                <w:rFonts w:cs="David"/>
                <w:sz w:val="24"/>
                <w:szCs w:val="24"/>
                <w:rtl/>
              </w:rPr>
              <w:t xml:space="preserve">סגן : </w:t>
            </w:r>
          </w:p>
          <w:p w:rsidR="0031782A" w:rsidRDefault="0031782A" w:rsidP="00E21849">
            <w:pPr>
              <w:rPr>
                <w:rFonts w:cs="David"/>
                <w:sz w:val="24"/>
                <w:szCs w:val="24"/>
                <w:rtl/>
              </w:rPr>
            </w:pPr>
            <w:r>
              <w:rPr>
                <w:rFonts w:cs="David"/>
                <w:sz w:val="24"/>
                <w:szCs w:val="24"/>
                <w:rtl/>
              </w:rPr>
              <w:t>עו"ד שרון פרס בן חיים</w:t>
            </w:r>
          </w:p>
          <w:p w:rsidR="0031782A" w:rsidRDefault="0031782A" w:rsidP="00E21849">
            <w:pPr>
              <w:rPr>
                <w:rFonts w:cs="David"/>
                <w:sz w:val="24"/>
                <w:szCs w:val="24"/>
                <w:rtl/>
              </w:rPr>
            </w:pPr>
            <w:r>
              <w:rPr>
                <w:rFonts w:cs="David"/>
                <w:sz w:val="24"/>
                <w:szCs w:val="24"/>
                <w:rtl/>
              </w:rPr>
              <w:t>עו"ד מיכאל לב</w:t>
            </w:r>
          </w:p>
          <w:p w:rsidR="0031782A" w:rsidRDefault="0031782A" w:rsidP="00E21849">
            <w:pPr>
              <w:rPr>
                <w:rFonts w:cs="David"/>
                <w:sz w:val="24"/>
                <w:szCs w:val="24"/>
                <w:rtl/>
              </w:rPr>
            </w:pPr>
            <w:r>
              <w:rPr>
                <w:rFonts w:cs="David"/>
                <w:sz w:val="24"/>
                <w:szCs w:val="24"/>
                <w:rtl/>
              </w:rPr>
              <w:t>עו"ד ערן בקר</w:t>
            </w:r>
          </w:p>
          <w:p w:rsidR="00835E57" w:rsidRDefault="0031782A" w:rsidP="00E21849">
            <w:pPr>
              <w:rPr>
                <w:rFonts w:cs="David"/>
                <w:sz w:val="24"/>
                <w:szCs w:val="24"/>
                <w:rtl/>
              </w:rPr>
            </w:pPr>
            <w:r>
              <w:rPr>
                <w:rFonts w:cs="David"/>
                <w:sz w:val="24"/>
                <w:szCs w:val="24"/>
                <w:rtl/>
              </w:rPr>
              <w:t>עו"ד גלעד רמתי</w:t>
            </w:r>
          </w:p>
          <w:p w:rsidR="00835E57" w:rsidRPr="00C35DCF" w:rsidRDefault="00835E57" w:rsidP="00E21849">
            <w:pPr>
              <w:rPr>
                <w:rFonts w:cs="David"/>
                <w:sz w:val="24"/>
                <w:szCs w:val="24"/>
                <w:rtl/>
              </w:rPr>
            </w:pPr>
          </w:p>
        </w:tc>
      </w:tr>
    </w:tbl>
    <w:p w:rsidR="008A5688" w:rsidRPr="00747794" w:rsidRDefault="0031782A" w:rsidP="00747794">
      <w:pPr>
        <w:jc w:val="right"/>
        <w:rPr>
          <w:rFonts w:cs="David"/>
          <w:sz w:val="24"/>
          <w:szCs w:val="24"/>
          <w:rtl/>
        </w:rPr>
      </w:pPr>
      <w:r>
        <w:rPr>
          <w:rFonts w:cs="David"/>
          <w:sz w:val="24"/>
          <w:szCs w:val="24"/>
          <w:rtl/>
          <w:lang w:eastAsia="en-US"/>
        </w:rPr>
        <w:t>ת"א, כ' בתמוז התשע"ו</w:t>
      </w:r>
    </w:p>
    <w:p w:rsidR="008A5688" w:rsidRPr="00747794" w:rsidRDefault="0031782A" w:rsidP="00747794">
      <w:pPr>
        <w:jc w:val="right"/>
        <w:rPr>
          <w:rFonts w:cs="David"/>
          <w:sz w:val="24"/>
          <w:szCs w:val="24"/>
          <w:rtl/>
          <w:lang w:eastAsia="en-US"/>
        </w:rPr>
      </w:pPr>
      <w:r>
        <w:rPr>
          <w:rFonts w:cs="David"/>
          <w:sz w:val="24"/>
          <w:szCs w:val="24"/>
          <w:rtl/>
          <w:lang w:eastAsia="en-US"/>
        </w:rPr>
        <w:t>26/07/2016</w:t>
      </w:r>
    </w:p>
    <w:p w:rsidR="008A5688" w:rsidRPr="00747794" w:rsidRDefault="003F627F" w:rsidP="00747794">
      <w:pPr>
        <w:jc w:val="right"/>
        <w:rPr>
          <w:rFonts w:cs="David"/>
          <w:sz w:val="24"/>
          <w:szCs w:val="24"/>
          <w:rtl/>
          <w:lang w:eastAsia="en-US"/>
        </w:rPr>
      </w:pPr>
      <w:r>
        <w:rPr>
          <w:rFonts w:cs="David" w:hint="cs"/>
          <w:sz w:val="24"/>
          <w:szCs w:val="24"/>
          <w:rtl/>
          <w:lang w:eastAsia="en-US"/>
        </w:rPr>
        <w:t xml:space="preserve"> </w:t>
      </w:r>
    </w:p>
    <w:p w:rsidR="008A5688" w:rsidRPr="00747794" w:rsidRDefault="008A5688" w:rsidP="00747794">
      <w:pPr>
        <w:jc w:val="right"/>
        <w:rPr>
          <w:rFonts w:cs="David"/>
          <w:sz w:val="24"/>
          <w:szCs w:val="24"/>
          <w:rtl/>
          <w:lang w:eastAsia="en-US"/>
        </w:rPr>
      </w:pPr>
    </w:p>
    <w:p w:rsidR="008A5688" w:rsidRDefault="0031782A" w:rsidP="008C3D27">
      <w:pPr>
        <w:rPr>
          <w:rFonts w:cs="David"/>
          <w:sz w:val="24"/>
          <w:szCs w:val="24"/>
          <w:rtl/>
        </w:rPr>
      </w:pPr>
      <w:r>
        <w:rPr>
          <w:rFonts w:cs="David"/>
          <w:sz w:val="24"/>
          <w:szCs w:val="24"/>
          <w:rtl/>
        </w:rPr>
        <w:t>לכבוד</w:t>
      </w:r>
    </w:p>
    <w:p w:rsidR="00782601" w:rsidRDefault="00782601" w:rsidP="006C6776">
      <w:pPr>
        <w:rPr>
          <w:rFonts w:cs="David"/>
          <w:sz w:val="24"/>
          <w:szCs w:val="24"/>
          <w:rtl/>
        </w:rPr>
      </w:pPr>
      <w:r>
        <w:rPr>
          <w:rFonts w:cs="David" w:hint="cs"/>
          <w:sz w:val="24"/>
          <w:szCs w:val="24"/>
          <w:rtl/>
        </w:rPr>
        <w:t>ח"כ ניסן סלומינסקי</w:t>
      </w:r>
    </w:p>
    <w:p w:rsidR="008C3D27" w:rsidRPr="00782601" w:rsidRDefault="00782601" w:rsidP="008C3D27">
      <w:pPr>
        <w:rPr>
          <w:rFonts w:cs="David"/>
          <w:sz w:val="24"/>
          <w:szCs w:val="24"/>
          <w:u w:val="single"/>
          <w:rtl/>
        </w:rPr>
      </w:pPr>
      <w:r w:rsidRPr="00782601">
        <w:rPr>
          <w:rFonts w:cs="David" w:hint="cs"/>
          <w:sz w:val="24"/>
          <w:szCs w:val="24"/>
          <w:u w:val="single"/>
          <w:rtl/>
        </w:rPr>
        <w:t>יו"ר ועדת חוקה, חוק ומשפט</w:t>
      </w:r>
    </w:p>
    <w:p w:rsidR="008C3D27" w:rsidRPr="00C35DCF" w:rsidRDefault="008C3D27" w:rsidP="008C3D27">
      <w:pPr>
        <w:rPr>
          <w:rFonts w:cs="David"/>
          <w:sz w:val="24"/>
          <w:szCs w:val="24"/>
          <w:rtl/>
        </w:rPr>
      </w:pPr>
    </w:p>
    <w:p w:rsidR="008C6932" w:rsidRDefault="008C6932" w:rsidP="008C6932">
      <w:pPr>
        <w:tabs>
          <w:tab w:val="left" w:pos="6605"/>
        </w:tabs>
        <w:spacing w:line="360" w:lineRule="auto"/>
        <w:jc w:val="both"/>
        <w:rPr>
          <w:rFonts w:cs="David"/>
          <w:sz w:val="24"/>
          <w:szCs w:val="24"/>
          <w:rtl/>
        </w:rPr>
      </w:pPr>
      <w:r>
        <w:rPr>
          <w:rFonts w:cs="David" w:hint="cs"/>
          <w:sz w:val="24"/>
          <w:szCs w:val="24"/>
          <w:rtl/>
        </w:rPr>
        <w:t>מכובדי,</w:t>
      </w:r>
    </w:p>
    <w:p w:rsidR="008C3D27" w:rsidRDefault="008C3D27" w:rsidP="008C6932">
      <w:pPr>
        <w:tabs>
          <w:tab w:val="left" w:pos="6605"/>
        </w:tabs>
        <w:spacing w:line="360" w:lineRule="auto"/>
        <w:jc w:val="both"/>
        <w:rPr>
          <w:rFonts w:cs="David"/>
          <w:sz w:val="24"/>
          <w:szCs w:val="24"/>
          <w:rtl/>
        </w:rPr>
      </w:pPr>
    </w:p>
    <w:p w:rsidR="008C3D27" w:rsidRPr="008C3D27" w:rsidRDefault="008C6932" w:rsidP="008C3D27">
      <w:pPr>
        <w:spacing w:line="360" w:lineRule="exact"/>
        <w:jc w:val="center"/>
        <w:rPr>
          <w:rFonts w:cs="David"/>
          <w:b/>
          <w:bCs/>
          <w:sz w:val="28"/>
          <w:szCs w:val="28"/>
          <w:rtl/>
        </w:rPr>
      </w:pPr>
      <w:r w:rsidRPr="008C3D27">
        <w:rPr>
          <w:rFonts w:cs="David" w:hint="cs"/>
          <w:b/>
          <w:bCs/>
          <w:sz w:val="28"/>
          <w:szCs w:val="28"/>
          <w:rtl/>
        </w:rPr>
        <w:t xml:space="preserve">הנדון: </w:t>
      </w:r>
      <w:r w:rsidR="008C3D27" w:rsidRPr="008C3D27">
        <w:rPr>
          <w:rFonts w:cs="David" w:hint="cs"/>
          <w:b/>
          <w:bCs/>
          <w:sz w:val="28"/>
          <w:szCs w:val="28"/>
          <w:rtl/>
        </w:rPr>
        <w:t xml:space="preserve">עמדת לשכת עוה"ד להצעות לתיקון חוק חוזה הביטוח פיצויים לדוגמא </w:t>
      </w:r>
    </w:p>
    <w:p w:rsidR="008C3D27" w:rsidRPr="008C3D27" w:rsidRDefault="008C3D27" w:rsidP="008C3D27">
      <w:pPr>
        <w:spacing w:line="360" w:lineRule="exact"/>
        <w:jc w:val="center"/>
        <w:rPr>
          <w:rFonts w:cs="David"/>
          <w:b/>
          <w:bCs/>
          <w:sz w:val="28"/>
          <w:szCs w:val="28"/>
          <w:rtl/>
        </w:rPr>
      </w:pPr>
      <w:r w:rsidRPr="008C3D27">
        <w:rPr>
          <w:rFonts w:cs="David" w:hint="cs"/>
          <w:b/>
          <w:bCs/>
          <w:sz w:val="28"/>
          <w:szCs w:val="28"/>
          <w:rtl/>
        </w:rPr>
        <w:t>בשל חוסר תום לב-  (הוספת סעיף 27א' וסעיף 28ב')</w:t>
      </w:r>
    </w:p>
    <w:p w:rsidR="008C3D27" w:rsidRPr="008C3D27" w:rsidRDefault="008C3D27" w:rsidP="008C3D27">
      <w:pPr>
        <w:spacing w:line="360" w:lineRule="exact"/>
        <w:jc w:val="center"/>
        <w:rPr>
          <w:rFonts w:cs="David"/>
          <w:b/>
          <w:bCs/>
          <w:sz w:val="28"/>
          <w:szCs w:val="28"/>
          <w:u w:val="single"/>
          <w:rtl/>
        </w:rPr>
      </w:pPr>
      <w:r w:rsidRPr="008C3D27">
        <w:rPr>
          <w:rFonts w:cs="David" w:hint="cs"/>
          <w:b/>
          <w:bCs/>
          <w:sz w:val="28"/>
          <w:szCs w:val="28"/>
          <w:u w:val="single"/>
          <w:rtl/>
        </w:rPr>
        <w:t>וכן  תשלום פיצוי מיוחד בביטוח סיעודי התשע"ו 2015</w:t>
      </w:r>
    </w:p>
    <w:p w:rsidR="008C6932" w:rsidRDefault="008C6932" w:rsidP="008C3D27">
      <w:pPr>
        <w:pStyle w:val="2"/>
        <w:spacing w:after="80"/>
        <w:jc w:val="center"/>
        <w:rPr>
          <w:sz w:val="24"/>
          <w:rtl/>
        </w:rPr>
      </w:pPr>
    </w:p>
    <w:p w:rsidR="008C6932" w:rsidRDefault="008C6932" w:rsidP="008C6932">
      <w:pPr>
        <w:jc w:val="center"/>
        <w:rPr>
          <w:rFonts w:cs="David"/>
          <w:b/>
          <w:bCs/>
          <w:sz w:val="22"/>
          <w:szCs w:val="32"/>
          <w:rtl/>
        </w:rPr>
      </w:pPr>
    </w:p>
    <w:p w:rsidR="008C6932" w:rsidRPr="00500D47" w:rsidRDefault="008C6932" w:rsidP="008C6932">
      <w:pPr>
        <w:pStyle w:val="1"/>
        <w:tabs>
          <w:tab w:val="clear" w:pos="5953"/>
          <w:tab w:val="left" w:pos="6605"/>
        </w:tabs>
        <w:spacing w:after="0"/>
        <w:rPr>
          <w:sz w:val="32"/>
          <w:szCs w:val="32"/>
          <w:rtl/>
        </w:rPr>
      </w:pPr>
      <w:r w:rsidRPr="00500D47">
        <w:rPr>
          <w:sz w:val="32"/>
          <w:szCs w:val="32"/>
          <w:bdr w:val="single" w:sz="4" w:space="0" w:color="auto" w:shadow="1"/>
          <w:rtl/>
        </w:rPr>
        <w:t>נייר עמדה</w:t>
      </w:r>
    </w:p>
    <w:p w:rsidR="008C6932" w:rsidRDefault="008C6932" w:rsidP="008C6932">
      <w:pPr>
        <w:spacing w:line="360" w:lineRule="auto"/>
        <w:jc w:val="both"/>
        <w:rPr>
          <w:rFonts w:cs="David"/>
          <w:sz w:val="24"/>
          <w:szCs w:val="24"/>
          <w:rtl/>
        </w:rPr>
      </w:pPr>
    </w:p>
    <w:p w:rsidR="008C6932" w:rsidRDefault="008C6932" w:rsidP="00BF2B96">
      <w:pPr>
        <w:spacing w:line="360" w:lineRule="auto"/>
        <w:jc w:val="both"/>
        <w:rPr>
          <w:rFonts w:cs="David"/>
          <w:sz w:val="24"/>
          <w:szCs w:val="24"/>
          <w:rtl/>
        </w:rPr>
      </w:pPr>
      <w:r w:rsidRPr="00BC2B6B">
        <w:rPr>
          <w:rFonts w:cs="David" w:hint="cs"/>
          <w:sz w:val="24"/>
          <w:szCs w:val="24"/>
          <w:rtl/>
        </w:rPr>
        <w:t>לקראת הדיון</w:t>
      </w:r>
      <w:r>
        <w:rPr>
          <w:rFonts w:cs="David"/>
          <w:b/>
          <w:bCs/>
          <w:sz w:val="24"/>
          <w:szCs w:val="24"/>
        </w:rPr>
        <w:t xml:space="preserve"> </w:t>
      </w:r>
      <w:r w:rsidRPr="00C35DCF">
        <w:rPr>
          <w:rFonts w:cs="David" w:hint="cs"/>
          <w:sz w:val="24"/>
          <w:szCs w:val="24"/>
          <w:rtl/>
          <w:lang w:eastAsia="en-US"/>
        </w:rPr>
        <w:t>ש</w:t>
      </w:r>
      <w:r w:rsidR="008F417C">
        <w:rPr>
          <w:rFonts w:cs="David" w:hint="cs"/>
          <w:sz w:val="24"/>
          <w:szCs w:val="24"/>
          <w:rtl/>
          <w:lang w:eastAsia="en-US"/>
        </w:rPr>
        <w:t>י</w:t>
      </w:r>
      <w:r w:rsidRPr="00C35DCF">
        <w:rPr>
          <w:rFonts w:cs="David" w:hint="cs"/>
          <w:sz w:val="24"/>
          <w:szCs w:val="24"/>
          <w:rtl/>
          <w:lang w:eastAsia="en-US"/>
        </w:rPr>
        <w:t>תקיים</w:t>
      </w:r>
      <w:r w:rsidR="008F417C">
        <w:rPr>
          <w:rFonts w:cs="David" w:hint="cs"/>
          <w:sz w:val="24"/>
          <w:szCs w:val="24"/>
          <w:rtl/>
          <w:lang w:eastAsia="en-US"/>
        </w:rPr>
        <w:t xml:space="preserve"> </w:t>
      </w:r>
      <w:r w:rsidR="00BF2B96">
        <w:rPr>
          <w:rFonts w:cs="David" w:hint="cs"/>
          <w:sz w:val="24"/>
          <w:szCs w:val="24"/>
          <w:rtl/>
          <w:lang w:eastAsia="en-US"/>
        </w:rPr>
        <w:t>ביום ראשון, 31/7/16</w:t>
      </w:r>
      <w:r w:rsidRPr="00C35DCF">
        <w:rPr>
          <w:rFonts w:cs="David" w:hint="cs"/>
          <w:sz w:val="24"/>
          <w:szCs w:val="24"/>
          <w:rtl/>
          <w:lang w:eastAsia="en-US"/>
        </w:rPr>
        <w:t xml:space="preserve">, </w:t>
      </w:r>
      <w:r w:rsidR="008F417C">
        <w:rPr>
          <w:rFonts w:cs="David" w:hint="cs"/>
          <w:sz w:val="24"/>
          <w:szCs w:val="24"/>
          <w:rtl/>
        </w:rPr>
        <w:t>ב</w:t>
      </w:r>
      <w:r w:rsidR="00806412">
        <w:rPr>
          <w:rFonts w:cs="David" w:hint="cs"/>
          <w:sz w:val="24"/>
          <w:szCs w:val="24"/>
          <w:rtl/>
        </w:rPr>
        <w:t xml:space="preserve">ועדה </w:t>
      </w:r>
      <w:r w:rsidR="008F417C">
        <w:rPr>
          <w:rFonts w:cs="David" w:hint="cs"/>
          <w:sz w:val="24"/>
          <w:szCs w:val="24"/>
          <w:rtl/>
        </w:rPr>
        <w:t xml:space="preserve">שבראשותך, בנושא הצעת החוק שבנדון, </w:t>
      </w:r>
      <w:r w:rsidRPr="00BC2B6B">
        <w:rPr>
          <w:rFonts w:cs="David" w:hint="cs"/>
          <w:sz w:val="24"/>
          <w:szCs w:val="24"/>
          <w:rtl/>
        </w:rPr>
        <w:t>ברצוננו להציג את עמדת</w:t>
      </w:r>
      <w:r w:rsidR="00806412">
        <w:rPr>
          <w:rFonts w:cs="David" w:hint="cs"/>
          <w:sz w:val="24"/>
          <w:szCs w:val="24"/>
          <w:rtl/>
        </w:rPr>
        <w:t xml:space="preserve"> </w:t>
      </w:r>
      <w:r w:rsidR="00BF2B96">
        <w:rPr>
          <w:rFonts w:cs="David" w:hint="cs"/>
          <w:sz w:val="24"/>
          <w:szCs w:val="24"/>
          <w:rtl/>
        </w:rPr>
        <w:t>ה</w:t>
      </w:r>
      <w:r w:rsidR="00806412">
        <w:rPr>
          <w:rFonts w:cs="David" w:hint="cs"/>
          <w:sz w:val="24"/>
          <w:szCs w:val="24"/>
          <w:rtl/>
        </w:rPr>
        <w:t>לשכה באמצעות ועדת דיני ביטוח</w:t>
      </w:r>
      <w:r w:rsidRPr="00BC2B6B">
        <w:rPr>
          <w:rFonts w:cs="David" w:hint="cs"/>
          <w:sz w:val="24"/>
          <w:szCs w:val="24"/>
          <w:rtl/>
        </w:rPr>
        <w:t xml:space="preserve"> לגבי ההצעה המתגבשת:</w:t>
      </w:r>
    </w:p>
    <w:p w:rsidR="00CE1151" w:rsidRDefault="00CE1151" w:rsidP="00CE1151">
      <w:pPr>
        <w:jc w:val="both"/>
        <w:rPr>
          <w:rFonts w:cs="David"/>
          <w:sz w:val="24"/>
          <w:szCs w:val="24"/>
          <w:rtl/>
        </w:rPr>
      </w:pPr>
    </w:p>
    <w:p w:rsidR="008C3D27" w:rsidRPr="008C3D27" w:rsidRDefault="008C3D27" w:rsidP="008F417C">
      <w:pPr>
        <w:spacing w:line="360" w:lineRule="exact"/>
        <w:jc w:val="both"/>
        <w:rPr>
          <w:rFonts w:cs="David"/>
          <w:sz w:val="24"/>
          <w:szCs w:val="24"/>
          <w:rtl/>
        </w:rPr>
      </w:pPr>
      <w:r w:rsidRPr="008C3D27">
        <w:rPr>
          <w:rFonts w:cs="David" w:hint="cs"/>
          <w:sz w:val="24"/>
          <w:szCs w:val="24"/>
          <w:rtl/>
        </w:rPr>
        <w:t>שתי הצעות החוק הגם שהן מנסות לטפל ברעה חולה המתוארת בעיתונות מעת לעת, מתעלמות מן המצב המשפטי הקיים. מצב זה נוצר הן כתוצאה מתיקוני החקיקה בשנת 2012 והן כתוצאה מפסיקת בתי המשפט. כתוצאה מכך</w:t>
      </w:r>
      <w:r w:rsidR="008F417C">
        <w:rPr>
          <w:rFonts w:cs="David" w:hint="cs"/>
          <w:sz w:val="24"/>
          <w:szCs w:val="24"/>
          <w:rtl/>
        </w:rPr>
        <w:t>,</w:t>
      </w:r>
      <w:r w:rsidRPr="008C3D27">
        <w:rPr>
          <w:rFonts w:cs="David" w:hint="cs"/>
          <w:sz w:val="24"/>
          <w:szCs w:val="24"/>
          <w:rtl/>
        </w:rPr>
        <w:t xml:space="preserve"> הצעת </w:t>
      </w:r>
      <w:r w:rsidR="008F417C">
        <w:rPr>
          <w:rFonts w:cs="David" w:hint="cs"/>
          <w:sz w:val="24"/>
          <w:szCs w:val="24"/>
          <w:rtl/>
        </w:rPr>
        <w:t>ה</w:t>
      </w:r>
      <w:r w:rsidRPr="008C3D27">
        <w:rPr>
          <w:rFonts w:cs="David" w:hint="cs"/>
          <w:sz w:val="24"/>
          <w:szCs w:val="24"/>
          <w:rtl/>
        </w:rPr>
        <w:t xml:space="preserve">חוק </w:t>
      </w:r>
      <w:r w:rsidR="008F417C">
        <w:rPr>
          <w:rFonts w:cs="David" w:hint="cs"/>
          <w:sz w:val="24"/>
          <w:szCs w:val="24"/>
          <w:rtl/>
        </w:rPr>
        <w:t xml:space="preserve">חוזה הביטוח </w:t>
      </w:r>
      <w:r w:rsidRPr="008C3D27">
        <w:rPr>
          <w:rFonts w:cs="David" w:hint="cs"/>
          <w:sz w:val="24"/>
          <w:szCs w:val="24"/>
          <w:rtl/>
        </w:rPr>
        <w:t>פיצויים לדוגמא בשל חוסר תום לב בבירור חבות תגמולי ביטוח בנוסחה המוצע, מגבילה את זכאותם של המבוטחים במקרים בהם פעלה חברת הביטוח בחוסר תום לב בניגוד למצב הקיים.</w:t>
      </w:r>
    </w:p>
    <w:p w:rsidR="008F417C" w:rsidRDefault="008F417C" w:rsidP="008C3D27">
      <w:pPr>
        <w:spacing w:line="360" w:lineRule="exact"/>
        <w:jc w:val="both"/>
        <w:rPr>
          <w:rFonts w:cs="David"/>
          <w:sz w:val="24"/>
          <w:szCs w:val="24"/>
          <w:rtl/>
        </w:rPr>
      </w:pPr>
    </w:p>
    <w:p w:rsidR="008C3D27" w:rsidRPr="008C3D27" w:rsidRDefault="008C3D27" w:rsidP="008C3D27">
      <w:pPr>
        <w:spacing w:line="360" w:lineRule="exact"/>
        <w:jc w:val="both"/>
        <w:rPr>
          <w:rFonts w:cs="David"/>
          <w:sz w:val="24"/>
          <w:szCs w:val="24"/>
          <w:rtl/>
        </w:rPr>
      </w:pPr>
      <w:r w:rsidRPr="008C3D27">
        <w:rPr>
          <w:rFonts w:cs="David" w:hint="cs"/>
          <w:sz w:val="24"/>
          <w:szCs w:val="24"/>
          <w:rtl/>
        </w:rPr>
        <w:t>כיום לפי פסיקת בית המשפט העליון יש לביהמ"ש סמכות רחבה יותר מהקבוע בהצעת החוק, סמכות שהוא עושה בה שימוש מעת לעת בעיקר כאשר הנזק הנגרם כתוצאה מהתנהגות המבטח ניתן לאמדן:</w:t>
      </w:r>
    </w:p>
    <w:p w:rsidR="008C3D27" w:rsidRPr="008C3D27" w:rsidRDefault="008C3D27" w:rsidP="008C3D27">
      <w:pPr>
        <w:spacing w:line="360" w:lineRule="exact"/>
        <w:rPr>
          <w:rFonts w:cs="David"/>
          <w:sz w:val="24"/>
          <w:szCs w:val="24"/>
          <w:rtl/>
        </w:rPr>
      </w:pPr>
    </w:p>
    <w:p w:rsidR="008C3D27" w:rsidRPr="008C3D27" w:rsidRDefault="008C3D27" w:rsidP="008C3D27">
      <w:pPr>
        <w:widowControl w:val="0"/>
        <w:numPr>
          <w:ilvl w:val="0"/>
          <w:numId w:val="1"/>
        </w:numPr>
        <w:spacing w:line="360" w:lineRule="exact"/>
        <w:jc w:val="both"/>
        <w:rPr>
          <w:rFonts w:cs="David"/>
          <w:sz w:val="24"/>
          <w:szCs w:val="24"/>
        </w:rPr>
      </w:pPr>
      <w:r w:rsidRPr="008C3D27">
        <w:rPr>
          <w:rFonts w:cs="David" w:hint="cs"/>
          <w:sz w:val="24"/>
          <w:szCs w:val="24"/>
          <w:rtl/>
        </w:rPr>
        <w:t xml:space="preserve">הסמכות להטיל פיצויים עונשיים הקרויים גם פיצויים לדוגמא כבר קיימת לבתי המשפט </w:t>
      </w:r>
      <w:r w:rsidRPr="008C3D27">
        <w:rPr>
          <w:rFonts w:cs="David" w:hint="cs"/>
          <w:b/>
          <w:bCs/>
          <w:sz w:val="24"/>
          <w:szCs w:val="24"/>
          <w:rtl/>
        </w:rPr>
        <w:t>ממילא</w:t>
      </w:r>
      <w:r w:rsidRPr="008C3D27">
        <w:rPr>
          <w:rFonts w:cs="David" w:hint="cs"/>
          <w:sz w:val="24"/>
          <w:szCs w:val="24"/>
          <w:rtl/>
        </w:rPr>
        <w:t xml:space="preserve"> ע"א 140/00 </w:t>
      </w:r>
      <w:r w:rsidRPr="008C3D27">
        <w:rPr>
          <w:rFonts w:cs="David" w:hint="cs"/>
          <w:b/>
          <w:bCs/>
          <w:sz w:val="24"/>
          <w:szCs w:val="24"/>
          <w:rtl/>
        </w:rPr>
        <w:t>עיזבון המנוח אטינגר נ' החברה לשיקום ופיתוח הרובע היהודי</w:t>
      </w:r>
      <w:r w:rsidRPr="008C3D27">
        <w:rPr>
          <w:rFonts w:cs="David" w:hint="cs"/>
          <w:sz w:val="24"/>
          <w:szCs w:val="24"/>
          <w:rtl/>
        </w:rPr>
        <w:t xml:space="preserve">, פ"ד </w:t>
      </w:r>
      <w:r w:rsidRPr="008C3D27">
        <w:rPr>
          <w:rFonts w:cs="David" w:hint="cs"/>
          <w:sz w:val="24"/>
          <w:szCs w:val="24"/>
          <w:rtl/>
        </w:rPr>
        <w:lastRenderedPageBreak/>
        <w:t xml:space="preserve">נח(4) 486, 566. הסנקציה הזו מוטלת על ידי בית המשפט על פי שפעל </w:t>
      </w:r>
      <w:r w:rsidRPr="008C3D27">
        <w:rPr>
          <w:rFonts w:cs="David" w:hint="cs"/>
          <w:b/>
          <w:bCs/>
          <w:sz w:val="24"/>
          <w:szCs w:val="24"/>
          <w:rtl/>
        </w:rPr>
        <w:t>בזדון</w:t>
      </w:r>
      <w:r w:rsidRPr="008C3D27">
        <w:rPr>
          <w:rFonts w:cs="David" w:hint="cs"/>
          <w:sz w:val="24"/>
          <w:szCs w:val="24"/>
          <w:rtl/>
        </w:rPr>
        <w:t xml:space="preserve">, כדי להעניש על ההתנהגות מעוררת סלידה. </w:t>
      </w:r>
    </w:p>
    <w:p w:rsidR="008C3D27" w:rsidRPr="008C3D27" w:rsidRDefault="008C3D27" w:rsidP="008C3D27">
      <w:pPr>
        <w:spacing w:line="360" w:lineRule="exact"/>
        <w:ind w:left="360"/>
        <w:jc w:val="both"/>
        <w:rPr>
          <w:rFonts w:cs="David"/>
          <w:sz w:val="24"/>
          <w:szCs w:val="24"/>
        </w:rPr>
      </w:pPr>
    </w:p>
    <w:p w:rsidR="008C3D27" w:rsidRPr="008C3D27" w:rsidRDefault="008C3D27" w:rsidP="00BF2B96">
      <w:pPr>
        <w:widowControl w:val="0"/>
        <w:numPr>
          <w:ilvl w:val="0"/>
          <w:numId w:val="1"/>
        </w:numPr>
        <w:spacing w:line="360" w:lineRule="exact"/>
        <w:jc w:val="both"/>
        <w:rPr>
          <w:rFonts w:cs="David"/>
          <w:sz w:val="24"/>
          <w:szCs w:val="24"/>
        </w:rPr>
      </w:pPr>
      <w:r w:rsidRPr="008C3D27">
        <w:rPr>
          <w:rFonts w:cs="David" w:hint="cs"/>
          <w:sz w:val="24"/>
          <w:szCs w:val="24"/>
          <w:rtl/>
        </w:rPr>
        <w:t xml:space="preserve">פסיקת בית המשפט העליון הכירה כבר ב- 15.7.12 </w:t>
      </w:r>
      <w:r w:rsidRPr="008C3D27">
        <w:rPr>
          <w:rFonts w:cs="David"/>
          <w:sz w:val="24"/>
          <w:szCs w:val="24"/>
          <w:rtl/>
        </w:rPr>
        <w:t>–</w:t>
      </w:r>
      <w:r w:rsidRPr="008C3D27">
        <w:rPr>
          <w:rFonts w:cs="David" w:hint="cs"/>
          <w:sz w:val="24"/>
          <w:szCs w:val="24"/>
          <w:rtl/>
        </w:rPr>
        <w:t xml:space="preserve"> ע"א 7298/10 </w:t>
      </w:r>
      <w:r w:rsidRPr="008C3D27">
        <w:rPr>
          <w:rFonts w:cs="David" w:hint="cs"/>
          <w:b/>
          <w:bCs/>
          <w:sz w:val="24"/>
          <w:szCs w:val="24"/>
          <w:rtl/>
        </w:rPr>
        <w:t>הדר חב' לביטוח נ' אחד העם ואח'</w:t>
      </w:r>
      <w:r w:rsidRPr="008C3D27">
        <w:rPr>
          <w:rFonts w:cs="David" w:hint="cs"/>
          <w:sz w:val="24"/>
          <w:szCs w:val="24"/>
          <w:rtl/>
        </w:rPr>
        <w:t xml:space="preserve"> בחבות הנזיקית של המבטח לשלם פיצוי על הפרת חוזה הביטוח על ידי דחייה לא צדקת של הכיסוי בהתאם לנזק </w:t>
      </w:r>
      <w:r w:rsidRPr="008C3D27">
        <w:rPr>
          <w:rFonts w:cs="David" w:hint="cs"/>
          <w:b/>
          <w:bCs/>
          <w:sz w:val="24"/>
          <w:szCs w:val="24"/>
          <w:rtl/>
        </w:rPr>
        <w:t>שניתן לצפותו</w:t>
      </w:r>
      <w:r w:rsidRPr="008C3D27">
        <w:rPr>
          <w:rFonts w:cs="David" w:hint="cs"/>
          <w:sz w:val="24"/>
          <w:szCs w:val="24"/>
          <w:rtl/>
        </w:rPr>
        <w:t xml:space="preserve"> לאו דווקא בחוסר תום לב</w:t>
      </w:r>
      <w:r w:rsidRPr="008C3D27">
        <w:rPr>
          <w:rFonts w:cs="David" w:hint="cs"/>
          <w:b/>
          <w:bCs/>
          <w:sz w:val="24"/>
          <w:szCs w:val="24"/>
          <w:rtl/>
        </w:rPr>
        <w:t>,</w:t>
      </w:r>
      <w:r w:rsidRPr="008C3D27">
        <w:rPr>
          <w:rFonts w:cs="David" w:hint="cs"/>
          <w:sz w:val="24"/>
          <w:szCs w:val="24"/>
          <w:rtl/>
        </w:rPr>
        <w:t xml:space="preserve"> ואף במקרים שהדחייה נעשתה בחוסר תום לב </w:t>
      </w:r>
      <w:r w:rsidRPr="008C3D27">
        <w:rPr>
          <w:rFonts w:cs="David"/>
          <w:sz w:val="24"/>
          <w:szCs w:val="24"/>
          <w:rtl/>
        </w:rPr>
        <w:t>–</w:t>
      </w:r>
      <w:r w:rsidRPr="008C3D27">
        <w:rPr>
          <w:rFonts w:cs="David" w:hint="cs"/>
          <w:sz w:val="24"/>
          <w:szCs w:val="24"/>
          <w:rtl/>
        </w:rPr>
        <w:t xml:space="preserve"> סמכות לפסוק גם נזק </w:t>
      </w:r>
      <w:r w:rsidRPr="008C3D27">
        <w:rPr>
          <w:rFonts w:cs="David" w:hint="cs"/>
          <w:b/>
          <w:bCs/>
          <w:sz w:val="24"/>
          <w:szCs w:val="24"/>
          <w:rtl/>
        </w:rPr>
        <w:t>שלא ניתן היה לצפותו</w:t>
      </w:r>
      <w:r w:rsidRPr="008C3D27">
        <w:rPr>
          <w:rFonts w:cs="David" w:hint="cs"/>
          <w:sz w:val="24"/>
          <w:szCs w:val="24"/>
          <w:rtl/>
        </w:rPr>
        <w:t xml:space="preserve">. </w:t>
      </w:r>
    </w:p>
    <w:p w:rsidR="008C3D27" w:rsidRPr="008C3D27" w:rsidRDefault="008C3D27" w:rsidP="008C3D27">
      <w:pPr>
        <w:pStyle w:val="aa"/>
        <w:rPr>
          <w:rtl/>
        </w:rPr>
      </w:pPr>
    </w:p>
    <w:p w:rsidR="008C3D27" w:rsidRPr="008C3D27" w:rsidRDefault="008C3D27" w:rsidP="008C3D27">
      <w:pPr>
        <w:widowControl w:val="0"/>
        <w:numPr>
          <w:ilvl w:val="0"/>
          <w:numId w:val="1"/>
        </w:numPr>
        <w:spacing w:line="360" w:lineRule="exact"/>
        <w:jc w:val="both"/>
        <w:rPr>
          <w:rFonts w:cs="David"/>
          <w:sz w:val="24"/>
          <w:szCs w:val="24"/>
        </w:rPr>
      </w:pPr>
      <w:r w:rsidRPr="008C3D27">
        <w:rPr>
          <w:rFonts w:cs="David" w:hint="cs"/>
          <w:sz w:val="24"/>
          <w:szCs w:val="24"/>
          <w:rtl/>
        </w:rPr>
        <w:t xml:space="preserve">ההצעה מניחה שיש למבטחים תמריצים לדחות ולעכב את בירור תביעת המבוטח שכן אין עליהם סנקציה מרתיעה ו"השופטים מוגבלים בגובה הפיצוי שהם רשאים לפסוק על פי חוק". </w:t>
      </w:r>
    </w:p>
    <w:p w:rsidR="008C3D27" w:rsidRPr="008C3D27" w:rsidRDefault="008C3D27" w:rsidP="008C3D27">
      <w:pPr>
        <w:spacing w:line="360" w:lineRule="exact"/>
        <w:ind w:left="360"/>
        <w:jc w:val="both"/>
        <w:rPr>
          <w:rFonts w:cs="David"/>
          <w:sz w:val="24"/>
          <w:szCs w:val="24"/>
          <w:rtl/>
        </w:rPr>
      </w:pPr>
    </w:p>
    <w:p w:rsidR="008C3D27" w:rsidRPr="008C3D27" w:rsidRDefault="008C3D27" w:rsidP="008C3D27">
      <w:pPr>
        <w:spacing w:line="360" w:lineRule="exact"/>
        <w:ind w:left="360"/>
        <w:jc w:val="both"/>
        <w:rPr>
          <w:rFonts w:cs="David"/>
          <w:sz w:val="24"/>
          <w:szCs w:val="24"/>
        </w:rPr>
      </w:pPr>
      <w:r w:rsidRPr="008C3D27">
        <w:rPr>
          <w:rFonts w:cs="David" w:hint="cs"/>
          <w:sz w:val="24"/>
          <w:szCs w:val="24"/>
          <w:rtl/>
        </w:rPr>
        <w:t xml:space="preserve">הנחה זו הייתה תקפה עד 2012, שאז פסק בית המשפט העליון שיש סמכות לבתי המשפט לפסוק פיצוי </w:t>
      </w:r>
      <w:r w:rsidRPr="008C3D27">
        <w:rPr>
          <w:rFonts w:cs="David" w:hint="cs"/>
          <w:b/>
          <w:bCs/>
          <w:sz w:val="24"/>
          <w:szCs w:val="24"/>
          <w:rtl/>
        </w:rPr>
        <w:t>נזיקי</w:t>
      </w:r>
      <w:r w:rsidRPr="008C3D27">
        <w:rPr>
          <w:rFonts w:cs="David" w:hint="cs"/>
          <w:sz w:val="24"/>
          <w:szCs w:val="24"/>
          <w:rtl/>
        </w:rPr>
        <w:t xml:space="preserve"> על דחייה לא מוצדקת של התביעה, ובית המשפט אינו מוגבל לכפל התגמולים, ואפילו לא לתקרת סכום הביטוח! </w:t>
      </w:r>
    </w:p>
    <w:p w:rsidR="008C3D27" w:rsidRPr="008C3D27" w:rsidRDefault="008C3D27" w:rsidP="008C3D27">
      <w:pPr>
        <w:spacing w:line="360" w:lineRule="exact"/>
        <w:ind w:left="360"/>
        <w:jc w:val="both"/>
        <w:rPr>
          <w:rFonts w:cs="David"/>
          <w:sz w:val="24"/>
          <w:szCs w:val="24"/>
          <w:rtl/>
        </w:rPr>
      </w:pPr>
    </w:p>
    <w:p w:rsidR="008C3D27" w:rsidRPr="00782601" w:rsidRDefault="008C3D27" w:rsidP="008C3D27">
      <w:pPr>
        <w:spacing w:line="360" w:lineRule="exact"/>
        <w:ind w:left="360"/>
        <w:jc w:val="both"/>
        <w:rPr>
          <w:rFonts w:cs="David"/>
          <w:b/>
          <w:bCs/>
          <w:sz w:val="24"/>
          <w:szCs w:val="24"/>
          <w:rtl/>
        </w:rPr>
      </w:pPr>
      <w:r w:rsidRPr="00782601">
        <w:rPr>
          <w:rFonts w:cs="David" w:hint="cs"/>
          <w:b/>
          <w:bCs/>
          <w:sz w:val="24"/>
          <w:szCs w:val="24"/>
          <w:rtl/>
        </w:rPr>
        <w:t>כך שלמעשה, הצעת החוק המגבילה לכפל התגמולים, מצמצמת את סמכות בית המשפט לפסוק את הפיצוי על הפרת חוזה הביטוח במלוא ערך הנזק שנגרם.</w:t>
      </w:r>
    </w:p>
    <w:p w:rsidR="008C3D27" w:rsidRPr="008C3D27" w:rsidRDefault="008C3D27" w:rsidP="008C3D27">
      <w:pPr>
        <w:spacing w:line="360" w:lineRule="exact"/>
        <w:ind w:left="360"/>
        <w:rPr>
          <w:rFonts w:cs="David"/>
          <w:b/>
          <w:bCs/>
          <w:sz w:val="24"/>
          <w:szCs w:val="24"/>
          <w:rtl/>
        </w:rPr>
      </w:pPr>
    </w:p>
    <w:p w:rsidR="008C3D27" w:rsidRPr="008C3D27" w:rsidRDefault="008C3D27" w:rsidP="008C3D27">
      <w:pPr>
        <w:spacing w:line="360" w:lineRule="exact"/>
        <w:rPr>
          <w:rFonts w:cs="David"/>
          <w:sz w:val="24"/>
          <w:szCs w:val="24"/>
          <w:u w:val="single"/>
          <w:rtl/>
        </w:rPr>
      </w:pPr>
      <w:r w:rsidRPr="008C3D27">
        <w:rPr>
          <w:rFonts w:cs="David" w:hint="cs"/>
          <w:sz w:val="24"/>
          <w:szCs w:val="24"/>
          <w:u w:val="single"/>
          <w:rtl/>
        </w:rPr>
        <w:t>התעלמות משינויי חקיקה:</w:t>
      </w:r>
    </w:p>
    <w:p w:rsidR="008C3D27" w:rsidRPr="008C3D27" w:rsidRDefault="008C3D27" w:rsidP="008C3D27">
      <w:pPr>
        <w:spacing w:line="360" w:lineRule="exact"/>
        <w:rPr>
          <w:rFonts w:cs="David"/>
          <w:sz w:val="24"/>
          <w:szCs w:val="24"/>
          <w:rtl/>
        </w:rPr>
      </w:pPr>
    </w:p>
    <w:p w:rsidR="008C3D27" w:rsidRPr="008C3D27" w:rsidRDefault="008C3D27" w:rsidP="008C3D27">
      <w:pPr>
        <w:widowControl w:val="0"/>
        <w:numPr>
          <w:ilvl w:val="0"/>
          <w:numId w:val="1"/>
        </w:numPr>
        <w:spacing w:line="360" w:lineRule="exact"/>
        <w:jc w:val="both"/>
        <w:rPr>
          <w:rFonts w:cs="David"/>
          <w:sz w:val="24"/>
          <w:szCs w:val="24"/>
        </w:rPr>
      </w:pPr>
      <w:r w:rsidRPr="008C3D27">
        <w:rPr>
          <w:rFonts w:cs="David" w:hint="cs"/>
          <w:sz w:val="24"/>
          <w:szCs w:val="24"/>
          <w:rtl/>
        </w:rPr>
        <w:t xml:space="preserve">הצעת החוק הנוכחית הועלתה במקורה בכנסת ה- 18 שהושבעה בפברואר 2009 (התפזרה ב- 10/12). בינתיים הוסף לחוק חוזה הביטוח התיקון מס' 4 שהרחיב את הסקנציה של ריבית מיוחדת (פי 3 מהריבית החוקית) גם על ביטוחים שאינם אישיים (בביטוחים אישיים </w:t>
      </w:r>
      <w:r w:rsidRPr="008C3D27">
        <w:rPr>
          <w:rFonts w:cs="David"/>
          <w:sz w:val="24"/>
          <w:szCs w:val="24"/>
          <w:rtl/>
        </w:rPr>
        <w:t>–</w:t>
      </w:r>
      <w:r w:rsidRPr="008C3D27">
        <w:rPr>
          <w:rFonts w:cs="David" w:hint="cs"/>
          <w:sz w:val="24"/>
          <w:szCs w:val="24"/>
          <w:rtl/>
        </w:rPr>
        <w:t xml:space="preserve"> כבר ב- 1998).</w:t>
      </w:r>
    </w:p>
    <w:p w:rsidR="008C3D27" w:rsidRPr="008C3D27" w:rsidRDefault="008C3D27" w:rsidP="008C3D27">
      <w:pPr>
        <w:spacing w:line="360" w:lineRule="exact"/>
        <w:rPr>
          <w:rFonts w:cs="David"/>
          <w:sz w:val="24"/>
          <w:szCs w:val="24"/>
          <w:rtl/>
        </w:rPr>
      </w:pPr>
    </w:p>
    <w:p w:rsidR="008C3D27" w:rsidRPr="00782601" w:rsidRDefault="008C3D27" w:rsidP="008C3D27">
      <w:pPr>
        <w:spacing w:line="360" w:lineRule="exact"/>
        <w:rPr>
          <w:rFonts w:cs="David"/>
          <w:b/>
          <w:bCs/>
          <w:sz w:val="24"/>
          <w:szCs w:val="24"/>
          <w:rtl/>
        </w:rPr>
      </w:pPr>
      <w:r w:rsidRPr="00782601">
        <w:rPr>
          <w:rFonts w:cs="David" w:hint="cs"/>
          <w:b/>
          <w:bCs/>
          <w:sz w:val="24"/>
          <w:szCs w:val="24"/>
          <w:rtl/>
        </w:rPr>
        <w:t>לפיכך לשכת עורכי הדין מתנגדת להצעת החוק שכן היא עשויה לפגוע במבוטחים במקום להיטיב עימם.</w:t>
      </w:r>
    </w:p>
    <w:p w:rsidR="008C3D27" w:rsidRPr="008C3D27" w:rsidRDefault="008C3D27" w:rsidP="008C3D27">
      <w:pPr>
        <w:spacing w:line="360" w:lineRule="exact"/>
        <w:rPr>
          <w:rFonts w:cs="David"/>
          <w:b/>
          <w:bCs/>
          <w:sz w:val="24"/>
          <w:szCs w:val="24"/>
          <w:rtl/>
        </w:rPr>
      </w:pPr>
    </w:p>
    <w:p w:rsidR="008C3D27" w:rsidRPr="008C3D27" w:rsidRDefault="008C3D27" w:rsidP="008C3D27">
      <w:pPr>
        <w:spacing w:line="360" w:lineRule="exact"/>
        <w:rPr>
          <w:rFonts w:cs="David"/>
          <w:b/>
          <w:bCs/>
          <w:sz w:val="24"/>
          <w:szCs w:val="24"/>
          <w:u w:val="single"/>
          <w:rtl/>
        </w:rPr>
      </w:pPr>
      <w:r w:rsidRPr="008C3D27">
        <w:rPr>
          <w:rFonts w:cs="David" w:hint="cs"/>
          <w:b/>
          <w:bCs/>
          <w:sz w:val="24"/>
          <w:szCs w:val="24"/>
          <w:u w:val="single"/>
          <w:rtl/>
        </w:rPr>
        <w:t>הצעת התיקון לחוק חוזה הביטוח לגבי תשלום פיצוי מיוחד בביטוח סיעודי התשע"ו 2015</w:t>
      </w:r>
    </w:p>
    <w:p w:rsidR="008C3D27" w:rsidRPr="008C3D27" w:rsidRDefault="008C3D27" w:rsidP="008C3D27">
      <w:pPr>
        <w:spacing w:line="360" w:lineRule="exact"/>
        <w:jc w:val="both"/>
        <w:rPr>
          <w:rFonts w:cs="David"/>
          <w:sz w:val="24"/>
          <w:szCs w:val="24"/>
          <w:rtl/>
        </w:rPr>
      </w:pPr>
      <w:r w:rsidRPr="008C3D27">
        <w:rPr>
          <w:rFonts w:cs="David" w:hint="cs"/>
          <w:sz w:val="24"/>
          <w:szCs w:val="24"/>
          <w:rtl/>
        </w:rPr>
        <w:t>לשכת עוה"ד מתנגדת לתיקון המוצע לביטוח סיעודי מהטעמים הבאים:</w:t>
      </w:r>
    </w:p>
    <w:p w:rsidR="008C3D27" w:rsidRPr="008C3D27" w:rsidRDefault="008C3D27" w:rsidP="008C3D27">
      <w:pPr>
        <w:spacing w:line="360" w:lineRule="exact"/>
        <w:jc w:val="both"/>
        <w:rPr>
          <w:rFonts w:cs="David"/>
          <w:sz w:val="24"/>
          <w:szCs w:val="24"/>
          <w:rtl/>
        </w:rPr>
      </w:pPr>
      <w:r w:rsidRPr="008C3D27">
        <w:rPr>
          <w:rFonts w:cs="David" w:hint="cs"/>
          <w:sz w:val="24"/>
          <w:szCs w:val="24"/>
          <w:rtl/>
        </w:rPr>
        <w:t>לעמדת הלשכה אין מקום להבחין בין מבוטח סיעודי, או מבוטח שרכש ביטוח לאבדן כושר עבודה המפרנס משפחה הכוללת קטינים או חולה סרטן לו אישה וילדים שחברת הביטוח מעכבת לו כספים.</w:t>
      </w:r>
    </w:p>
    <w:p w:rsidR="008C3D27" w:rsidRPr="008C3D27" w:rsidRDefault="008C3D27" w:rsidP="008C3D27">
      <w:pPr>
        <w:spacing w:line="360" w:lineRule="exact"/>
        <w:ind w:left="360"/>
        <w:jc w:val="both"/>
        <w:rPr>
          <w:rFonts w:cs="David"/>
          <w:sz w:val="24"/>
          <w:szCs w:val="24"/>
        </w:rPr>
      </w:pPr>
    </w:p>
    <w:p w:rsidR="008C3D27" w:rsidRPr="008C3D27" w:rsidRDefault="008C3D27" w:rsidP="008C3D27">
      <w:pPr>
        <w:spacing w:line="360" w:lineRule="exact"/>
        <w:jc w:val="both"/>
        <w:rPr>
          <w:rFonts w:cs="David"/>
          <w:sz w:val="24"/>
          <w:szCs w:val="24"/>
          <w:rtl/>
        </w:rPr>
      </w:pPr>
      <w:r w:rsidRPr="008C3D27">
        <w:rPr>
          <w:rFonts w:cs="David" w:hint="cs"/>
          <w:sz w:val="24"/>
          <w:szCs w:val="24"/>
          <w:rtl/>
        </w:rPr>
        <w:t>בהצעה הקיימת קיימים כשלים נוספים:</w:t>
      </w:r>
    </w:p>
    <w:p w:rsidR="008C3D27" w:rsidRPr="008C3D27" w:rsidRDefault="008C3D27" w:rsidP="008C3D27">
      <w:pPr>
        <w:spacing w:line="360" w:lineRule="exact"/>
        <w:jc w:val="both"/>
        <w:rPr>
          <w:rFonts w:cs="David"/>
          <w:sz w:val="24"/>
          <w:szCs w:val="24"/>
          <w:rtl/>
        </w:rPr>
      </w:pPr>
      <w:r w:rsidRPr="008C3D27">
        <w:rPr>
          <w:rFonts w:cs="David" w:hint="cs"/>
          <w:sz w:val="24"/>
          <w:szCs w:val="24"/>
          <w:rtl/>
        </w:rPr>
        <w:lastRenderedPageBreak/>
        <w:t xml:space="preserve">הצעת החוק הנוכחית מאפשרת פיצוי רק במקרה שמבטח לא שילם תגמולי ביטוח במועדם, או שחדל מתשלומם. ההצעה אינה נותנת פתרון לדחיית כיסוי ביטוחי שהתברר שהייתה לא כדין. </w:t>
      </w:r>
    </w:p>
    <w:p w:rsidR="008C3D27" w:rsidRPr="008C3D27" w:rsidRDefault="008C3D27" w:rsidP="008C3D27">
      <w:pPr>
        <w:spacing w:line="360" w:lineRule="exact"/>
        <w:jc w:val="both"/>
        <w:rPr>
          <w:rFonts w:cs="David"/>
          <w:sz w:val="24"/>
          <w:szCs w:val="24"/>
          <w:rtl/>
        </w:rPr>
      </w:pPr>
    </w:p>
    <w:p w:rsidR="008C3D27" w:rsidRPr="008C3D27" w:rsidRDefault="008C3D27" w:rsidP="008C3D27">
      <w:pPr>
        <w:spacing w:line="360" w:lineRule="exact"/>
        <w:jc w:val="both"/>
        <w:rPr>
          <w:rFonts w:cs="David"/>
          <w:sz w:val="24"/>
          <w:szCs w:val="24"/>
          <w:rtl/>
        </w:rPr>
      </w:pPr>
      <w:r w:rsidRPr="008C3D27">
        <w:rPr>
          <w:rFonts w:cs="David" w:hint="cs"/>
          <w:sz w:val="24"/>
          <w:szCs w:val="24"/>
          <w:rtl/>
        </w:rPr>
        <w:t>מאידך, הצעת החוק אינה מתנה את מחדלה של חברת הביטוח במעשה שלא כדין או בחוסר תום לב מהטעם "שהשאלה אם המחלוקת הייתה בתום לב, אם לא עוררה קשיים לא מבוטלים"- ההצעה מתעלמת מהאפשרות להתייחס למעשי חברת הביטוח "שלא כדין" במקום בחוסר תום לב.</w:t>
      </w:r>
    </w:p>
    <w:p w:rsidR="008C3D27" w:rsidRPr="008C3D27" w:rsidRDefault="008C3D27" w:rsidP="008C3D27">
      <w:pPr>
        <w:spacing w:line="360" w:lineRule="exact"/>
        <w:jc w:val="both"/>
        <w:rPr>
          <w:rFonts w:cs="David"/>
          <w:sz w:val="24"/>
          <w:szCs w:val="24"/>
          <w:rtl/>
        </w:rPr>
      </w:pPr>
    </w:p>
    <w:p w:rsidR="008C3D27" w:rsidRPr="008C3D27" w:rsidRDefault="008C3D27" w:rsidP="008C3D27">
      <w:pPr>
        <w:spacing w:line="360" w:lineRule="exact"/>
        <w:jc w:val="both"/>
        <w:rPr>
          <w:rFonts w:cs="David"/>
          <w:sz w:val="24"/>
          <w:szCs w:val="24"/>
          <w:rtl/>
        </w:rPr>
      </w:pPr>
      <w:r w:rsidRPr="008C3D27">
        <w:rPr>
          <w:rFonts w:cs="David" w:hint="cs"/>
          <w:sz w:val="24"/>
          <w:szCs w:val="24"/>
          <w:rtl/>
        </w:rPr>
        <w:t xml:space="preserve">קביעה זו מאפשרת הטלת "עונש" על חברת ביטוח גם אם החלטתה שלא לשלם הייתה כדין. לדוגמא במקרים שהמבוטח לא שילם פרמיה, ביטל את הביטוח וחלה מיד לאחר מכן וביהמ"ש החליט למרות מחדלו של המבוטח לקבוע כי הביטוח חל- האם במקרה כזה מגיע עונש לחברת הביטוח?. </w:t>
      </w:r>
    </w:p>
    <w:p w:rsidR="008C3D27" w:rsidRPr="008C3D27" w:rsidRDefault="008C3D27" w:rsidP="008C3D27">
      <w:pPr>
        <w:spacing w:line="360" w:lineRule="exact"/>
        <w:jc w:val="both"/>
        <w:rPr>
          <w:rFonts w:cs="David"/>
          <w:sz w:val="24"/>
          <w:szCs w:val="24"/>
          <w:rtl/>
        </w:rPr>
      </w:pPr>
      <w:r w:rsidRPr="008C3D27">
        <w:rPr>
          <w:rFonts w:cs="David" w:hint="cs"/>
          <w:sz w:val="24"/>
          <w:szCs w:val="24"/>
          <w:rtl/>
        </w:rPr>
        <w:t>אין זה ראוי כי בספר החוקים יכלל סעיף המטיל "עונש" על מי שממצה את זכויותיו כדין.</w:t>
      </w:r>
    </w:p>
    <w:p w:rsidR="008C3D27" w:rsidRPr="008C3D27" w:rsidRDefault="008C3D27" w:rsidP="008C3D27">
      <w:pPr>
        <w:spacing w:line="360" w:lineRule="exact"/>
        <w:jc w:val="both"/>
        <w:rPr>
          <w:rFonts w:cs="David"/>
          <w:sz w:val="24"/>
          <w:szCs w:val="24"/>
          <w:rtl/>
        </w:rPr>
      </w:pPr>
    </w:p>
    <w:p w:rsidR="008C3D27" w:rsidRDefault="008C3D27" w:rsidP="008C3D27">
      <w:pPr>
        <w:spacing w:line="360" w:lineRule="exact"/>
        <w:jc w:val="both"/>
        <w:rPr>
          <w:rFonts w:cs="David"/>
          <w:sz w:val="24"/>
          <w:szCs w:val="24"/>
          <w:rtl/>
        </w:rPr>
      </w:pPr>
      <w:r w:rsidRPr="008C3D27">
        <w:rPr>
          <w:rFonts w:cs="David" w:hint="cs"/>
          <w:sz w:val="24"/>
          <w:szCs w:val="24"/>
          <w:rtl/>
        </w:rPr>
        <w:t xml:space="preserve">הערה נוספת מתייחסת לשימוש במונח "ביטוח סיעודי" שאינו מונח שהחוק משתמש בו. המונח הרלוונטי הינו "ביטוח נכות ומחלה" מונח זה שהוא שם כללי לביטוחים הכולל ביטוח סיעודי. </w:t>
      </w:r>
    </w:p>
    <w:p w:rsidR="008F417C" w:rsidRDefault="008F417C" w:rsidP="008C3D27">
      <w:pPr>
        <w:spacing w:line="360" w:lineRule="exact"/>
        <w:jc w:val="both"/>
        <w:rPr>
          <w:rFonts w:cs="David"/>
          <w:sz w:val="24"/>
          <w:szCs w:val="24"/>
          <w:rtl/>
        </w:rPr>
      </w:pPr>
    </w:p>
    <w:p w:rsidR="008C3D27" w:rsidRPr="00806412" w:rsidRDefault="008C3D27" w:rsidP="008C3D27">
      <w:pPr>
        <w:spacing w:line="360" w:lineRule="exact"/>
        <w:jc w:val="both"/>
        <w:rPr>
          <w:rFonts w:cs="David"/>
          <w:b/>
          <w:bCs/>
          <w:sz w:val="24"/>
          <w:szCs w:val="24"/>
          <w:rtl/>
        </w:rPr>
      </w:pPr>
      <w:r w:rsidRPr="00806412">
        <w:rPr>
          <w:rFonts w:cs="David" w:hint="cs"/>
          <w:b/>
          <w:bCs/>
          <w:sz w:val="24"/>
          <w:szCs w:val="24"/>
          <w:rtl/>
        </w:rPr>
        <w:t>לפיכך, ממליצה הלשכה לשנות את חלקו הראשון של הסעיף המוצע כדלקמן</w:t>
      </w:r>
      <w:r w:rsidRPr="00806412">
        <w:rPr>
          <w:rFonts w:cs="David"/>
          <w:b/>
          <w:bCs/>
          <w:sz w:val="24"/>
          <w:szCs w:val="24"/>
        </w:rPr>
        <w:t>:</w:t>
      </w:r>
    </w:p>
    <w:p w:rsidR="008C3D27" w:rsidRPr="008C3D27" w:rsidRDefault="008C3D27" w:rsidP="008C3D27">
      <w:pPr>
        <w:spacing w:line="360" w:lineRule="exact"/>
        <w:jc w:val="both"/>
        <w:rPr>
          <w:rFonts w:cs="David"/>
          <w:sz w:val="24"/>
          <w:szCs w:val="24"/>
          <w:rtl/>
        </w:rPr>
      </w:pPr>
      <w:r w:rsidRPr="008C3D27">
        <w:rPr>
          <w:rFonts w:cs="David" w:hint="cs"/>
          <w:sz w:val="24"/>
          <w:szCs w:val="24"/>
          <w:rtl/>
        </w:rPr>
        <w:t xml:space="preserve">"מבטח בביטוח נכות ומחלה שסרב לשלם תגמולי ביטוח שלא כדין, או שלא שילם את תגמולי הביטוח שלא כדין במועדים שבהם היה עליו לשלמם לפי סעיף 27 או חדל מתשלומם שלא כדין יחייבו בית המשפט בפיצוי מיוחד". </w:t>
      </w:r>
    </w:p>
    <w:p w:rsidR="008C3D27" w:rsidRDefault="008C3D27" w:rsidP="008C3D27">
      <w:pPr>
        <w:spacing w:line="360" w:lineRule="exact"/>
        <w:rPr>
          <w:rFonts w:cs="David"/>
          <w:sz w:val="24"/>
          <w:szCs w:val="24"/>
          <w:rtl/>
        </w:rPr>
      </w:pPr>
      <w:r w:rsidRPr="008C3D27">
        <w:rPr>
          <w:rFonts w:cs="David" w:hint="cs"/>
          <w:sz w:val="24"/>
          <w:szCs w:val="24"/>
          <w:rtl/>
        </w:rPr>
        <w:t>המשך הסעיף ישאר כמוצע.</w:t>
      </w:r>
    </w:p>
    <w:p w:rsidR="008C3D27" w:rsidRDefault="00762D17" w:rsidP="008C3D27">
      <w:pPr>
        <w:spacing w:line="360" w:lineRule="exact"/>
        <w:rPr>
          <w:rFonts w:cs="David"/>
          <w:sz w:val="24"/>
          <w:szCs w:val="24"/>
          <w:rtl/>
        </w:rPr>
      </w:pPr>
      <w:r>
        <w:rPr>
          <w:rFonts w:cs="David"/>
          <w:sz w:val="24"/>
          <w:szCs w:val="24"/>
          <w:rtl/>
          <w:lang w:eastAsia="en-US"/>
        </w:rPr>
        <w:drawing>
          <wp:anchor distT="0" distB="0" distL="114300" distR="114300" simplePos="0" relativeHeight="251659264" behindDoc="1" locked="0" layoutInCell="1" allowOverlap="1">
            <wp:simplePos x="0" y="0"/>
            <wp:positionH relativeFrom="column">
              <wp:posOffset>2207260</wp:posOffset>
            </wp:positionH>
            <wp:positionV relativeFrom="paragraph">
              <wp:posOffset>156210</wp:posOffset>
            </wp:positionV>
            <wp:extent cx="600075" cy="1704975"/>
            <wp:effectExtent l="571500" t="0" r="561975" b="0"/>
            <wp:wrapNone/>
            <wp:docPr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600075" cy="1704975"/>
                    </a:xfrm>
                    <a:prstGeom prst="rect">
                      <a:avLst/>
                    </a:prstGeom>
                    <a:noFill/>
                    <a:ln>
                      <a:noFill/>
                    </a:ln>
                  </pic:spPr>
                </pic:pic>
              </a:graphicData>
            </a:graphic>
          </wp:anchor>
        </w:drawing>
      </w:r>
    </w:p>
    <w:p w:rsidR="008C3D27" w:rsidRPr="008C3D27" w:rsidRDefault="008C3D27" w:rsidP="008C3D27">
      <w:pPr>
        <w:pStyle w:val="2"/>
        <w:tabs>
          <w:tab w:val="left" w:pos="566"/>
        </w:tabs>
        <w:spacing w:line="360" w:lineRule="auto"/>
        <w:jc w:val="both"/>
        <w:rPr>
          <w:sz w:val="24"/>
          <w:rtl/>
        </w:rPr>
      </w:pPr>
      <w:r w:rsidRPr="008C3D27">
        <w:rPr>
          <w:b w:val="0"/>
          <w:bCs w:val="0"/>
          <w:sz w:val="24"/>
          <w:rtl/>
        </w:rPr>
        <w:t>נשמח לעמוד לרשות</w:t>
      </w:r>
      <w:r w:rsidRPr="008C3D27">
        <w:rPr>
          <w:rFonts w:hint="cs"/>
          <w:b w:val="0"/>
          <w:bCs w:val="0"/>
          <w:sz w:val="24"/>
          <w:rtl/>
        </w:rPr>
        <w:t>כם למתן פרטים נוספים.</w:t>
      </w:r>
      <w:r w:rsidRPr="008C3D27">
        <w:rPr>
          <w:rFonts w:hint="cs"/>
          <w:sz w:val="24"/>
          <w:rtl/>
        </w:rPr>
        <w:tab/>
      </w:r>
    </w:p>
    <w:p w:rsidR="008C3D27" w:rsidRDefault="008C3D27" w:rsidP="008C3D27">
      <w:pPr>
        <w:spacing w:line="360" w:lineRule="exact"/>
        <w:rPr>
          <w:rFonts w:cs="David"/>
          <w:sz w:val="24"/>
          <w:szCs w:val="24"/>
          <w:rtl/>
        </w:rPr>
      </w:pPr>
    </w:p>
    <w:p w:rsidR="008C3D27" w:rsidRDefault="008C3D27" w:rsidP="008C3D27">
      <w:pPr>
        <w:spacing w:line="360" w:lineRule="exact"/>
        <w:jc w:val="center"/>
        <w:rPr>
          <w:rFonts w:cs="David"/>
          <w:sz w:val="24"/>
          <w:szCs w:val="24"/>
          <w:rtl/>
        </w:rPr>
      </w:pPr>
      <w:r>
        <w:rPr>
          <w:rFonts w:cs="David" w:hint="cs"/>
          <w:sz w:val="24"/>
          <w:szCs w:val="24"/>
          <w:rtl/>
        </w:rPr>
        <w:t>בכבוד רב,</w:t>
      </w:r>
    </w:p>
    <w:p w:rsidR="008C3D27" w:rsidRDefault="008C3D27" w:rsidP="008C3D27">
      <w:pPr>
        <w:spacing w:line="360" w:lineRule="exact"/>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sidR="00762D17">
        <w:rPr>
          <w:rFonts w:cs="David" w:hint="cs"/>
          <w:sz w:val="24"/>
          <w:szCs w:val="24"/>
          <w:rtl/>
        </w:rPr>
        <w:t xml:space="preserve">                         ב/</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8C3D27" w:rsidTr="008C3D27">
        <w:tc>
          <w:tcPr>
            <w:tcW w:w="4261" w:type="dxa"/>
          </w:tcPr>
          <w:p w:rsidR="008C3D27" w:rsidRDefault="008C3D27" w:rsidP="008C3D27">
            <w:pPr>
              <w:jc w:val="center"/>
              <w:rPr>
                <w:rFonts w:cs="David"/>
                <w:sz w:val="24"/>
                <w:szCs w:val="24"/>
                <w:rtl/>
              </w:rPr>
            </w:pPr>
            <w:r>
              <w:rPr>
                <w:rFonts w:cs="David"/>
                <w:sz w:val="24"/>
                <w:szCs w:val="24"/>
                <w:rtl/>
              </w:rPr>
              <w:t>רחל לויתן</w:t>
            </w:r>
            <w:r>
              <w:rPr>
                <w:rFonts w:cs="David" w:hint="cs"/>
                <w:sz w:val="24"/>
                <w:szCs w:val="24"/>
                <w:rtl/>
              </w:rPr>
              <w:t>, עו"ד</w:t>
            </w:r>
          </w:p>
          <w:p w:rsidR="008C3D27" w:rsidRDefault="008C3D27" w:rsidP="008C3D27">
            <w:pPr>
              <w:jc w:val="center"/>
              <w:rPr>
                <w:rFonts w:cs="David"/>
                <w:sz w:val="24"/>
                <w:szCs w:val="24"/>
                <w:rtl/>
              </w:rPr>
            </w:pPr>
            <w:r>
              <w:rPr>
                <w:rFonts w:cs="David" w:hint="cs"/>
                <w:sz w:val="24"/>
                <w:szCs w:val="24"/>
                <w:rtl/>
              </w:rPr>
              <w:t>יו"ר (משותפת)</w:t>
            </w:r>
          </w:p>
          <w:p w:rsidR="008C3D27" w:rsidRDefault="008C3D27" w:rsidP="008C3D27">
            <w:pPr>
              <w:jc w:val="center"/>
              <w:rPr>
                <w:rFonts w:cs="David"/>
                <w:sz w:val="24"/>
                <w:szCs w:val="24"/>
                <w:rtl/>
              </w:rPr>
            </w:pPr>
            <w:r>
              <w:rPr>
                <w:rFonts w:cs="David" w:hint="cs"/>
                <w:sz w:val="24"/>
                <w:szCs w:val="24"/>
                <w:rtl/>
              </w:rPr>
              <w:t>פורום דיני ביטוח</w:t>
            </w:r>
          </w:p>
        </w:tc>
        <w:tc>
          <w:tcPr>
            <w:tcW w:w="4261" w:type="dxa"/>
          </w:tcPr>
          <w:p w:rsidR="008C3D27" w:rsidRDefault="008C3D27" w:rsidP="008C3D27">
            <w:pPr>
              <w:jc w:val="center"/>
              <w:rPr>
                <w:rFonts w:cs="David"/>
                <w:sz w:val="24"/>
                <w:szCs w:val="24"/>
                <w:rtl/>
              </w:rPr>
            </w:pPr>
            <w:r>
              <w:rPr>
                <w:rFonts w:cs="David"/>
                <w:sz w:val="24"/>
                <w:szCs w:val="24"/>
                <w:rtl/>
              </w:rPr>
              <w:t>אילנה סקר</w:t>
            </w:r>
            <w:r>
              <w:rPr>
                <w:rFonts w:cs="David" w:hint="cs"/>
                <w:sz w:val="24"/>
                <w:szCs w:val="24"/>
                <w:rtl/>
              </w:rPr>
              <w:t>, עו"ד</w:t>
            </w:r>
          </w:p>
          <w:p w:rsidR="008C3D27" w:rsidRDefault="008C3D27" w:rsidP="008C3D27">
            <w:pPr>
              <w:jc w:val="center"/>
              <w:rPr>
                <w:rFonts w:cs="David"/>
                <w:sz w:val="24"/>
                <w:szCs w:val="24"/>
                <w:rtl/>
              </w:rPr>
            </w:pPr>
            <w:r>
              <w:rPr>
                <w:rFonts w:cs="David" w:hint="cs"/>
                <w:sz w:val="24"/>
                <w:szCs w:val="24"/>
                <w:rtl/>
              </w:rPr>
              <w:t>יו"ר (משותפת)</w:t>
            </w:r>
          </w:p>
          <w:p w:rsidR="008C3D27" w:rsidRDefault="008C3D27" w:rsidP="008C3D27">
            <w:pPr>
              <w:jc w:val="center"/>
              <w:rPr>
                <w:rFonts w:cs="David"/>
                <w:sz w:val="24"/>
                <w:szCs w:val="24"/>
                <w:rtl/>
              </w:rPr>
            </w:pPr>
            <w:r>
              <w:rPr>
                <w:rFonts w:cs="David" w:hint="cs"/>
                <w:sz w:val="24"/>
                <w:szCs w:val="24"/>
                <w:rtl/>
              </w:rPr>
              <w:t>פורום דיני ביטוח</w:t>
            </w:r>
          </w:p>
        </w:tc>
      </w:tr>
    </w:tbl>
    <w:p w:rsidR="008C3D27" w:rsidRDefault="008C3D27" w:rsidP="008C3D27">
      <w:pPr>
        <w:spacing w:line="360" w:lineRule="exact"/>
        <w:rPr>
          <w:rFonts w:cs="David"/>
          <w:sz w:val="24"/>
          <w:szCs w:val="24"/>
          <w:rtl/>
        </w:rPr>
      </w:pPr>
    </w:p>
    <w:p w:rsidR="00782601" w:rsidRDefault="00782601" w:rsidP="008F417C">
      <w:pPr>
        <w:rPr>
          <w:rFonts w:cs="David"/>
          <w:b/>
          <w:bCs/>
          <w:sz w:val="24"/>
          <w:szCs w:val="24"/>
          <w:u w:val="single"/>
          <w:rtl/>
          <w:lang w:eastAsia="en-US"/>
        </w:rPr>
      </w:pPr>
    </w:p>
    <w:p w:rsidR="008F417C" w:rsidRPr="00C35DCF" w:rsidRDefault="008F417C" w:rsidP="008F417C">
      <w:pPr>
        <w:rPr>
          <w:rFonts w:cs="David"/>
          <w:sz w:val="24"/>
          <w:szCs w:val="24"/>
          <w:rtl/>
          <w:lang w:eastAsia="en-US"/>
        </w:rPr>
      </w:pPr>
      <w:r w:rsidRPr="00CE1151">
        <w:rPr>
          <w:rFonts w:cs="David" w:hint="cs"/>
          <w:b/>
          <w:bCs/>
          <w:sz w:val="24"/>
          <w:szCs w:val="24"/>
          <w:u w:val="single"/>
          <w:rtl/>
          <w:lang w:eastAsia="en-US"/>
        </w:rPr>
        <w:t>העתקים</w:t>
      </w:r>
      <w:r>
        <w:rPr>
          <w:rFonts w:cs="David" w:hint="cs"/>
          <w:sz w:val="24"/>
          <w:szCs w:val="24"/>
          <w:rtl/>
          <w:lang w:eastAsia="en-US"/>
        </w:rPr>
        <w:t xml:space="preserve">: </w:t>
      </w:r>
    </w:p>
    <w:p w:rsidR="00C35DCF" w:rsidRDefault="008F417C" w:rsidP="00C35DCF">
      <w:pPr>
        <w:rPr>
          <w:rFonts w:cs="David"/>
          <w:sz w:val="24"/>
          <w:szCs w:val="24"/>
          <w:rtl/>
          <w:lang w:eastAsia="en-US"/>
        </w:rPr>
      </w:pPr>
      <w:r>
        <w:rPr>
          <w:rFonts w:cs="David" w:hint="cs"/>
          <w:sz w:val="24"/>
          <w:szCs w:val="24"/>
          <w:rtl/>
          <w:lang w:eastAsia="en-US"/>
        </w:rPr>
        <w:t>עו"ד אפי נוה, ראש הלשכה</w:t>
      </w:r>
    </w:p>
    <w:p w:rsidR="008F417C" w:rsidRDefault="008F417C" w:rsidP="00C35DCF">
      <w:pPr>
        <w:rPr>
          <w:rFonts w:cs="David"/>
          <w:sz w:val="24"/>
          <w:szCs w:val="24"/>
          <w:rtl/>
          <w:lang w:eastAsia="en-US"/>
        </w:rPr>
      </w:pPr>
      <w:r>
        <w:rPr>
          <w:rFonts w:cs="David" w:hint="cs"/>
          <w:sz w:val="24"/>
          <w:szCs w:val="24"/>
          <w:rtl/>
          <w:lang w:eastAsia="en-US"/>
        </w:rPr>
        <w:t>מר אורי אלפרסי, מנכ"ל הלשה</w:t>
      </w:r>
    </w:p>
    <w:p w:rsidR="008F417C" w:rsidRDefault="008F417C" w:rsidP="00C35DCF">
      <w:pPr>
        <w:rPr>
          <w:rFonts w:cs="David"/>
          <w:sz w:val="24"/>
          <w:szCs w:val="24"/>
          <w:rtl/>
          <w:lang w:eastAsia="en-US"/>
        </w:rPr>
      </w:pPr>
      <w:r>
        <w:rPr>
          <w:rFonts w:cs="David" w:hint="cs"/>
          <w:sz w:val="24"/>
          <w:szCs w:val="24"/>
          <w:rtl/>
          <w:lang w:eastAsia="en-US"/>
        </w:rPr>
        <w:t>עו"ד רוית טוכמן, ממונה ועדת דיני ביטוח</w:t>
      </w:r>
    </w:p>
    <w:p w:rsidR="00C35DCF" w:rsidRPr="00C35DCF" w:rsidRDefault="008F417C" w:rsidP="008F417C">
      <w:pPr>
        <w:rPr>
          <w:rFonts w:cs="David"/>
          <w:sz w:val="24"/>
          <w:szCs w:val="24"/>
          <w:rtl/>
          <w:lang w:eastAsia="en-US"/>
        </w:rPr>
      </w:pPr>
      <w:r>
        <w:rPr>
          <w:rFonts w:cs="David" w:hint="cs"/>
          <w:sz w:val="24"/>
          <w:szCs w:val="24"/>
          <w:rtl/>
          <w:lang w:eastAsia="en-US"/>
        </w:rPr>
        <w:t>גב' דנית בוסקילה, מנהלת יחידת הכנסת</w:t>
      </w:r>
    </w:p>
    <w:sectPr w:rsidR="00C35DCF" w:rsidRPr="00C35DCF" w:rsidSect="00B1776F">
      <w:headerReference w:type="default" r:id="rId8"/>
      <w:footerReference w:type="default" r:id="rId9"/>
      <w:endnotePr>
        <w:numFmt w:val="lowerLetter"/>
      </w:endnotePr>
      <w:type w:val="continuous"/>
      <w:pgSz w:w="11906" w:h="16838"/>
      <w:pgMar w:top="1440" w:right="1800" w:bottom="1440" w:left="1800" w:header="720" w:footer="366" w:gutter="0"/>
      <w:pgNumType w:start="1"/>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BC0" w:rsidRDefault="00D65BC0">
      <w:r>
        <w:separator/>
      </w:r>
    </w:p>
  </w:endnote>
  <w:endnote w:type="continuationSeparator" w:id="0">
    <w:p w:rsidR="00D65BC0" w:rsidRDefault="00D65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10349" w:type="dxa"/>
      <w:jc w:val="center"/>
      <w:tblLayout w:type="fixed"/>
      <w:tblLook w:val="0000" w:firstRow="0" w:lastRow="0" w:firstColumn="0" w:lastColumn="0" w:noHBand="0" w:noVBand="0"/>
    </w:tblPr>
    <w:tblGrid>
      <w:gridCol w:w="10349"/>
    </w:tblGrid>
    <w:tr w:rsidR="008C6932" w:rsidTr="00F9299D">
      <w:trPr>
        <w:jc w:val="center"/>
      </w:trPr>
      <w:tc>
        <w:tcPr>
          <w:tcW w:w="10349" w:type="dxa"/>
          <w:tcBorders>
            <w:top w:val="single" w:sz="12" w:space="0" w:color="auto"/>
          </w:tcBorders>
        </w:tcPr>
        <w:p w:rsidR="008C6932" w:rsidRPr="003124AB" w:rsidRDefault="008C6932" w:rsidP="00F9299D">
          <w:pPr>
            <w:pStyle w:val="a5"/>
            <w:jc w:val="center"/>
            <w:rPr>
              <w:rFonts w:ascii="Tahoma" w:hAnsi="Tahoma" w:cs="Tahoma"/>
              <w:sz w:val="16"/>
              <w:szCs w:val="16"/>
            </w:rPr>
          </w:pPr>
          <w:r w:rsidRPr="003124AB">
            <w:rPr>
              <w:rFonts w:ascii="Tahoma" w:hAnsi="Tahoma" w:cs="Tahoma"/>
              <w:sz w:val="16"/>
              <w:szCs w:val="16"/>
              <w:rtl/>
            </w:rPr>
            <w:t>רח' דניאל פריש 10, תל-אביב 64731, טל</w:t>
          </w:r>
          <w:r>
            <w:rPr>
              <w:rFonts w:ascii="Tahoma" w:hAnsi="Tahoma" w:cs="Tahoma" w:hint="cs"/>
              <w:sz w:val="16"/>
              <w:szCs w:val="16"/>
              <w:rtl/>
            </w:rPr>
            <w:t>: 1-599-500-606</w:t>
          </w:r>
          <w:r w:rsidRPr="003124AB">
            <w:rPr>
              <w:rFonts w:ascii="Tahoma" w:hAnsi="Tahoma" w:cs="Tahoma"/>
              <w:sz w:val="16"/>
              <w:szCs w:val="16"/>
              <w:rtl/>
            </w:rPr>
            <w:t>, פקס</w:t>
          </w:r>
          <w:r>
            <w:rPr>
              <w:rFonts w:ascii="Tahoma" w:hAnsi="Tahoma" w:cs="Tahoma"/>
              <w:sz w:val="16"/>
              <w:szCs w:val="16"/>
            </w:rPr>
            <w:t>:</w:t>
          </w:r>
          <w:r w:rsidRPr="003124AB">
            <w:rPr>
              <w:rFonts w:ascii="Tahoma" w:hAnsi="Tahoma" w:cs="Tahoma"/>
              <w:sz w:val="16"/>
              <w:szCs w:val="16"/>
              <w:rtl/>
            </w:rPr>
            <w:t xml:space="preserve"> 03-6918696</w:t>
          </w:r>
          <w:r w:rsidRPr="003124AB">
            <w:rPr>
              <w:rFonts w:ascii="Tahoma" w:hAnsi="Tahoma" w:cs="Tahoma"/>
              <w:sz w:val="16"/>
              <w:szCs w:val="16"/>
            </w:rPr>
            <w:t>Fax</w:t>
          </w:r>
          <w:r>
            <w:rPr>
              <w:rFonts w:ascii="Tahoma" w:hAnsi="Tahoma" w:cs="Tahoma"/>
              <w:sz w:val="16"/>
              <w:szCs w:val="16"/>
            </w:rPr>
            <w:t>:</w:t>
          </w:r>
          <w:r w:rsidRPr="003124AB">
            <w:rPr>
              <w:rFonts w:ascii="Tahoma" w:hAnsi="Tahoma" w:cs="Tahoma"/>
              <w:sz w:val="16"/>
              <w:szCs w:val="16"/>
            </w:rPr>
            <w:t xml:space="preserve"> </w:t>
          </w:r>
          <w:r w:rsidRPr="003124AB">
            <w:rPr>
              <w:rFonts w:ascii="Tahoma" w:hAnsi="Tahoma" w:cs="Tahoma"/>
              <w:sz w:val="16"/>
              <w:szCs w:val="16"/>
              <w:rtl/>
            </w:rPr>
            <w:t xml:space="preserve"> </w:t>
          </w:r>
          <w:r w:rsidRPr="003124AB">
            <w:rPr>
              <w:rFonts w:ascii="Tahoma" w:hAnsi="Tahoma" w:cs="Tahoma"/>
              <w:sz w:val="16"/>
              <w:szCs w:val="16"/>
            </w:rPr>
            <w:t xml:space="preserve">10 DANIEL FRISH St. </w:t>
          </w:r>
          <w:smartTag w:uri="urn:schemas-microsoft-com:office:smarttags" w:element="place">
            <w:smartTag w:uri="urn:schemas-microsoft-com:office:smarttags" w:element="City">
              <w:r w:rsidRPr="003124AB">
                <w:rPr>
                  <w:rFonts w:ascii="Tahoma" w:hAnsi="Tahoma" w:cs="Tahoma"/>
                  <w:sz w:val="16"/>
                  <w:szCs w:val="16"/>
                </w:rPr>
                <w:t>TEL-AVIV</w:t>
              </w:r>
            </w:smartTag>
            <w:r w:rsidRPr="003124AB">
              <w:rPr>
                <w:rFonts w:ascii="Tahoma" w:hAnsi="Tahoma" w:cs="Tahoma"/>
                <w:sz w:val="16"/>
                <w:szCs w:val="16"/>
              </w:rPr>
              <w:t xml:space="preserve"> </w:t>
            </w:r>
            <w:smartTag w:uri="urn:schemas-microsoft-com:office:smarttags" w:element="Street">
              <w:r w:rsidRPr="003124AB">
                <w:rPr>
                  <w:rFonts w:ascii="Tahoma" w:hAnsi="Tahoma" w:cs="Tahoma"/>
                  <w:sz w:val="16"/>
                  <w:szCs w:val="16"/>
                </w:rPr>
                <w:t>64731</w:t>
              </w:r>
            </w:smartTag>
          </w:smartTag>
          <w:r w:rsidRPr="003124AB">
            <w:rPr>
              <w:rFonts w:ascii="Tahoma" w:hAnsi="Tahoma" w:cs="Tahoma"/>
              <w:sz w:val="16"/>
              <w:szCs w:val="16"/>
            </w:rPr>
            <w:t xml:space="preserve">, Tel. </w:t>
          </w:r>
          <w:r>
            <w:rPr>
              <w:rFonts w:ascii="Tahoma" w:hAnsi="Tahoma" w:cs="Tahoma"/>
              <w:sz w:val="16"/>
              <w:szCs w:val="16"/>
            </w:rPr>
            <w:t>1-599-500-606</w:t>
          </w:r>
        </w:p>
      </w:tc>
    </w:tr>
    <w:tr w:rsidR="008C6932" w:rsidTr="00F9299D">
      <w:trPr>
        <w:jc w:val="center"/>
      </w:trPr>
      <w:tc>
        <w:tcPr>
          <w:tcW w:w="10349" w:type="dxa"/>
        </w:tcPr>
        <w:p w:rsidR="008C6932" w:rsidRPr="003124AB" w:rsidRDefault="008C6932" w:rsidP="00F9299D">
          <w:pPr>
            <w:pStyle w:val="a5"/>
            <w:jc w:val="center"/>
            <w:rPr>
              <w:rFonts w:ascii="Tahoma" w:hAnsi="Tahoma" w:cs="Tahoma"/>
              <w:sz w:val="16"/>
              <w:szCs w:val="16"/>
              <w:rtl/>
            </w:rPr>
          </w:pPr>
          <w:r w:rsidRPr="003124AB">
            <w:rPr>
              <w:rFonts w:ascii="Tahoma" w:hAnsi="Tahoma" w:cs="Tahoma"/>
              <w:sz w:val="16"/>
              <w:szCs w:val="16"/>
              <w:rtl/>
            </w:rPr>
            <w:t xml:space="preserve">רח'  שופן 1, </w:t>
          </w:r>
          <w:r>
            <w:rPr>
              <w:rFonts w:ascii="Tahoma" w:hAnsi="Tahoma" w:cs="Tahoma" w:hint="cs"/>
              <w:sz w:val="16"/>
              <w:szCs w:val="16"/>
              <w:rtl/>
            </w:rPr>
            <w:t xml:space="preserve">  </w:t>
          </w:r>
          <w:r w:rsidRPr="003124AB">
            <w:rPr>
              <w:rFonts w:ascii="Tahoma" w:hAnsi="Tahoma" w:cs="Tahoma"/>
              <w:sz w:val="16"/>
              <w:szCs w:val="16"/>
              <w:rtl/>
            </w:rPr>
            <w:t xml:space="preserve">  ירושלים 92190,  טל. </w:t>
          </w:r>
          <w:r>
            <w:rPr>
              <w:rFonts w:ascii="Tahoma" w:hAnsi="Tahoma" w:cs="Tahoma" w:hint="cs"/>
              <w:sz w:val="16"/>
              <w:szCs w:val="16"/>
              <w:rtl/>
            </w:rPr>
            <w:t>1-599-500-606,</w:t>
          </w:r>
          <w:r w:rsidRPr="003124AB">
            <w:rPr>
              <w:rFonts w:ascii="Tahoma" w:hAnsi="Tahoma" w:cs="Tahoma"/>
              <w:sz w:val="16"/>
              <w:szCs w:val="16"/>
              <w:rtl/>
            </w:rPr>
            <w:t xml:space="preserve">   פקס</w:t>
          </w:r>
          <w:r>
            <w:rPr>
              <w:rFonts w:ascii="Tahoma" w:hAnsi="Tahoma" w:cs="Tahoma"/>
              <w:sz w:val="16"/>
              <w:szCs w:val="16"/>
            </w:rPr>
            <w:t>:</w:t>
          </w:r>
          <w:r w:rsidRPr="003124AB">
            <w:rPr>
              <w:rFonts w:ascii="Tahoma" w:hAnsi="Tahoma" w:cs="Tahoma"/>
              <w:sz w:val="16"/>
              <w:szCs w:val="16"/>
              <w:rtl/>
            </w:rPr>
            <w:t xml:space="preserve"> </w:t>
          </w:r>
          <w:r>
            <w:rPr>
              <w:rFonts w:ascii="Tahoma" w:hAnsi="Tahoma" w:cs="Tahoma"/>
              <w:sz w:val="16"/>
              <w:szCs w:val="16"/>
            </w:rPr>
            <w:t>,</w:t>
          </w:r>
          <w:r w:rsidRPr="003124AB">
            <w:rPr>
              <w:rFonts w:ascii="Tahoma" w:hAnsi="Tahoma" w:cs="Tahoma"/>
              <w:sz w:val="16"/>
              <w:szCs w:val="16"/>
            </w:rPr>
            <w:t xml:space="preserve">  </w:t>
          </w:r>
          <w:r>
            <w:rPr>
              <w:rFonts w:ascii="Tahoma" w:hAnsi="Tahoma" w:cs="Tahoma"/>
              <w:sz w:val="16"/>
              <w:szCs w:val="16"/>
            </w:rPr>
            <w:t xml:space="preserve"> </w:t>
          </w:r>
          <w:r w:rsidRPr="003124AB">
            <w:rPr>
              <w:rFonts w:ascii="Tahoma" w:hAnsi="Tahoma" w:cs="Tahoma"/>
              <w:sz w:val="16"/>
              <w:szCs w:val="16"/>
            </w:rPr>
            <w:t xml:space="preserve">  Fax</w:t>
          </w:r>
          <w:r>
            <w:rPr>
              <w:rFonts w:ascii="Tahoma" w:hAnsi="Tahoma" w:cs="Tahoma"/>
              <w:sz w:val="16"/>
              <w:szCs w:val="16"/>
            </w:rPr>
            <w:t xml:space="preserve">: </w:t>
          </w:r>
          <w:r w:rsidRPr="003124AB">
            <w:rPr>
              <w:rFonts w:ascii="Tahoma" w:hAnsi="Tahoma" w:cs="Tahoma"/>
              <w:sz w:val="16"/>
              <w:szCs w:val="16"/>
            </w:rPr>
            <w:t xml:space="preserve"> 02-5610062 </w:t>
          </w:r>
          <w:r>
            <w:rPr>
              <w:rFonts w:ascii="Tahoma" w:hAnsi="Tahoma" w:cs="Tahoma" w:hint="cs"/>
              <w:sz w:val="16"/>
              <w:szCs w:val="16"/>
              <w:rtl/>
            </w:rPr>
            <w:t xml:space="preserve"> 1-599-500-606</w:t>
          </w:r>
          <w:r w:rsidRPr="003124AB">
            <w:rPr>
              <w:rFonts w:ascii="Tahoma" w:hAnsi="Tahoma" w:cs="Tahoma"/>
              <w:sz w:val="16"/>
              <w:szCs w:val="16"/>
              <w:rtl/>
            </w:rPr>
            <w:t xml:space="preserve"> .</w:t>
          </w:r>
          <w:r w:rsidRPr="003124AB">
            <w:rPr>
              <w:rFonts w:ascii="Tahoma" w:hAnsi="Tahoma" w:cs="Tahoma"/>
              <w:sz w:val="16"/>
              <w:szCs w:val="16"/>
            </w:rPr>
            <w:t xml:space="preserve">TEL </w:t>
          </w:r>
          <w:r w:rsidRPr="003124AB">
            <w:rPr>
              <w:rFonts w:ascii="Tahoma" w:hAnsi="Tahoma" w:cs="Tahoma"/>
              <w:sz w:val="16"/>
              <w:szCs w:val="16"/>
              <w:rtl/>
            </w:rPr>
            <w:t xml:space="preserve"> ,92190   </w:t>
          </w:r>
          <w:r w:rsidRPr="003124AB">
            <w:rPr>
              <w:rFonts w:ascii="Tahoma" w:hAnsi="Tahoma" w:cs="Tahoma"/>
              <w:sz w:val="16"/>
              <w:szCs w:val="16"/>
            </w:rPr>
            <w:t>JERUSALEM</w:t>
          </w:r>
          <w:r w:rsidRPr="003124AB">
            <w:rPr>
              <w:rFonts w:ascii="Tahoma" w:hAnsi="Tahoma" w:cs="Tahoma"/>
              <w:sz w:val="16"/>
              <w:szCs w:val="16"/>
              <w:rtl/>
            </w:rPr>
            <w:t xml:space="preserve">  .</w:t>
          </w:r>
          <w:r w:rsidRPr="003124AB">
            <w:rPr>
              <w:rFonts w:ascii="Tahoma" w:hAnsi="Tahoma" w:cs="Tahoma"/>
              <w:sz w:val="16"/>
              <w:szCs w:val="16"/>
            </w:rPr>
            <w:t>CHOPIN St</w:t>
          </w:r>
          <w:r w:rsidRPr="003124AB">
            <w:rPr>
              <w:rFonts w:ascii="Tahoma" w:hAnsi="Tahoma" w:cs="Tahoma"/>
              <w:sz w:val="16"/>
              <w:szCs w:val="16"/>
              <w:rtl/>
            </w:rPr>
            <w:t xml:space="preserve"> 1</w:t>
          </w:r>
        </w:p>
      </w:tc>
    </w:tr>
    <w:tr w:rsidR="008C6932" w:rsidRPr="001E3698" w:rsidTr="00F9299D">
      <w:trPr>
        <w:jc w:val="center"/>
      </w:trPr>
      <w:tc>
        <w:tcPr>
          <w:tcW w:w="10349" w:type="dxa"/>
        </w:tcPr>
        <w:p w:rsidR="008C6932" w:rsidRDefault="008C6932" w:rsidP="00F9299D">
          <w:pPr>
            <w:pStyle w:val="a5"/>
            <w:jc w:val="center"/>
            <w:rPr>
              <w:b/>
              <w:bCs/>
              <w:szCs w:val="22"/>
              <w:rtl/>
            </w:rPr>
          </w:pPr>
          <w:r>
            <w:rPr>
              <w:rFonts w:hint="cs"/>
              <w:sz w:val="18"/>
            </w:rPr>
            <w:t xml:space="preserve"> </w:t>
          </w:r>
          <w:hyperlink r:id="rId1" w:history="1">
            <w:r w:rsidRPr="001E3698">
              <w:rPr>
                <w:rStyle w:val="Hyperlink"/>
                <w:lang w:val="pt-BR"/>
              </w:rPr>
              <w:t>http://www.israelbar.org.il</w:t>
            </w:r>
          </w:hyperlink>
          <w:r w:rsidRPr="001E3698">
            <w:rPr>
              <w:sz w:val="18"/>
              <w:lang w:val="pt-BR"/>
            </w:rPr>
            <w:t xml:space="preserve">    -    </w:t>
          </w:r>
          <w:hyperlink r:id="rId2" w:history="1">
            <w:r w:rsidRPr="001E3698">
              <w:rPr>
                <w:rStyle w:val="Hyperlink"/>
                <w:lang w:val="pt-BR"/>
              </w:rPr>
              <w:t>vaadmerkazi@israelbar.org.il</w:t>
            </w:r>
          </w:hyperlink>
          <w:r>
            <w:rPr>
              <w:rFonts w:hint="cs"/>
              <w:sz w:val="18"/>
              <w:rtl/>
            </w:rPr>
            <w:t xml:space="preserve"> </w:t>
          </w:r>
          <w:r w:rsidRPr="001E3698">
            <w:rPr>
              <w:sz w:val="18"/>
              <w:lang w:val="pt-BR"/>
            </w:rPr>
            <w:t>E-mail:</w:t>
          </w:r>
        </w:p>
      </w:tc>
    </w:tr>
  </w:tbl>
  <w:p w:rsidR="008C6932" w:rsidRDefault="008C6932" w:rsidP="00B85B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BC0" w:rsidRDefault="00D65BC0">
      <w:r>
        <w:separator/>
      </w:r>
    </w:p>
  </w:footnote>
  <w:footnote w:type="continuationSeparator" w:id="0">
    <w:p w:rsidR="00D65BC0" w:rsidRDefault="00D65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932" w:rsidRPr="00286A71" w:rsidRDefault="008C6932" w:rsidP="00286A71">
    <w:pPr>
      <w:pStyle w:val="a3"/>
      <w:jc w:val="center"/>
      <w:rPr>
        <w:rtl/>
      </w:rPr>
    </w:pPr>
    <w:r>
      <w:rPr>
        <w:rFonts w:hint="cs"/>
        <w:lang w:eastAsia="en-US"/>
      </w:rPr>
      <w:drawing>
        <wp:inline distT="0" distB="0" distL="0" distR="0">
          <wp:extent cx="1426210" cy="1263015"/>
          <wp:effectExtent l="19050" t="0" r="2540" b="0"/>
          <wp:docPr id="1" name="תמונה 1" descr="IBA LOGO 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A LOGO ARABIC"/>
                  <pic:cNvPicPr>
                    <a:picLocks noChangeAspect="1" noChangeArrowheads="1"/>
                  </pic:cNvPicPr>
                </pic:nvPicPr>
                <pic:blipFill>
                  <a:blip r:embed="rId1"/>
                  <a:srcRect/>
                  <a:stretch>
                    <a:fillRect/>
                  </a:stretch>
                </pic:blipFill>
                <pic:spPr bwMode="auto">
                  <a:xfrm>
                    <a:off x="0" y="0"/>
                    <a:ext cx="1426210" cy="126301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111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3A9"/>
    <w:rsid w:val="00004A8F"/>
    <w:rsid w:val="00012116"/>
    <w:rsid w:val="00012376"/>
    <w:rsid w:val="00021051"/>
    <w:rsid w:val="00022AE3"/>
    <w:rsid w:val="0005243E"/>
    <w:rsid w:val="00057D7B"/>
    <w:rsid w:val="000963A9"/>
    <w:rsid w:val="000E5D48"/>
    <w:rsid w:val="000E6945"/>
    <w:rsid w:val="0012798C"/>
    <w:rsid w:val="00131771"/>
    <w:rsid w:val="00152DA3"/>
    <w:rsid w:val="0020230F"/>
    <w:rsid w:val="002111AB"/>
    <w:rsid w:val="002121C0"/>
    <w:rsid w:val="002179F6"/>
    <w:rsid w:val="00270F13"/>
    <w:rsid w:val="00273629"/>
    <w:rsid w:val="002738DA"/>
    <w:rsid w:val="00286A71"/>
    <w:rsid w:val="002971E5"/>
    <w:rsid w:val="002A57FA"/>
    <w:rsid w:val="002B69FE"/>
    <w:rsid w:val="002E06FC"/>
    <w:rsid w:val="00313253"/>
    <w:rsid w:val="0031782A"/>
    <w:rsid w:val="00331399"/>
    <w:rsid w:val="003533D3"/>
    <w:rsid w:val="003606A6"/>
    <w:rsid w:val="00365A5B"/>
    <w:rsid w:val="00365B9D"/>
    <w:rsid w:val="003849E3"/>
    <w:rsid w:val="00392DD4"/>
    <w:rsid w:val="003957EB"/>
    <w:rsid w:val="003A1C1F"/>
    <w:rsid w:val="003E2D24"/>
    <w:rsid w:val="003F627F"/>
    <w:rsid w:val="00405AC5"/>
    <w:rsid w:val="00414578"/>
    <w:rsid w:val="004347AC"/>
    <w:rsid w:val="0045346E"/>
    <w:rsid w:val="00454219"/>
    <w:rsid w:val="004638AE"/>
    <w:rsid w:val="00483E69"/>
    <w:rsid w:val="004E0CD2"/>
    <w:rsid w:val="004E6189"/>
    <w:rsid w:val="0050434A"/>
    <w:rsid w:val="00505DB9"/>
    <w:rsid w:val="005934B3"/>
    <w:rsid w:val="005941A9"/>
    <w:rsid w:val="005A0620"/>
    <w:rsid w:val="005D6154"/>
    <w:rsid w:val="006239FD"/>
    <w:rsid w:val="00625007"/>
    <w:rsid w:val="00650D3D"/>
    <w:rsid w:val="0065161A"/>
    <w:rsid w:val="0066572D"/>
    <w:rsid w:val="0069202B"/>
    <w:rsid w:val="0069560B"/>
    <w:rsid w:val="006963D5"/>
    <w:rsid w:val="006A313A"/>
    <w:rsid w:val="006B50F3"/>
    <w:rsid w:val="006C1003"/>
    <w:rsid w:val="006C6776"/>
    <w:rsid w:val="006E34C3"/>
    <w:rsid w:val="006F4424"/>
    <w:rsid w:val="006F78BD"/>
    <w:rsid w:val="00700CFE"/>
    <w:rsid w:val="0070697A"/>
    <w:rsid w:val="007312CB"/>
    <w:rsid w:val="00732E8B"/>
    <w:rsid w:val="00734261"/>
    <w:rsid w:val="0074024E"/>
    <w:rsid w:val="007438F9"/>
    <w:rsid w:val="00747794"/>
    <w:rsid w:val="00760C28"/>
    <w:rsid w:val="00762D17"/>
    <w:rsid w:val="00782601"/>
    <w:rsid w:val="007A02C8"/>
    <w:rsid w:val="007F49EF"/>
    <w:rsid w:val="007F64C7"/>
    <w:rsid w:val="00806412"/>
    <w:rsid w:val="00810E99"/>
    <w:rsid w:val="00835E57"/>
    <w:rsid w:val="00873E9B"/>
    <w:rsid w:val="008A5688"/>
    <w:rsid w:val="008C3D27"/>
    <w:rsid w:val="008C6932"/>
    <w:rsid w:val="008E5F01"/>
    <w:rsid w:val="008F1971"/>
    <w:rsid w:val="008F33CE"/>
    <w:rsid w:val="008F417C"/>
    <w:rsid w:val="009424E9"/>
    <w:rsid w:val="00961BE2"/>
    <w:rsid w:val="009B0997"/>
    <w:rsid w:val="00A21ADD"/>
    <w:rsid w:val="00A32E41"/>
    <w:rsid w:val="00A6590F"/>
    <w:rsid w:val="00A67E67"/>
    <w:rsid w:val="00A824E4"/>
    <w:rsid w:val="00A870EB"/>
    <w:rsid w:val="00AA3FCC"/>
    <w:rsid w:val="00AC085C"/>
    <w:rsid w:val="00AE5FF0"/>
    <w:rsid w:val="00B016CA"/>
    <w:rsid w:val="00B022A6"/>
    <w:rsid w:val="00B027E8"/>
    <w:rsid w:val="00B07FEC"/>
    <w:rsid w:val="00B10F3C"/>
    <w:rsid w:val="00B1776F"/>
    <w:rsid w:val="00B53C81"/>
    <w:rsid w:val="00B74854"/>
    <w:rsid w:val="00B85B67"/>
    <w:rsid w:val="00B90433"/>
    <w:rsid w:val="00BC5B41"/>
    <w:rsid w:val="00BE18B4"/>
    <w:rsid w:val="00BF1044"/>
    <w:rsid w:val="00BF2B96"/>
    <w:rsid w:val="00C04D9E"/>
    <w:rsid w:val="00C06B8A"/>
    <w:rsid w:val="00C17E34"/>
    <w:rsid w:val="00C35DCF"/>
    <w:rsid w:val="00C51049"/>
    <w:rsid w:val="00C56AF3"/>
    <w:rsid w:val="00C72565"/>
    <w:rsid w:val="00C73D2D"/>
    <w:rsid w:val="00C9550A"/>
    <w:rsid w:val="00CD64B4"/>
    <w:rsid w:val="00CE1151"/>
    <w:rsid w:val="00D02331"/>
    <w:rsid w:val="00D06816"/>
    <w:rsid w:val="00D11DC6"/>
    <w:rsid w:val="00D12AE4"/>
    <w:rsid w:val="00D21D87"/>
    <w:rsid w:val="00D32F62"/>
    <w:rsid w:val="00D34F98"/>
    <w:rsid w:val="00D65BC0"/>
    <w:rsid w:val="00D71157"/>
    <w:rsid w:val="00D94E50"/>
    <w:rsid w:val="00DA1F5E"/>
    <w:rsid w:val="00DA6B15"/>
    <w:rsid w:val="00DC38BC"/>
    <w:rsid w:val="00E00D25"/>
    <w:rsid w:val="00E039D7"/>
    <w:rsid w:val="00E21849"/>
    <w:rsid w:val="00E51A34"/>
    <w:rsid w:val="00E522F6"/>
    <w:rsid w:val="00E74216"/>
    <w:rsid w:val="00E769B1"/>
    <w:rsid w:val="00E832A5"/>
    <w:rsid w:val="00E943B1"/>
    <w:rsid w:val="00ED5181"/>
    <w:rsid w:val="00EE0C11"/>
    <w:rsid w:val="00EE4359"/>
    <w:rsid w:val="00EE66C8"/>
    <w:rsid w:val="00EF6BCA"/>
    <w:rsid w:val="00F03B0B"/>
    <w:rsid w:val="00F16624"/>
    <w:rsid w:val="00F4448F"/>
    <w:rsid w:val="00F60082"/>
    <w:rsid w:val="00F74216"/>
    <w:rsid w:val="00F76669"/>
    <w:rsid w:val="00F77248"/>
    <w:rsid w:val="00F9299D"/>
    <w:rsid w:val="00FB7C5C"/>
    <w:rsid w:val="00FC78AE"/>
    <w:rsid w:val="00FE4DCC"/>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City"/>
  <w:shapeDefaults>
    <o:shapedefaults v:ext="edit" spidmax="1026"/>
    <o:shapelayout v:ext="edit">
      <o:idmap v:ext="edit" data="1"/>
    </o:shapelayout>
  </w:shapeDefaults>
  <w:decimalSymbol w:val="."/>
  <w:listSeparator w:val=","/>
  <w15:docId w15:val="{A9FCF8F8-EF6B-43DB-8581-4EF54FE1D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0F3C"/>
    <w:pPr>
      <w:bidi/>
    </w:pPr>
    <w:rPr>
      <w:noProof/>
      <w:lang w:eastAsia="he-IL" w:bidi="he-IL"/>
    </w:rPr>
  </w:style>
  <w:style w:type="paragraph" w:styleId="1">
    <w:name w:val="heading 1"/>
    <w:basedOn w:val="a"/>
    <w:next w:val="a"/>
    <w:link w:val="10"/>
    <w:qFormat/>
    <w:rsid w:val="008C6932"/>
    <w:pPr>
      <w:keepNext/>
      <w:tabs>
        <w:tab w:val="left" w:pos="5953"/>
      </w:tabs>
      <w:spacing w:after="120"/>
      <w:jc w:val="center"/>
      <w:outlineLvl w:val="0"/>
    </w:pPr>
    <w:rPr>
      <w:rFonts w:cs="David"/>
      <w:b/>
      <w:bCs/>
      <w:noProof w:val="0"/>
      <w:szCs w:val="24"/>
      <w:lang w:eastAsia="en-US"/>
    </w:rPr>
  </w:style>
  <w:style w:type="paragraph" w:styleId="2">
    <w:name w:val="heading 2"/>
    <w:basedOn w:val="a"/>
    <w:next w:val="a"/>
    <w:link w:val="20"/>
    <w:qFormat/>
    <w:rsid w:val="008C6932"/>
    <w:pPr>
      <w:keepNext/>
      <w:outlineLvl w:val="1"/>
    </w:pPr>
    <w:rPr>
      <w:rFonts w:cs="David"/>
      <w:b/>
      <w:bCs/>
      <w:noProof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07FEC"/>
    <w:pPr>
      <w:tabs>
        <w:tab w:val="center" w:pos="4153"/>
        <w:tab w:val="right" w:pos="8306"/>
      </w:tabs>
    </w:pPr>
  </w:style>
  <w:style w:type="paragraph" w:styleId="a5">
    <w:name w:val="footer"/>
    <w:basedOn w:val="a"/>
    <w:link w:val="a6"/>
    <w:rsid w:val="00B07FEC"/>
    <w:pPr>
      <w:tabs>
        <w:tab w:val="center" w:pos="4153"/>
        <w:tab w:val="right" w:pos="8306"/>
      </w:tabs>
    </w:pPr>
  </w:style>
  <w:style w:type="table" w:styleId="a7">
    <w:name w:val="Table Grid"/>
    <w:basedOn w:val="a1"/>
    <w:rsid w:val="00B07FEC"/>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92DD4"/>
    <w:rPr>
      <w:color w:val="0000FF"/>
      <w:u w:val="single"/>
    </w:rPr>
  </w:style>
  <w:style w:type="character" w:customStyle="1" w:styleId="a4">
    <w:name w:val="כותרת עליונה תו"/>
    <w:link w:val="a3"/>
    <w:rsid w:val="008A5688"/>
    <w:rPr>
      <w:noProof/>
      <w:lang w:eastAsia="he-IL"/>
    </w:rPr>
  </w:style>
  <w:style w:type="character" w:customStyle="1" w:styleId="a6">
    <w:name w:val="כותרת תחתונה תו"/>
    <w:link w:val="a5"/>
    <w:rsid w:val="008A5688"/>
    <w:rPr>
      <w:noProof/>
      <w:lang w:eastAsia="he-IL"/>
    </w:rPr>
  </w:style>
  <w:style w:type="paragraph" w:styleId="a8">
    <w:name w:val="Balloon Text"/>
    <w:basedOn w:val="a"/>
    <w:link w:val="a9"/>
    <w:rsid w:val="008C6932"/>
    <w:rPr>
      <w:rFonts w:ascii="Tahoma" w:hAnsi="Tahoma" w:cs="Tahoma"/>
      <w:sz w:val="16"/>
      <w:szCs w:val="16"/>
    </w:rPr>
  </w:style>
  <w:style w:type="character" w:customStyle="1" w:styleId="a9">
    <w:name w:val="טקסט בלונים תו"/>
    <w:basedOn w:val="a0"/>
    <w:link w:val="a8"/>
    <w:rsid w:val="008C6932"/>
    <w:rPr>
      <w:rFonts w:ascii="Tahoma" w:hAnsi="Tahoma" w:cs="Tahoma"/>
      <w:noProof/>
      <w:sz w:val="16"/>
      <w:szCs w:val="16"/>
      <w:lang w:eastAsia="he-IL" w:bidi="he-IL"/>
    </w:rPr>
  </w:style>
  <w:style w:type="character" w:customStyle="1" w:styleId="10">
    <w:name w:val="כותרת 1 תו"/>
    <w:basedOn w:val="a0"/>
    <w:link w:val="1"/>
    <w:rsid w:val="008C6932"/>
    <w:rPr>
      <w:rFonts w:cs="David"/>
      <w:b/>
      <w:bCs/>
      <w:szCs w:val="24"/>
      <w:lang w:bidi="he-IL"/>
    </w:rPr>
  </w:style>
  <w:style w:type="character" w:customStyle="1" w:styleId="20">
    <w:name w:val="כותרת 2 תו"/>
    <w:basedOn w:val="a0"/>
    <w:link w:val="2"/>
    <w:rsid w:val="008C6932"/>
    <w:rPr>
      <w:rFonts w:cs="David"/>
      <w:b/>
      <w:bCs/>
      <w:szCs w:val="24"/>
      <w:lang w:bidi="he-IL"/>
    </w:rPr>
  </w:style>
  <w:style w:type="paragraph" w:styleId="aa">
    <w:name w:val="List Paragraph"/>
    <w:basedOn w:val="a"/>
    <w:uiPriority w:val="34"/>
    <w:qFormat/>
    <w:rsid w:val="008C3D27"/>
    <w:pPr>
      <w:widowControl w:val="0"/>
      <w:spacing w:line="320" w:lineRule="exact"/>
      <w:ind w:left="720"/>
      <w:jc w:val="both"/>
    </w:pPr>
    <w:rPr>
      <w:rFonts w:cs="David"/>
      <w:noProof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995713">
      <w:bodyDiv w:val="1"/>
      <w:marLeft w:val="0"/>
      <w:marRight w:val="0"/>
      <w:marTop w:val="0"/>
      <w:marBottom w:val="0"/>
      <w:divBdr>
        <w:top w:val="none" w:sz="0" w:space="0" w:color="auto"/>
        <w:left w:val="none" w:sz="0" w:space="0" w:color="auto"/>
        <w:bottom w:val="none" w:sz="0" w:space="0" w:color="auto"/>
        <w:right w:val="none" w:sz="0" w:space="0" w:color="auto"/>
      </w:divBdr>
    </w:div>
    <w:div w:id="461927380">
      <w:bodyDiv w:val="1"/>
      <w:marLeft w:val="0"/>
      <w:marRight w:val="0"/>
      <w:marTop w:val="0"/>
      <w:marBottom w:val="0"/>
      <w:divBdr>
        <w:top w:val="none" w:sz="0" w:space="0" w:color="auto"/>
        <w:left w:val="none" w:sz="0" w:space="0" w:color="auto"/>
        <w:bottom w:val="none" w:sz="0" w:space="0" w:color="auto"/>
        <w:right w:val="none" w:sz="0" w:space="0" w:color="auto"/>
      </w:divBdr>
    </w:div>
    <w:div w:id="472672792">
      <w:bodyDiv w:val="1"/>
      <w:marLeft w:val="0"/>
      <w:marRight w:val="0"/>
      <w:marTop w:val="0"/>
      <w:marBottom w:val="0"/>
      <w:divBdr>
        <w:top w:val="none" w:sz="0" w:space="0" w:color="auto"/>
        <w:left w:val="none" w:sz="0" w:space="0" w:color="auto"/>
        <w:bottom w:val="none" w:sz="0" w:space="0" w:color="auto"/>
        <w:right w:val="none" w:sz="0" w:space="0" w:color="auto"/>
      </w:divBdr>
    </w:div>
    <w:div w:id="97853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mailto:vaadmerkazi@israelbar.org.il" TargetMode="External"/><Relationship Id="rId1" Type="http://schemas.openxmlformats.org/officeDocument/2006/relationships/hyperlink" Target="http://www.israelbar.org.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EAC64A-0265-4863-870B-4E241B28FEDF}"/>
</file>

<file path=customXml/itemProps2.xml><?xml version="1.0" encoding="utf-8"?>
<ds:datastoreItem xmlns:ds="http://schemas.openxmlformats.org/officeDocument/2006/customXml" ds:itemID="{303039CD-E2A5-4495-8A16-7D8443FA9A04}"/>
</file>

<file path=customXml/itemProps3.xml><?xml version="1.0" encoding="utf-8"?>
<ds:datastoreItem xmlns:ds="http://schemas.openxmlformats.org/officeDocument/2006/customXml" ds:itemID="{DE0E04BE-1A03-4433-B5C2-DDE263A33FA2}"/>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3616</Characters>
  <Application>Microsoft Office Word</Application>
  <DocSecurity>4</DocSecurity>
  <Lines>30</Lines>
  <Paragraphs>8</Paragraphs>
  <ScaleCrop>false</ScaleCrop>
  <HeadingPairs>
    <vt:vector size="2" baseType="variant">
      <vt:variant>
        <vt:lpstr>שם</vt:lpstr>
      </vt:variant>
      <vt:variant>
        <vt:i4>1</vt:i4>
      </vt:variant>
    </vt:vector>
  </HeadingPairs>
  <TitlesOfParts>
    <vt:vector size="1" baseType="lpstr">
      <vt:lpstr>ועדת אגודות שיתופיות</vt:lpstr>
    </vt:vector>
  </TitlesOfParts>
  <Company>לשכת עורכי הדין</Company>
  <LinksUpToDate>false</LinksUpToDate>
  <CharactersWithSpaces>4331</CharactersWithSpaces>
  <SharedDoc>false</SharedDoc>
  <HLinks>
    <vt:vector size="12" baseType="variant">
      <vt:variant>
        <vt:i4>7143446</vt:i4>
      </vt:variant>
      <vt:variant>
        <vt:i4>3</vt:i4>
      </vt:variant>
      <vt:variant>
        <vt:i4>0</vt:i4>
      </vt:variant>
      <vt:variant>
        <vt:i4>5</vt:i4>
      </vt:variant>
      <vt:variant>
        <vt:lpwstr>mailto:vaadmerkazi@israelbar.org.il</vt:lpwstr>
      </vt:variant>
      <vt:variant>
        <vt:lpwstr/>
      </vt:variant>
      <vt:variant>
        <vt:i4>720977</vt:i4>
      </vt:variant>
      <vt:variant>
        <vt:i4>0</vt:i4>
      </vt:variant>
      <vt:variant>
        <vt:i4>0</vt:i4>
      </vt:variant>
      <vt:variant>
        <vt:i4>5</vt:i4>
      </vt:variant>
      <vt:variant>
        <vt:lpwstr>http://www.israelbar.org.il/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אגודות שיתופיות</dc:title>
  <dc:creator>אורי אלפסי</dc:creator>
  <cp:lastModifiedBy>חופית עלפי</cp:lastModifiedBy>
  <cp:revision>2</cp:revision>
  <cp:lastPrinted>2016-07-28T09:32:00Z</cp:lastPrinted>
  <dcterms:created xsi:type="dcterms:W3CDTF">2016-07-28T09:33:00Z</dcterms:created>
  <dcterms:modified xsi:type="dcterms:W3CDTF">2016-07-28T09:33:00Z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2006168</vt:r8>
  </property>
</Properties>
</file>