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8BA" w:rsidRPr="00B9160C" w:rsidRDefault="009A78BA" w:rsidP="00AB5D86">
      <w:pPr>
        <w:jc w:val="both"/>
        <w:rPr>
          <w:rFonts w:cs="David"/>
          <w:sz w:val="26"/>
          <w:szCs w:val="26"/>
          <w:rtl/>
        </w:rPr>
      </w:pPr>
      <w:r w:rsidRPr="003F0C3C">
        <w:rPr>
          <w:rFonts w:cs="David" w:hint="cs"/>
          <w:b/>
          <w:bCs/>
          <w:sz w:val="26"/>
          <w:szCs w:val="26"/>
          <w:u w:val="single"/>
          <w:rtl/>
        </w:rPr>
        <w:t>אל: חברי הוועדה</w:t>
      </w:r>
      <w:r w:rsidR="003F0C3C">
        <w:rPr>
          <w:rFonts w:cs="David" w:hint="cs"/>
          <w:b/>
          <w:bCs/>
          <w:sz w:val="26"/>
          <w:szCs w:val="26"/>
          <w:u w:val="single"/>
          <w:rtl/>
        </w:rPr>
        <w:t xml:space="preserve"> המשותפת</w:t>
      </w:r>
      <w:r w:rsidR="003F0C3C">
        <w:rPr>
          <w:rFonts w:cs="David" w:hint="cs"/>
          <w:sz w:val="26"/>
          <w:szCs w:val="26"/>
          <w:rtl/>
        </w:rPr>
        <w:tab/>
      </w:r>
      <w:r w:rsidR="003F0C3C">
        <w:rPr>
          <w:rFonts w:cs="David" w:hint="cs"/>
          <w:sz w:val="26"/>
          <w:szCs w:val="26"/>
          <w:rtl/>
        </w:rPr>
        <w:tab/>
      </w:r>
      <w:r w:rsidR="003F0C3C">
        <w:rPr>
          <w:rFonts w:cs="David" w:hint="cs"/>
          <w:sz w:val="26"/>
          <w:szCs w:val="26"/>
          <w:rtl/>
        </w:rPr>
        <w:tab/>
      </w:r>
      <w:r w:rsidR="003F0C3C">
        <w:rPr>
          <w:rFonts w:cs="David" w:hint="cs"/>
          <w:sz w:val="26"/>
          <w:szCs w:val="26"/>
          <w:rtl/>
        </w:rPr>
        <w:tab/>
      </w:r>
      <w:r w:rsidR="003F0C3C">
        <w:rPr>
          <w:rFonts w:cs="David" w:hint="cs"/>
          <w:sz w:val="26"/>
          <w:szCs w:val="26"/>
          <w:rtl/>
        </w:rPr>
        <w:tab/>
      </w:r>
      <w:r w:rsidR="00B9160C">
        <w:rPr>
          <w:rFonts w:cs="David" w:hint="cs"/>
          <w:sz w:val="26"/>
          <w:szCs w:val="26"/>
          <w:rtl/>
        </w:rPr>
        <w:tab/>
        <w:t>31.7.16</w:t>
      </w:r>
    </w:p>
    <w:p w:rsidR="009A78BA" w:rsidRPr="00335DC7" w:rsidRDefault="009A78BA" w:rsidP="00AB5D86">
      <w:pPr>
        <w:jc w:val="both"/>
        <w:rPr>
          <w:rFonts w:cs="David"/>
          <w:b/>
          <w:bCs/>
          <w:sz w:val="26"/>
          <w:szCs w:val="26"/>
          <w:u w:val="single"/>
          <w:rtl/>
        </w:rPr>
      </w:pPr>
      <w:r w:rsidRPr="00335DC7">
        <w:rPr>
          <w:rFonts w:cs="David" w:hint="cs"/>
          <w:b/>
          <w:bCs/>
          <w:sz w:val="26"/>
          <w:szCs w:val="26"/>
          <w:u w:val="single"/>
          <w:rtl/>
        </w:rPr>
        <w:t>מאת: הייעוץ המשפטי לוועדה</w:t>
      </w:r>
      <w:r w:rsidR="00D3773C">
        <w:rPr>
          <w:rFonts w:cs="David" w:hint="cs"/>
          <w:b/>
          <w:bCs/>
          <w:sz w:val="26"/>
          <w:szCs w:val="26"/>
          <w:u w:val="single"/>
          <w:rtl/>
        </w:rPr>
        <w:t>- עו"ד נירה לאמעי רכלבסקי</w:t>
      </w:r>
    </w:p>
    <w:p w:rsidR="003F0C3C" w:rsidRDefault="003F0C3C" w:rsidP="00AB5D86">
      <w:pPr>
        <w:jc w:val="both"/>
        <w:rPr>
          <w:rFonts w:cs="David"/>
          <w:b/>
          <w:bCs/>
          <w:sz w:val="26"/>
          <w:szCs w:val="26"/>
          <w:u w:val="single"/>
          <w:rtl/>
        </w:rPr>
      </w:pPr>
    </w:p>
    <w:p w:rsidR="00B659E9" w:rsidRPr="00335DC7" w:rsidRDefault="00B659E9" w:rsidP="00AB5D86">
      <w:pPr>
        <w:jc w:val="center"/>
        <w:rPr>
          <w:rFonts w:cs="David"/>
          <w:b/>
          <w:bCs/>
          <w:sz w:val="26"/>
          <w:szCs w:val="26"/>
          <w:u w:val="single"/>
          <w:rtl/>
        </w:rPr>
      </w:pPr>
      <w:r w:rsidRPr="00335DC7">
        <w:rPr>
          <w:rFonts w:cs="David" w:hint="cs"/>
          <w:b/>
          <w:bCs/>
          <w:sz w:val="26"/>
          <w:szCs w:val="26"/>
          <w:u w:val="single"/>
          <w:rtl/>
        </w:rPr>
        <w:t xml:space="preserve">רקע לדיון לישיבת הוועדה המשותפת לפי חוק אמצעי זיהוי ביומטריים ונתוני זיהוי ביומטריים במסמכי זיהוי ובמאגר מידע, התש"ע- 2009 (להלן- </w:t>
      </w:r>
      <w:r w:rsidR="00E91A0F">
        <w:rPr>
          <w:rFonts w:cs="David" w:hint="cs"/>
          <w:b/>
          <w:bCs/>
          <w:sz w:val="26"/>
          <w:szCs w:val="26"/>
          <w:u w:val="single"/>
          <w:rtl/>
        </w:rPr>
        <w:t>ה</w:t>
      </w:r>
      <w:r w:rsidRPr="00335DC7">
        <w:rPr>
          <w:rFonts w:cs="David" w:hint="cs"/>
          <w:b/>
          <w:bCs/>
          <w:sz w:val="26"/>
          <w:szCs w:val="26"/>
          <w:u w:val="single"/>
          <w:rtl/>
        </w:rPr>
        <w:t>חוק) הקבועה ליום 1.8.16</w:t>
      </w:r>
    </w:p>
    <w:p w:rsidR="003F0C3C" w:rsidRDefault="003F0C3C" w:rsidP="00AB5D86">
      <w:pPr>
        <w:jc w:val="both"/>
        <w:rPr>
          <w:rFonts w:cs="David"/>
          <w:b/>
          <w:bCs/>
          <w:sz w:val="26"/>
          <w:szCs w:val="26"/>
          <w:u w:val="single"/>
          <w:rtl/>
        </w:rPr>
      </w:pPr>
    </w:p>
    <w:p w:rsidR="00B659E9" w:rsidRPr="00335DC7" w:rsidRDefault="00D5291C" w:rsidP="00AB5D86">
      <w:pPr>
        <w:jc w:val="both"/>
        <w:rPr>
          <w:rFonts w:cs="David"/>
          <w:b/>
          <w:bCs/>
          <w:sz w:val="26"/>
          <w:szCs w:val="26"/>
          <w:u w:val="single"/>
          <w:rtl/>
        </w:rPr>
      </w:pPr>
      <w:r w:rsidRPr="00335DC7">
        <w:rPr>
          <w:rFonts w:cs="David" w:hint="cs"/>
          <w:b/>
          <w:bCs/>
          <w:sz w:val="26"/>
          <w:szCs w:val="26"/>
          <w:u w:val="single"/>
          <w:rtl/>
        </w:rPr>
        <w:t xml:space="preserve">ישיבת הוועדה </w:t>
      </w:r>
      <w:r w:rsidR="00B9160C">
        <w:rPr>
          <w:rFonts w:cs="David" w:hint="cs"/>
          <w:b/>
          <w:bCs/>
          <w:sz w:val="26"/>
          <w:szCs w:val="26"/>
          <w:u w:val="single"/>
          <w:rtl/>
        </w:rPr>
        <w:t>מכוונת</w:t>
      </w:r>
      <w:r w:rsidRPr="00335DC7">
        <w:rPr>
          <w:rFonts w:cs="David" w:hint="cs"/>
          <w:b/>
          <w:bCs/>
          <w:sz w:val="26"/>
          <w:szCs w:val="26"/>
          <w:u w:val="single"/>
          <w:rtl/>
        </w:rPr>
        <w:t xml:space="preserve"> לדון בשני נושאים:</w:t>
      </w:r>
    </w:p>
    <w:p w:rsidR="000533D0" w:rsidRPr="00335DC7" w:rsidRDefault="000533D0" w:rsidP="00AB5D86">
      <w:pPr>
        <w:pStyle w:val="a3"/>
        <w:numPr>
          <w:ilvl w:val="0"/>
          <w:numId w:val="1"/>
        </w:numPr>
        <w:spacing w:after="0" w:line="360" w:lineRule="auto"/>
        <w:ind w:left="425"/>
        <w:jc w:val="both"/>
        <w:rPr>
          <w:rFonts w:cs="David"/>
          <w:sz w:val="26"/>
          <w:szCs w:val="26"/>
          <w:rtl/>
        </w:rPr>
      </w:pPr>
      <w:r w:rsidRPr="00335DC7">
        <w:rPr>
          <w:rFonts w:ascii="David" w:eastAsia="David" w:hAnsi="David" w:cs="David"/>
          <w:color w:val="000000"/>
          <w:sz w:val="26"/>
          <w:szCs w:val="26"/>
          <w:rtl/>
        </w:rPr>
        <w:t>צו הכללת אמצעי זיהוי ביומטריים ונתוני זיהוי ביומטריים במסמכי זיהוי ובמאגר מ</w:t>
      </w:r>
      <w:r w:rsidR="00D5291C" w:rsidRPr="00335DC7">
        <w:rPr>
          <w:rFonts w:ascii="David" w:eastAsia="David" w:hAnsi="David" w:cs="David"/>
          <w:color w:val="000000"/>
          <w:sz w:val="26"/>
          <w:szCs w:val="26"/>
          <w:rtl/>
        </w:rPr>
        <w:t>ידע (תקופת מבחן) (תיקון), התשע"</w:t>
      </w:r>
      <w:r w:rsidR="00D5291C" w:rsidRPr="00335DC7">
        <w:rPr>
          <w:rFonts w:ascii="David" w:eastAsia="David" w:hAnsi="David" w:cs="David" w:hint="cs"/>
          <w:color w:val="000000"/>
          <w:sz w:val="26"/>
          <w:szCs w:val="26"/>
          <w:rtl/>
        </w:rPr>
        <w:t>ו</w:t>
      </w:r>
      <w:r w:rsidRPr="00335DC7">
        <w:rPr>
          <w:rFonts w:ascii="David" w:eastAsia="David" w:hAnsi="David" w:cs="David"/>
          <w:color w:val="000000"/>
          <w:sz w:val="26"/>
          <w:szCs w:val="26"/>
          <w:rtl/>
        </w:rPr>
        <w:t xml:space="preserve"> - 201</w:t>
      </w:r>
      <w:r w:rsidR="00D5291C" w:rsidRPr="00335DC7">
        <w:rPr>
          <w:rFonts w:ascii="David" w:eastAsia="David" w:hAnsi="David" w:cs="David" w:hint="cs"/>
          <w:color w:val="000000"/>
          <w:sz w:val="26"/>
          <w:szCs w:val="26"/>
          <w:rtl/>
        </w:rPr>
        <w:t>6</w:t>
      </w:r>
      <w:r w:rsidRPr="00335DC7">
        <w:rPr>
          <w:rFonts w:ascii="David" w:eastAsia="David" w:hAnsi="David" w:cs="David"/>
          <w:color w:val="000000"/>
          <w:sz w:val="26"/>
          <w:szCs w:val="26"/>
          <w:rtl/>
        </w:rPr>
        <w:t xml:space="preserve"> </w:t>
      </w:r>
      <w:r w:rsidR="00A32A5B" w:rsidRPr="00335DC7">
        <w:rPr>
          <w:rFonts w:ascii="David" w:eastAsia="David" w:hAnsi="David" w:cs="David" w:hint="cs"/>
          <w:color w:val="000000"/>
          <w:sz w:val="26"/>
          <w:szCs w:val="26"/>
          <w:rtl/>
        </w:rPr>
        <w:t>(להלן- צו תכנית המבחן)</w:t>
      </w:r>
      <w:r w:rsidR="00AB5D86">
        <w:rPr>
          <w:rFonts w:ascii="David" w:eastAsia="David" w:hAnsi="David" w:cs="David" w:hint="cs"/>
          <w:color w:val="000000"/>
          <w:sz w:val="26"/>
          <w:szCs w:val="26"/>
          <w:rtl/>
        </w:rPr>
        <w:t xml:space="preserve">- </w:t>
      </w:r>
      <w:r w:rsidR="00AB5D86">
        <w:rPr>
          <w:rFonts w:ascii="David" w:eastAsia="David" w:hAnsi="David" w:cs="David"/>
          <w:color w:val="000000"/>
          <w:sz w:val="26"/>
          <w:szCs w:val="26"/>
          <w:rtl/>
        </w:rPr>
        <w:t>תיקון סעיפים 8ב(ב) ו- 10(ה)</w:t>
      </w:r>
      <w:r w:rsidR="00AB5D86">
        <w:rPr>
          <w:rFonts w:ascii="David" w:eastAsia="David" w:hAnsi="David" w:cs="David" w:hint="cs"/>
          <w:color w:val="000000"/>
          <w:sz w:val="26"/>
          <w:szCs w:val="26"/>
          <w:rtl/>
        </w:rPr>
        <w:t>;</w:t>
      </w:r>
    </w:p>
    <w:p w:rsidR="000533D0" w:rsidRPr="00335DC7" w:rsidRDefault="000533D0" w:rsidP="00AB5D86">
      <w:pPr>
        <w:pStyle w:val="a3"/>
        <w:numPr>
          <w:ilvl w:val="0"/>
          <w:numId w:val="1"/>
        </w:numPr>
        <w:spacing w:after="0" w:line="360" w:lineRule="auto"/>
        <w:ind w:left="425"/>
        <w:jc w:val="both"/>
        <w:rPr>
          <w:rFonts w:cs="David"/>
          <w:sz w:val="26"/>
          <w:szCs w:val="26"/>
          <w:rtl/>
        </w:rPr>
      </w:pPr>
      <w:r w:rsidRPr="00335DC7">
        <w:rPr>
          <w:rFonts w:ascii="David" w:eastAsia="David" w:hAnsi="David" w:cs="David"/>
          <w:color w:val="000000"/>
          <w:sz w:val="26"/>
          <w:szCs w:val="26"/>
          <w:rtl/>
        </w:rPr>
        <w:t xml:space="preserve">דיון בדיווח התקופתי על תקופת המבחן לפי סעיף 11 לצו הכללת אמצעי זיהוי ביומטריים ונתוני זיהוי ביומטריים במסמכי זיהוי ובמאגר מידע (תקופת מבחן), תשע"א-2011 </w:t>
      </w:r>
      <w:r w:rsidR="00AB5D86">
        <w:rPr>
          <w:rFonts w:ascii="David" w:eastAsia="David" w:hAnsi="David" w:cs="David" w:hint="cs"/>
          <w:color w:val="000000"/>
          <w:sz w:val="26"/>
          <w:szCs w:val="26"/>
          <w:rtl/>
        </w:rPr>
        <w:t xml:space="preserve">(להלן- צו תקפת המבחן) </w:t>
      </w:r>
      <w:r w:rsidRPr="00335DC7">
        <w:rPr>
          <w:rFonts w:ascii="David" w:eastAsia="David" w:hAnsi="David" w:cs="David"/>
          <w:color w:val="000000"/>
          <w:sz w:val="26"/>
          <w:szCs w:val="26"/>
          <w:rtl/>
        </w:rPr>
        <w:t>ובחוק- לקראת סיומה של תקופת המבחן</w:t>
      </w:r>
    </w:p>
    <w:p w:rsidR="000533D0" w:rsidRPr="00335DC7" w:rsidRDefault="000533D0" w:rsidP="00AB5D86">
      <w:pPr>
        <w:spacing w:line="360" w:lineRule="auto"/>
        <w:jc w:val="both"/>
        <w:rPr>
          <w:rFonts w:cs="David"/>
          <w:sz w:val="26"/>
          <w:szCs w:val="26"/>
          <w:rtl/>
        </w:rPr>
      </w:pPr>
    </w:p>
    <w:p w:rsidR="00EA26F0" w:rsidRPr="00AB5D86" w:rsidRDefault="00EA26F0" w:rsidP="00AB5D86">
      <w:pPr>
        <w:pStyle w:val="a3"/>
        <w:numPr>
          <w:ilvl w:val="0"/>
          <w:numId w:val="5"/>
        </w:numPr>
        <w:spacing w:line="360" w:lineRule="auto"/>
        <w:jc w:val="both"/>
        <w:rPr>
          <w:rFonts w:cs="David"/>
          <w:b/>
          <w:bCs/>
          <w:sz w:val="26"/>
          <w:szCs w:val="26"/>
          <w:u w:val="single"/>
          <w:rtl/>
        </w:rPr>
      </w:pPr>
      <w:r w:rsidRPr="00AB5D86">
        <w:rPr>
          <w:rFonts w:cs="David" w:hint="cs"/>
          <w:b/>
          <w:bCs/>
          <w:sz w:val="26"/>
          <w:szCs w:val="26"/>
          <w:u w:val="single"/>
          <w:rtl/>
        </w:rPr>
        <w:t>לגבי תיקון צו תכנית המבחן-</w:t>
      </w:r>
    </w:p>
    <w:p w:rsidR="00EA26F0" w:rsidRPr="00335DC7" w:rsidRDefault="00EA26F0" w:rsidP="00AB5D86">
      <w:pPr>
        <w:spacing w:line="360" w:lineRule="auto"/>
        <w:jc w:val="both"/>
        <w:rPr>
          <w:rFonts w:cs="David"/>
          <w:sz w:val="26"/>
          <w:szCs w:val="26"/>
          <w:rtl/>
        </w:rPr>
      </w:pPr>
      <w:r w:rsidRPr="00335DC7">
        <w:rPr>
          <w:rFonts w:cs="David" w:hint="cs"/>
          <w:sz w:val="26"/>
          <w:szCs w:val="26"/>
          <w:rtl/>
        </w:rPr>
        <w:t xml:space="preserve">מתבקשים מהוועדה שני תיקונים </w:t>
      </w:r>
      <w:r>
        <w:rPr>
          <w:rFonts w:cs="David" w:hint="cs"/>
          <w:sz w:val="26"/>
          <w:szCs w:val="26"/>
          <w:rtl/>
        </w:rPr>
        <w:t xml:space="preserve">לצו תכנית המבחן </w:t>
      </w:r>
      <w:r w:rsidRPr="00335DC7">
        <w:rPr>
          <w:rFonts w:cs="David" w:hint="cs"/>
          <w:sz w:val="26"/>
          <w:szCs w:val="26"/>
          <w:rtl/>
        </w:rPr>
        <w:t>לגבי שני סעיפים שונים:</w:t>
      </w:r>
    </w:p>
    <w:p w:rsidR="00EA26F0" w:rsidRPr="00335DC7" w:rsidRDefault="00EA26F0" w:rsidP="00AB5D86">
      <w:pPr>
        <w:pStyle w:val="a3"/>
        <w:numPr>
          <w:ilvl w:val="0"/>
          <w:numId w:val="2"/>
        </w:numPr>
        <w:spacing w:line="360" w:lineRule="auto"/>
        <w:jc w:val="both"/>
        <w:rPr>
          <w:rFonts w:cs="David"/>
          <w:sz w:val="26"/>
          <w:szCs w:val="26"/>
        </w:rPr>
      </w:pPr>
      <w:r w:rsidRPr="00EA26F0">
        <w:rPr>
          <w:rFonts w:cs="David" w:hint="cs"/>
          <w:b/>
          <w:bCs/>
          <w:sz w:val="26"/>
          <w:szCs w:val="26"/>
          <w:u w:val="single"/>
          <w:rtl/>
        </w:rPr>
        <w:t>סעיף 8ב(ב)-</w:t>
      </w:r>
      <w:r w:rsidRPr="00335DC7">
        <w:rPr>
          <w:rFonts w:cs="David" w:hint="cs"/>
          <w:sz w:val="26"/>
          <w:szCs w:val="26"/>
          <w:rtl/>
        </w:rPr>
        <w:t xml:space="preserve"> סעיף זה דן בביצוע בדיקות יזומות במהלך תכנית המבחן כחלק מבחינת נחיצות המאגר הביומטרי על ידי בחינת חלופת התשאול. על פי הסעיף, בתקופת המבחן יבוצעו בדיקות יזומות של </w:t>
      </w:r>
      <w:r w:rsidRPr="00335DC7">
        <w:rPr>
          <w:rFonts w:cs="David" w:hint="cs"/>
          <w:b/>
          <w:bCs/>
          <w:sz w:val="26"/>
          <w:szCs w:val="26"/>
          <w:u w:val="single"/>
          <w:rtl/>
        </w:rPr>
        <w:t>ניסיונות התחזות בזהות כפולה</w:t>
      </w:r>
      <w:r w:rsidRPr="00335DC7">
        <w:rPr>
          <w:rFonts w:cs="David" w:hint="cs"/>
          <w:sz w:val="26"/>
          <w:szCs w:val="26"/>
          <w:rtl/>
        </w:rPr>
        <w:t xml:space="preserve">, כאחת מהבדיקות לנחיצות מאגר ביומטרי. על פי פרוטוקול הניסוי לתקופת המבחן (סעיף 7.3) כחלק מהבדיקה יש ליצור אירועים יזומים שידמו מצבים שלא יקרו בכמות מספקת באופן טבעי. </w:t>
      </w:r>
    </w:p>
    <w:p w:rsidR="00EA26F0" w:rsidRPr="00335DC7" w:rsidRDefault="00EA26F0" w:rsidP="00AB5D86">
      <w:pPr>
        <w:spacing w:line="360" w:lineRule="auto"/>
        <w:jc w:val="both"/>
        <w:rPr>
          <w:rFonts w:cs="David"/>
          <w:sz w:val="26"/>
          <w:szCs w:val="26"/>
          <w:rtl/>
        </w:rPr>
      </w:pPr>
      <w:r w:rsidRPr="00335DC7">
        <w:rPr>
          <w:rFonts w:cs="David" w:hint="cs"/>
          <w:sz w:val="26"/>
          <w:szCs w:val="26"/>
          <w:rtl/>
        </w:rPr>
        <w:t>התיקון המתבקש:</w:t>
      </w:r>
    </w:p>
    <w:p w:rsidR="00EA26F0" w:rsidRPr="00335DC7" w:rsidRDefault="00EA26F0" w:rsidP="00AB5D86">
      <w:pPr>
        <w:spacing w:line="360" w:lineRule="auto"/>
        <w:jc w:val="both"/>
        <w:rPr>
          <w:rFonts w:cs="David"/>
          <w:sz w:val="26"/>
          <w:szCs w:val="26"/>
          <w:rtl/>
        </w:rPr>
      </w:pPr>
      <w:r w:rsidRPr="00335DC7">
        <w:rPr>
          <w:rFonts w:cs="David" w:hint="cs"/>
          <w:sz w:val="26"/>
          <w:szCs w:val="26"/>
          <w:rtl/>
        </w:rPr>
        <w:t xml:space="preserve">השר מבקש לתקן את הצו כך שהבדיקה שאמורה היתה להתבצע על ידי מתחזים יזומים תתבצע באמצעות </w:t>
      </w:r>
      <w:r w:rsidRPr="00335DC7">
        <w:rPr>
          <w:rFonts w:cs="David" w:hint="cs"/>
          <w:b/>
          <w:bCs/>
          <w:sz w:val="26"/>
          <w:szCs w:val="26"/>
          <w:u w:val="single"/>
          <w:rtl/>
        </w:rPr>
        <w:t>ניסוי סטטיסטי</w:t>
      </w:r>
      <w:r w:rsidRPr="00335DC7">
        <w:rPr>
          <w:rFonts w:cs="David" w:hint="cs"/>
          <w:sz w:val="26"/>
          <w:szCs w:val="26"/>
          <w:rtl/>
        </w:rPr>
        <w:t xml:space="preserve"> שיעריך את הסיכויים של מתחזים לעבור את הליך התשאול בהצלחה כדי להזדהות בהזדהות כפולה. זאת עת מנת לבחון אם חלופת התשאול מאפשרת להתמודד בהצלחה עם תופעת גניבת הזהויות גם ללא מאגר ביומטרי.</w:t>
      </w:r>
    </w:p>
    <w:p w:rsidR="00EA26F0" w:rsidRPr="00335DC7" w:rsidRDefault="00EA26F0" w:rsidP="00AB5D86">
      <w:pPr>
        <w:spacing w:line="360" w:lineRule="auto"/>
        <w:jc w:val="both"/>
        <w:rPr>
          <w:rFonts w:cs="David"/>
          <w:sz w:val="26"/>
          <w:szCs w:val="26"/>
          <w:rtl/>
        </w:rPr>
      </w:pPr>
      <w:r w:rsidRPr="00335DC7">
        <w:rPr>
          <w:rFonts w:cs="David" w:hint="cs"/>
          <w:sz w:val="26"/>
          <w:szCs w:val="26"/>
          <w:rtl/>
        </w:rPr>
        <w:t>נקודות לדיון:</w:t>
      </w:r>
    </w:p>
    <w:p w:rsidR="00EA26F0" w:rsidRPr="00335DC7" w:rsidRDefault="00EA26F0" w:rsidP="00AB5D86">
      <w:pPr>
        <w:pStyle w:val="a3"/>
        <w:numPr>
          <w:ilvl w:val="0"/>
          <w:numId w:val="3"/>
        </w:numPr>
        <w:spacing w:line="360" w:lineRule="auto"/>
        <w:jc w:val="both"/>
        <w:rPr>
          <w:rFonts w:cs="David"/>
          <w:sz w:val="26"/>
          <w:szCs w:val="26"/>
          <w:rtl/>
        </w:rPr>
      </w:pPr>
      <w:r w:rsidRPr="00335DC7">
        <w:rPr>
          <w:rFonts w:cs="David" w:hint="cs"/>
          <w:sz w:val="26"/>
          <w:szCs w:val="26"/>
          <w:rtl/>
        </w:rPr>
        <w:t>הפער בין הניסוי באמצעות מתחזים לניסוי הסטטיסטי והשפעתו על מודל חלופת התשאול במקום מאגר ביומטרי</w:t>
      </w:r>
      <w:r w:rsidR="00AB5D86">
        <w:rPr>
          <w:rFonts w:cs="David" w:hint="cs"/>
          <w:sz w:val="26"/>
          <w:szCs w:val="26"/>
          <w:rtl/>
        </w:rPr>
        <w:t>;</w:t>
      </w:r>
    </w:p>
    <w:p w:rsidR="00EA26F0" w:rsidRPr="00335DC7" w:rsidRDefault="00EA26F0" w:rsidP="00AB5D86">
      <w:pPr>
        <w:spacing w:line="360" w:lineRule="auto"/>
        <w:jc w:val="both"/>
        <w:rPr>
          <w:rFonts w:cs="David"/>
          <w:sz w:val="26"/>
          <w:szCs w:val="26"/>
          <w:rtl/>
        </w:rPr>
      </w:pPr>
    </w:p>
    <w:p w:rsidR="00EA26F0" w:rsidRDefault="00EA26F0" w:rsidP="00AB5D86">
      <w:pPr>
        <w:pStyle w:val="a3"/>
        <w:numPr>
          <w:ilvl w:val="0"/>
          <w:numId w:val="3"/>
        </w:numPr>
        <w:spacing w:line="360" w:lineRule="auto"/>
        <w:jc w:val="both"/>
        <w:rPr>
          <w:rFonts w:cs="David"/>
          <w:sz w:val="26"/>
          <w:szCs w:val="26"/>
        </w:rPr>
      </w:pPr>
      <w:r w:rsidRPr="00AB5D86">
        <w:rPr>
          <w:rFonts w:cs="David" w:hint="cs"/>
          <w:sz w:val="26"/>
          <w:szCs w:val="26"/>
          <w:rtl/>
        </w:rPr>
        <w:lastRenderedPageBreak/>
        <w:t>ההסבר לזניחתה של הבדיקה היזומה באמצעות מתחזים לאחר שזו הוספה לצו תכנית המבחן בעת בחינתו המחודשת לאחר עתירה שהוגשה לבג</w:t>
      </w:r>
      <w:r w:rsidR="00AB5D86">
        <w:rPr>
          <w:rFonts w:cs="David" w:hint="cs"/>
          <w:sz w:val="26"/>
          <w:szCs w:val="26"/>
          <w:rtl/>
        </w:rPr>
        <w:t>"</w:t>
      </w:r>
      <w:r w:rsidRPr="00AB5D86">
        <w:rPr>
          <w:rFonts w:cs="David" w:hint="cs"/>
          <w:sz w:val="26"/>
          <w:szCs w:val="26"/>
          <w:rtl/>
        </w:rPr>
        <w:t xml:space="preserve">צ. על פי המידע שנמסר היתה </w:t>
      </w:r>
      <w:r w:rsidR="00AB5D86">
        <w:rPr>
          <w:rFonts w:cs="David" w:hint="cs"/>
          <w:sz w:val="26"/>
          <w:szCs w:val="26"/>
          <w:rtl/>
        </w:rPr>
        <w:t>הכנה</w:t>
      </w:r>
      <w:r w:rsidRPr="00AB5D86">
        <w:rPr>
          <w:rFonts w:cs="David" w:hint="cs"/>
          <w:sz w:val="26"/>
          <w:szCs w:val="26"/>
          <w:rtl/>
        </w:rPr>
        <w:t xml:space="preserve"> לב</w:t>
      </w:r>
      <w:r w:rsidR="00AB5D86">
        <w:rPr>
          <w:rFonts w:cs="David" w:hint="cs"/>
          <w:sz w:val="26"/>
          <w:szCs w:val="26"/>
          <w:rtl/>
        </w:rPr>
        <w:t>י</w:t>
      </w:r>
      <w:r w:rsidRPr="00AB5D86">
        <w:rPr>
          <w:rFonts w:cs="David" w:hint="cs"/>
          <w:sz w:val="26"/>
          <w:szCs w:val="26"/>
          <w:rtl/>
        </w:rPr>
        <w:t>צ</w:t>
      </w:r>
      <w:r w:rsidR="00AB5D86">
        <w:rPr>
          <w:rFonts w:cs="David" w:hint="cs"/>
          <w:sz w:val="26"/>
          <w:szCs w:val="26"/>
          <w:rtl/>
        </w:rPr>
        <w:t>ו</w:t>
      </w:r>
      <w:r w:rsidRPr="00AB5D86">
        <w:rPr>
          <w:rFonts w:cs="David" w:hint="cs"/>
          <w:sz w:val="26"/>
          <w:szCs w:val="26"/>
          <w:rtl/>
        </w:rPr>
        <w:t>ע בד</w:t>
      </w:r>
      <w:r w:rsidR="00AB5D86">
        <w:rPr>
          <w:rFonts w:cs="David" w:hint="cs"/>
          <w:sz w:val="26"/>
          <w:szCs w:val="26"/>
          <w:rtl/>
        </w:rPr>
        <w:t>יקת התחזות יזומה</w:t>
      </w:r>
      <w:r w:rsidRPr="00AB5D86">
        <w:rPr>
          <w:rFonts w:cs="David" w:hint="cs"/>
          <w:sz w:val="26"/>
          <w:szCs w:val="26"/>
          <w:rtl/>
        </w:rPr>
        <w:t xml:space="preserve"> עם מדגם אמיתי של כ- 400 אנשים</w:t>
      </w:r>
      <w:r w:rsidR="00AB5D86">
        <w:rPr>
          <w:rFonts w:cs="David" w:hint="cs"/>
          <w:sz w:val="26"/>
          <w:szCs w:val="26"/>
          <w:rtl/>
        </w:rPr>
        <w:t xml:space="preserve"> שלא יצאה לבסוף אל הפועל.</w:t>
      </w:r>
      <w:r w:rsidRPr="00AB5D86">
        <w:rPr>
          <w:rFonts w:cs="David" w:hint="cs"/>
          <w:sz w:val="26"/>
          <w:szCs w:val="26"/>
          <w:rtl/>
        </w:rPr>
        <w:t xml:space="preserve"> </w:t>
      </w:r>
    </w:p>
    <w:p w:rsidR="00AB5D86" w:rsidRPr="00AB5D86" w:rsidRDefault="00AB5D86" w:rsidP="00AB5D86">
      <w:pPr>
        <w:pStyle w:val="a3"/>
        <w:rPr>
          <w:rFonts w:cs="David"/>
          <w:sz w:val="26"/>
          <w:szCs w:val="26"/>
          <w:rtl/>
        </w:rPr>
      </w:pPr>
    </w:p>
    <w:p w:rsidR="00AB5D86" w:rsidRDefault="00EA26F0" w:rsidP="00AB5D86">
      <w:pPr>
        <w:pStyle w:val="a3"/>
        <w:numPr>
          <w:ilvl w:val="0"/>
          <w:numId w:val="2"/>
        </w:numPr>
        <w:spacing w:line="360" w:lineRule="auto"/>
        <w:jc w:val="both"/>
        <w:rPr>
          <w:rFonts w:cs="David"/>
          <w:sz w:val="26"/>
          <w:szCs w:val="26"/>
        </w:rPr>
      </w:pPr>
      <w:r w:rsidRPr="00EA26F0">
        <w:rPr>
          <w:rFonts w:cs="David" w:hint="cs"/>
          <w:b/>
          <w:bCs/>
          <w:sz w:val="26"/>
          <w:szCs w:val="26"/>
          <w:u w:val="single"/>
          <w:rtl/>
        </w:rPr>
        <w:t>תיקון סעיף 10(ה)-</w:t>
      </w:r>
      <w:r w:rsidRPr="00335DC7">
        <w:rPr>
          <w:rFonts w:cs="David" w:hint="cs"/>
          <w:sz w:val="26"/>
          <w:szCs w:val="26"/>
          <w:rtl/>
        </w:rPr>
        <w:t xml:space="preserve"> שינוי תקני איכות טביעות האצבע- מדד האי</w:t>
      </w:r>
      <w:r w:rsidR="00AB5D86">
        <w:rPr>
          <w:rFonts w:cs="David" w:hint="cs"/>
          <w:sz w:val="26"/>
          <w:szCs w:val="26"/>
          <w:rtl/>
        </w:rPr>
        <w:t>כות בו נעשה שימוש במ</w:t>
      </w:r>
      <w:r w:rsidRPr="00335DC7">
        <w:rPr>
          <w:rFonts w:cs="David" w:hint="cs"/>
          <w:sz w:val="26"/>
          <w:szCs w:val="26"/>
          <w:rtl/>
        </w:rPr>
        <w:t xml:space="preserve">הלך הפיילוט הוא רמות 1-2 מתוך חמש ("מצויין" ו"טוב מאוד"- בהתאמה) בתקן </w:t>
      </w:r>
      <w:r w:rsidRPr="00335DC7">
        <w:rPr>
          <w:rFonts w:cs="David"/>
          <w:sz w:val="26"/>
          <w:szCs w:val="26"/>
        </w:rPr>
        <w:t>NIST</w:t>
      </w:r>
      <w:r w:rsidR="00AB5D86">
        <w:rPr>
          <w:rFonts w:cs="David" w:hint="cs"/>
          <w:sz w:val="26"/>
          <w:szCs w:val="26"/>
          <w:rtl/>
        </w:rPr>
        <w:t xml:space="preserve">.  </w:t>
      </w:r>
    </w:p>
    <w:p w:rsidR="00EA26F0" w:rsidRPr="00335DC7" w:rsidRDefault="00EA26F0" w:rsidP="00AB5D86">
      <w:pPr>
        <w:spacing w:line="360" w:lineRule="auto"/>
        <w:ind w:left="360"/>
        <w:jc w:val="both"/>
        <w:rPr>
          <w:rFonts w:cs="David"/>
          <w:sz w:val="26"/>
          <w:szCs w:val="26"/>
          <w:rtl/>
        </w:rPr>
      </w:pPr>
      <w:r w:rsidRPr="00AB5D86">
        <w:rPr>
          <w:rFonts w:cs="David" w:hint="cs"/>
          <w:sz w:val="26"/>
          <w:szCs w:val="26"/>
          <w:rtl/>
        </w:rPr>
        <w:t xml:space="preserve">השינוי המתבקש </w:t>
      </w:r>
      <w:r w:rsidR="00AB5D86">
        <w:rPr>
          <w:rFonts w:cs="David" w:hint="cs"/>
          <w:sz w:val="26"/>
          <w:szCs w:val="26"/>
          <w:rtl/>
        </w:rPr>
        <w:t xml:space="preserve">בצו- </w:t>
      </w:r>
      <w:r w:rsidRPr="00AB5D86">
        <w:rPr>
          <w:rFonts w:cs="David" w:hint="cs"/>
          <w:sz w:val="26"/>
          <w:szCs w:val="26"/>
          <w:rtl/>
        </w:rPr>
        <w:t>להכיר ב</w:t>
      </w:r>
      <w:r w:rsidR="00AB5D86">
        <w:rPr>
          <w:rFonts w:cs="David" w:hint="cs"/>
          <w:sz w:val="26"/>
          <w:szCs w:val="26"/>
          <w:rtl/>
        </w:rPr>
        <w:t xml:space="preserve">נטילת </w:t>
      </w:r>
      <w:r w:rsidRPr="00AB5D86">
        <w:rPr>
          <w:rFonts w:cs="David" w:hint="cs"/>
          <w:sz w:val="26"/>
          <w:szCs w:val="26"/>
          <w:rtl/>
        </w:rPr>
        <w:t xml:space="preserve">טביעות אצבע באיכות ברמה 3 (הפחות טובה לעומת רמות 1 ו- 2- ומוגדרת "טוב" ). הרקע לצורך בשינוי הוא השימוש בסורקים חדשים בהם קשה יותר ליטול טביעות אצבע ברמות 1 ו- 2 מכיוון שהם </w:t>
      </w:r>
      <w:r w:rsidR="00AB5D86">
        <w:rPr>
          <w:rFonts w:cs="David" w:hint="cs"/>
          <w:sz w:val="26"/>
          <w:szCs w:val="26"/>
          <w:rtl/>
        </w:rPr>
        <w:t>"</w:t>
      </w:r>
      <w:r w:rsidRPr="00AB5D86">
        <w:rPr>
          <w:rFonts w:cs="David" w:hint="cs"/>
          <w:sz w:val="26"/>
          <w:szCs w:val="26"/>
          <w:rtl/>
        </w:rPr>
        <w:t>רואים</w:t>
      </w:r>
      <w:r w:rsidR="00AB5D86">
        <w:rPr>
          <w:rFonts w:cs="David" w:hint="cs"/>
          <w:sz w:val="26"/>
          <w:szCs w:val="26"/>
          <w:rtl/>
        </w:rPr>
        <w:t>"</w:t>
      </w:r>
      <w:r w:rsidRPr="00AB5D86">
        <w:rPr>
          <w:rFonts w:cs="David" w:hint="cs"/>
          <w:sz w:val="26"/>
          <w:szCs w:val="26"/>
          <w:rtl/>
        </w:rPr>
        <w:t xml:space="preserve"> פחות עמוק אל תוך העור (אם כי נותנים תמונה כללית טובה יותר להשוואה</w:t>
      </w:r>
      <w:r w:rsidR="00AB5D86">
        <w:rPr>
          <w:rFonts w:cs="David" w:hint="cs"/>
          <w:sz w:val="26"/>
          <w:szCs w:val="26"/>
          <w:rtl/>
        </w:rPr>
        <w:t>)</w:t>
      </w:r>
      <w:r w:rsidRPr="00AB5D86">
        <w:rPr>
          <w:rFonts w:cs="David" w:hint="cs"/>
          <w:sz w:val="26"/>
          <w:szCs w:val="26"/>
          <w:rtl/>
        </w:rPr>
        <w:t>.</w:t>
      </w:r>
      <w:r w:rsidR="00AB5D86">
        <w:rPr>
          <w:rFonts w:cs="David" w:hint="cs"/>
          <w:sz w:val="26"/>
          <w:szCs w:val="26"/>
          <w:rtl/>
        </w:rPr>
        <w:t xml:space="preserve"> </w:t>
      </w:r>
      <w:r w:rsidRPr="00335DC7">
        <w:rPr>
          <w:rFonts w:cs="David" w:hint="cs"/>
          <w:sz w:val="26"/>
          <w:szCs w:val="26"/>
          <w:rtl/>
        </w:rPr>
        <w:t xml:space="preserve">בנוסף, בנטילת טביעות אצבע מאנשים מסוימים קשה יותר להגיע לדרגת איכות נטילה של 1 או אפילו 2. </w:t>
      </w:r>
    </w:p>
    <w:p w:rsidR="00EA26F0" w:rsidRPr="00335DC7" w:rsidRDefault="00EA26F0" w:rsidP="00AB5D86">
      <w:pPr>
        <w:pStyle w:val="a3"/>
        <w:spacing w:line="360" w:lineRule="auto"/>
        <w:ind w:left="360"/>
        <w:jc w:val="both"/>
        <w:rPr>
          <w:rFonts w:cs="David"/>
          <w:sz w:val="26"/>
          <w:szCs w:val="26"/>
          <w:rtl/>
        </w:rPr>
      </w:pPr>
      <w:r w:rsidRPr="00335DC7">
        <w:rPr>
          <w:rFonts w:cs="David" w:hint="cs"/>
          <w:sz w:val="26"/>
          <w:szCs w:val="26"/>
          <w:rtl/>
        </w:rPr>
        <w:t>נטען כי גם נטילת טביעות אצבע באיכות של רמה 3 עומדת במדדי ההצלחה של 95%-99% הנדרשים במסגרת צו תכנית המבחן.</w:t>
      </w:r>
    </w:p>
    <w:p w:rsidR="00EA26F0" w:rsidRPr="00335DC7" w:rsidRDefault="00EA26F0" w:rsidP="00AB5D86">
      <w:pPr>
        <w:pStyle w:val="a3"/>
        <w:spacing w:line="360" w:lineRule="auto"/>
        <w:jc w:val="both"/>
        <w:rPr>
          <w:rFonts w:cs="David"/>
          <w:sz w:val="26"/>
          <w:szCs w:val="26"/>
          <w:rtl/>
        </w:rPr>
      </w:pPr>
    </w:p>
    <w:p w:rsidR="00EA26F0" w:rsidRPr="00335DC7" w:rsidRDefault="00EA26F0" w:rsidP="00AB5D86">
      <w:pPr>
        <w:pStyle w:val="a3"/>
        <w:spacing w:line="360" w:lineRule="auto"/>
        <w:jc w:val="both"/>
        <w:rPr>
          <w:rFonts w:cs="David"/>
          <w:sz w:val="26"/>
          <w:szCs w:val="26"/>
          <w:rtl/>
        </w:rPr>
      </w:pPr>
      <w:bookmarkStart w:id="0" w:name="_GoBack"/>
      <w:bookmarkEnd w:id="0"/>
      <w:r>
        <w:rPr>
          <w:rFonts w:cs="David" w:hint="cs"/>
          <w:sz w:val="26"/>
          <w:szCs w:val="26"/>
          <w:rtl/>
        </w:rPr>
        <w:t xml:space="preserve">נקודות </w:t>
      </w:r>
      <w:r w:rsidRPr="00335DC7">
        <w:rPr>
          <w:rFonts w:cs="David" w:hint="cs"/>
          <w:sz w:val="26"/>
          <w:szCs w:val="26"/>
          <w:rtl/>
        </w:rPr>
        <w:t xml:space="preserve">לדיון: </w:t>
      </w:r>
    </w:p>
    <w:p w:rsidR="00EA26F0" w:rsidRPr="00335DC7" w:rsidRDefault="00EA26F0" w:rsidP="00AB5D86">
      <w:pPr>
        <w:pStyle w:val="a3"/>
        <w:numPr>
          <w:ilvl w:val="0"/>
          <w:numId w:val="4"/>
        </w:numPr>
        <w:spacing w:line="360" w:lineRule="auto"/>
        <w:jc w:val="both"/>
        <w:rPr>
          <w:rFonts w:cs="David"/>
          <w:sz w:val="26"/>
          <w:szCs w:val="26"/>
        </w:rPr>
      </w:pPr>
      <w:r w:rsidRPr="00335DC7">
        <w:rPr>
          <w:rFonts w:cs="David" w:hint="cs"/>
          <w:sz w:val="26"/>
          <w:szCs w:val="26"/>
          <w:rtl/>
        </w:rPr>
        <w:t>האם הורדת רמת איכות טביעות האצבע הניטלות במסגרת תכנית המבחן תפגע ברמת ההשוואה של תוצאת זיהוי של אדם או אל מול תיעוד (היינו, רמת ההזדה</w:t>
      </w:r>
      <w:r>
        <w:rPr>
          <w:rFonts w:cs="David" w:hint="cs"/>
          <w:sz w:val="26"/>
          <w:szCs w:val="26"/>
          <w:rtl/>
        </w:rPr>
        <w:t>ות מול המאגר הביומטרי</w:t>
      </w:r>
      <w:r w:rsidRPr="00335DC7">
        <w:rPr>
          <w:rFonts w:cs="David" w:hint="cs"/>
          <w:sz w:val="26"/>
          <w:szCs w:val="26"/>
          <w:rtl/>
        </w:rPr>
        <w:t>)</w:t>
      </w:r>
      <w:r>
        <w:rPr>
          <w:rFonts w:cs="David" w:hint="cs"/>
          <w:sz w:val="26"/>
          <w:szCs w:val="26"/>
          <w:rtl/>
        </w:rPr>
        <w:t>;</w:t>
      </w:r>
    </w:p>
    <w:p w:rsidR="00EA26F0" w:rsidRPr="00335DC7" w:rsidRDefault="00EA26F0" w:rsidP="00AB5D86">
      <w:pPr>
        <w:pStyle w:val="a3"/>
        <w:numPr>
          <w:ilvl w:val="0"/>
          <w:numId w:val="4"/>
        </w:numPr>
        <w:spacing w:line="360" w:lineRule="auto"/>
        <w:jc w:val="both"/>
        <w:rPr>
          <w:rFonts w:cs="David"/>
          <w:sz w:val="26"/>
          <w:szCs w:val="26"/>
        </w:rPr>
      </w:pPr>
      <w:r w:rsidRPr="00335DC7">
        <w:rPr>
          <w:rFonts w:cs="David" w:hint="cs"/>
          <w:sz w:val="26"/>
          <w:szCs w:val="26"/>
          <w:rtl/>
        </w:rPr>
        <w:t xml:space="preserve">כמה ניסיונות נטילה יש לבצע באוכלוסיות "בעייתיות" מבחינת נטילה על מנת להגיע לרמה 3? </w:t>
      </w:r>
    </w:p>
    <w:p w:rsidR="00EA26F0" w:rsidRPr="00335DC7" w:rsidRDefault="00EA26F0" w:rsidP="00AB5D86">
      <w:pPr>
        <w:pStyle w:val="a3"/>
        <w:numPr>
          <w:ilvl w:val="0"/>
          <w:numId w:val="4"/>
        </w:numPr>
        <w:spacing w:line="360" w:lineRule="auto"/>
        <w:jc w:val="both"/>
        <w:rPr>
          <w:rFonts w:cs="David"/>
          <w:sz w:val="26"/>
          <w:szCs w:val="26"/>
        </w:rPr>
      </w:pPr>
      <w:r w:rsidRPr="00335DC7">
        <w:rPr>
          <w:rFonts w:cs="David" w:hint="cs"/>
          <w:sz w:val="26"/>
          <w:szCs w:val="26"/>
          <w:rtl/>
        </w:rPr>
        <w:t>האם לא רצוי להגביל את השימוש במדד הפחות איכותי של דרגה 3 לאוכלוסיות מסוימות בלבד?</w:t>
      </w:r>
    </w:p>
    <w:p w:rsidR="00EA26F0" w:rsidRPr="00335DC7" w:rsidRDefault="00EA26F0" w:rsidP="00AB5D86">
      <w:pPr>
        <w:pStyle w:val="a3"/>
        <w:numPr>
          <w:ilvl w:val="0"/>
          <w:numId w:val="4"/>
        </w:numPr>
        <w:spacing w:line="360" w:lineRule="auto"/>
        <w:jc w:val="both"/>
        <w:rPr>
          <w:rFonts w:cs="David"/>
          <w:sz w:val="26"/>
          <w:szCs w:val="26"/>
        </w:rPr>
      </w:pPr>
      <w:r w:rsidRPr="00335DC7">
        <w:rPr>
          <w:rFonts w:cs="David" w:hint="cs"/>
          <w:sz w:val="26"/>
          <w:szCs w:val="26"/>
          <w:rtl/>
        </w:rPr>
        <w:t>לטווח הארוך- כיצד ישפיע השינוי ברמות הנטילה במידה ויו</w:t>
      </w:r>
      <w:r>
        <w:rPr>
          <w:rFonts w:cs="David" w:hint="cs"/>
          <w:sz w:val="26"/>
          <w:szCs w:val="26"/>
          <w:rtl/>
        </w:rPr>
        <w:t>חלט על מאגר קבוע עם טביעות אצבע?</w:t>
      </w:r>
      <w:r w:rsidR="003C60D3">
        <w:rPr>
          <w:rFonts w:cs="David" w:hint="cs"/>
          <w:sz w:val="26"/>
          <w:szCs w:val="26"/>
          <w:rtl/>
        </w:rPr>
        <w:t xml:space="preserve"> האם ניתן יהיה לעשות שימוש בטביעות אצבע אלה על פי החוק?</w:t>
      </w:r>
    </w:p>
    <w:p w:rsidR="00EA26F0" w:rsidRPr="00335DC7" w:rsidRDefault="00EA26F0" w:rsidP="003C60D3">
      <w:pPr>
        <w:pStyle w:val="a3"/>
        <w:numPr>
          <w:ilvl w:val="0"/>
          <w:numId w:val="4"/>
        </w:numPr>
        <w:spacing w:line="360" w:lineRule="auto"/>
        <w:jc w:val="both"/>
        <w:rPr>
          <w:rFonts w:cs="David"/>
          <w:sz w:val="26"/>
          <w:szCs w:val="26"/>
        </w:rPr>
      </w:pPr>
      <w:r w:rsidRPr="00335DC7">
        <w:rPr>
          <w:rFonts w:cs="David" w:hint="cs"/>
          <w:sz w:val="26"/>
          <w:szCs w:val="26"/>
          <w:rtl/>
        </w:rPr>
        <w:t xml:space="preserve">כיצד התנהלו הנטילות מהסורקים החדשים עד לדיון המתקיים היום בוועדה  לגבי </w:t>
      </w:r>
      <w:r w:rsidR="003C60D3">
        <w:rPr>
          <w:rFonts w:cs="David" w:hint="cs"/>
          <w:sz w:val="26"/>
          <w:szCs w:val="26"/>
          <w:rtl/>
        </w:rPr>
        <w:t>אישור נטילה ברמה 3 לאור הבעייתיות שהועלתה בנטילה ברמות 1 ו- 2?</w:t>
      </w:r>
    </w:p>
    <w:p w:rsidR="00EA26F0" w:rsidRPr="00335DC7" w:rsidRDefault="00EA26F0" w:rsidP="00AB5D86">
      <w:pPr>
        <w:pStyle w:val="a3"/>
        <w:numPr>
          <w:ilvl w:val="0"/>
          <w:numId w:val="4"/>
        </w:numPr>
        <w:spacing w:line="360" w:lineRule="auto"/>
        <w:jc w:val="both"/>
        <w:rPr>
          <w:rFonts w:cs="David"/>
          <w:sz w:val="26"/>
          <w:szCs w:val="26"/>
        </w:rPr>
      </w:pPr>
      <w:r w:rsidRPr="00335DC7">
        <w:rPr>
          <w:rFonts w:cs="David" w:hint="cs"/>
          <w:sz w:val="26"/>
          <w:szCs w:val="26"/>
          <w:rtl/>
        </w:rPr>
        <w:t>מה ההשפעה של איכות נטילה ברמה 3 אל מול הפונקציות והשימושים של רשות בקורת הגבולות ומשטרת ישראל?</w:t>
      </w:r>
    </w:p>
    <w:p w:rsidR="00EA26F0" w:rsidRDefault="00EA26F0" w:rsidP="00AB5D86">
      <w:pPr>
        <w:ind w:left="720"/>
        <w:jc w:val="both"/>
        <w:rPr>
          <w:rFonts w:cs="David"/>
          <w:b/>
          <w:bCs/>
          <w:sz w:val="26"/>
          <w:szCs w:val="26"/>
          <w:u w:val="single"/>
          <w:rtl/>
        </w:rPr>
      </w:pPr>
    </w:p>
    <w:p w:rsidR="00EA26F0" w:rsidRPr="00EA26F0" w:rsidRDefault="00EA26F0" w:rsidP="00AB5D86">
      <w:pPr>
        <w:ind w:left="720"/>
        <w:jc w:val="both"/>
        <w:rPr>
          <w:rFonts w:cs="David"/>
          <w:b/>
          <w:bCs/>
          <w:sz w:val="26"/>
          <w:szCs w:val="26"/>
          <w:u w:val="single"/>
        </w:rPr>
      </w:pPr>
      <w:r w:rsidRPr="00EA26F0">
        <w:rPr>
          <w:rFonts w:cs="David" w:hint="cs"/>
          <w:b/>
          <w:bCs/>
          <w:sz w:val="26"/>
          <w:szCs w:val="26"/>
          <w:u w:val="single"/>
          <w:rtl/>
        </w:rPr>
        <w:lastRenderedPageBreak/>
        <w:t>לגבי הדיון בדיווח התקופתי-</w:t>
      </w:r>
    </w:p>
    <w:p w:rsidR="00EA26F0" w:rsidRPr="00EA26F0" w:rsidRDefault="00EA26F0" w:rsidP="00AB5D86">
      <w:pPr>
        <w:spacing w:line="360" w:lineRule="auto"/>
        <w:ind w:left="720"/>
        <w:jc w:val="both"/>
        <w:rPr>
          <w:rFonts w:cs="David"/>
          <w:sz w:val="26"/>
          <w:szCs w:val="26"/>
          <w:rtl/>
        </w:rPr>
      </w:pPr>
      <w:r w:rsidRPr="00EA26F0">
        <w:rPr>
          <w:rFonts w:cs="David" w:hint="cs"/>
          <w:sz w:val="26"/>
          <w:szCs w:val="26"/>
          <w:rtl/>
        </w:rPr>
        <w:t xml:space="preserve">ביום 26.7.16 נודע לצוות הוועדה כי הדיווח התקופתי לגבי התנהלות תקופת המבחן (הפיילוט) לתקופה דצמבר 2015- יוני 2016, אשר נמסר לוועדה כי יונח על שולחנה במהלך חודש יולי -  לא יוגש עד למועד קיום הישיבה. </w:t>
      </w:r>
    </w:p>
    <w:p w:rsidR="00EA26F0" w:rsidRPr="00EA26F0" w:rsidRDefault="00EA26F0" w:rsidP="00AB5D86">
      <w:pPr>
        <w:spacing w:line="360" w:lineRule="auto"/>
        <w:ind w:left="720"/>
        <w:jc w:val="both"/>
        <w:rPr>
          <w:rFonts w:cs="David"/>
          <w:sz w:val="26"/>
          <w:szCs w:val="26"/>
          <w:rtl/>
        </w:rPr>
      </w:pPr>
      <w:r w:rsidRPr="00EA26F0">
        <w:rPr>
          <w:rFonts w:cs="David" w:hint="cs"/>
          <w:sz w:val="26"/>
          <w:szCs w:val="26"/>
          <w:rtl/>
        </w:rPr>
        <w:t>על פי סעיף 11(ב) לצו תקופת המבחן הרשות ורשות האוכלוסין מחויבות להכין דין וחשבון מפורט ובו תוצאות הבדיקות שבוצעו- אחת לחצי שנה. דין וחשבון זה אמור להיות ערוך על פי כללים מקובלים לעריכת מבדקים למערכות ביומטריות ולכלול חוות דעת של הסטטיסטיקאי הממשלתי בדבר התאמה לכללים כאמור.</w:t>
      </w:r>
    </w:p>
    <w:p w:rsidR="00EA26F0" w:rsidRPr="00EA26F0" w:rsidRDefault="00EA26F0" w:rsidP="00AB5D86">
      <w:pPr>
        <w:spacing w:line="360" w:lineRule="auto"/>
        <w:ind w:left="720"/>
        <w:jc w:val="both"/>
        <w:rPr>
          <w:rFonts w:cs="David"/>
          <w:sz w:val="26"/>
          <w:szCs w:val="26"/>
          <w:rtl/>
        </w:rPr>
      </w:pPr>
      <w:r w:rsidRPr="00EA26F0">
        <w:rPr>
          <w:rFonts w:cs="David" w:hint="cs"/>
          <w:sz w:val="26"/>
          <w:szCs w:val="26"/>
          <w:rtl/>
        </w:rPr>
        <w:t>יש לציין כי בתום השנתיים הראשונות של תכנית המבחן, עם הכניסה לתקופת ה"הארכה"- הרשות איננה מבצעת בדיקות לחלופות לקיומו של מאגר ביומטרי כפי שהיא מחוייבת לבצע על פי חוק. הרשות טענה כי בדיקות אלה הסתיימו עם תום שתי שנות תכנית הפיילוט המחויבות על פי חוק.</w:t>
      </w:r>
    </w:p>
    <w:p w:rsidR="00EA26F0" w:rsidRPr="00EA26F0" w:rsidRDefault="00EA26F0" w:rsidP="00AB5D86">
      <w:pPr>
        <w:ind w:left="720"/>
        <w:jc w:val="both"/>
        <w:rPr>
          <w:rFonts w:cs="David"/>
          <w:sz w:val="26"/>
          <w:szCs w:val="26"/>
          <w:rtl/>
        </w:rPr>
      </w:pPr>
    </w:p>
    <w:p w:rsidR="002E0348" w:rsidRDefault="002E0348" w:rsidP="00AB5D86">
      <w:pPr>
        <w:jc w:val="both"/>
        <w:rPr>
          <w:rFonts w:cs="David"/>
          <w:b/>
          <w:bCs/>
          <w:sz w:val="26"/>
          <w:szCs w:val="26"/>
          <w:u w:val="single"/>
          <w:rtl/>
        </w:rPr>
      </w:pPr>
      <w:r>
        <w:rPr>
          <w:rFonts w:cs="David" w:hint="cs"/>
          <w:b/>
          <w:bCs/>
          <w:sz w:val="26"/>
          <w:szCs w:val="26"/>
          <w:u w:val="single"/>
          <w:rtl/>
        </w:rPr>
        <w:t>דיון כללי לקראת סיומה של תכנית המבחן-</w:t>
      </w:r>
    </w:p>
    <w:p w:rsidR="008848F2" w:rsidRDefault="002E0348" w:rsidP="00AB5D86">
      <w:pPr>
        <w:spacing w:line="360" w:lineRule="auto"/>
        <w:jc w:val="both"/>
        <w:rPr>
          <w:rFonts w:cs="David"/>
          <w:sz w:val="26"/>
          <w:szCs w:val="26"/>
          <w:rtl/>
        </w:rPr>
      </w:pPr>
      <w:r w:rsidRPr="002E0348">
        <w:rPr>
          <w:rFonts w:cs="David" w:hint="cs"/>
          <w:sz w:val="26"/>
          <w:szCs w:val="26"/>
          <w:rtl/>
        </w:rPr>
        <w:t xml:space="preserve">תכנית המבחן הוארכה במרץ 2016 בפעם השניה בתשעה חודשים נוספים ועתידה להסתיים (נכון לעכשיו") בסוף דצמבר 2016. </w:t>
      </w:r>
      <w:r w:rsidR="00E323CF">
        <w:rPr>
          <w:rFonts w:cs="David" w:hint="cs"/>
          <w:sz w:val="26"/>
          <w:szCs w:val="26"/>
          <w:rtl/>
        </w:rPr>
        <w:t xml:space="preserve">על פי סעיף 41 לחוק, הארכת הפיילוט, אשר אורכו שנתיים שהחלו ב- 30.6.13- מוגבלת לשנתיים נוספות בלבד. </w:t>
      </w:r>
    </w:p>
    <w:p w:rsidR="008848F2" w:rsidRDefault="00E323CF" w:rsidP="00AB5D86">
      <w:pPr>
        <w:spacing w:line="360" w:lineRule="auto"/>
        <w:jc w:val="both"/>
        <w:rPr>
          <w:rFonts w:cs="David"/>
          <w:sz w:val="26"/>
          <w:szCs w:val="26"/>
          <w:rtl/>
        </w:rPr>
      </w:pPr>
      <w:r>
        <w:rPr>
          <w:rFonts w:cs="David" w:hint="cs"/>
          <w:sz w:val="26"/>
          <w:szCs w:val="26"/>
          <w:rtl/>
        </w:rPr>
        <w:t xml:space="preserve">מכאן שבסוף חודש יוני 2017 תסתיים בהכרח תקופת המבחן לגבי </w:t>
      </w:r>
      <w:r w:rsidR="008848F2">
        <w:rPr>
          <w:rFonts w:cs="David" w:hint="cs"/>
          <w:sz w:val="26"/>
          <w:szCs w:val="26"/>
          <w:rtl/>
        </w:rPr>
        <w:t xml:space="preserve">נחיצות </w:t>
      </w:r>
      <w:r>
        <w:rPr>
          <w:rFonts w:cs="David" w:hint="cs"/>
          <w:sz w:val="26"/>
          <w:szCs w:val="26"/>
          <w:rtl/>
        </w:rPr>
        <w:t xml:space="preserve">קיומו </w:t>
      </w:r>
      <w:r w:rsidR="008848F2">
        <w:rPr>
          <w:rFonts w:cs="David" w:hint="cs"/>
          <w:sz w:val="26"/>
          <w:szCs w:val="26"/>
          <w:rtl/>
        </w:rPr>
        <w:t xml:space="preserve">והפעלתו </w:t>
      </w:r>
      <w:r>
        <w:rPr>
          <w:rFonts w:cs="David" w:hint="cs"/>
          <w:sz w:val="26"/>
          <w:szCs w:val="26"/>
          <w:rtl/>
        </w:rPr>
        <w:t xml:space="preserve">של מאגר ביומטרי </w:t>
      </w:r>
      <w:r w:rsidR="00337EB3">
        <w:rPr>
          <w:rFonts w:cs="David" w:hint="cs"/>
          <w:sz w:val="26"/>
          <w:szCs w:val="26"/>
          <w:rtl/>
        </w:rPr>
        <w:t>ושר הפנ</w:t>
      </w:r>
      <w:r w:rsidR="00BD3B0A">
        <w:rPr>
          <w:rFonts w:cs="David" w:hint="cs"/>
          <w:sz w:val="26"/>
          <w:szCs w:val="26"/>
          <w:rtl/>
        </w:rPr>
        <w:t>ים יצטרך לקבל החלטה לגבי יישומו. באם לא תתקבל הכרעה כאמור- יימחק המאגר שבו נתוני זיהוי ביומטריים של אזרחים שהתנדבו להשתתף בתכנית המבחן</w:t>
      </w:r>
      <w:r w:rsidR="008848F2">
        <w:rPr>
          <w:rFonts w:cs="David" w:hint="cs"/>
          <w:sz w:val="26"/>
          <w:szCs w:val="26"/>
          <w:rtl/>
        </w:rPr>
        <w:t xml:space="preserve"> ולקבל תעודת זהות ודרכון ביומטריים.</w:t>
      </w:r>
    </w:p>
    <w:p w:rsidR="008848F2" w:rsidRDefault="008848F2" w:rsidP="00AB5D86">
      <w:pPr>
        <w:spacing w:line="360" w:lineRule="auto"/>
        <w:jc w:val="both"/>
        <w:rPr>
          <w:rFonts w:cs="David"/>
          <w:sz w:val="26"/>
          <w:szCs w:val="26"/>
          <w:rtl/>
        </w:rPr>
      </w:pPr>
      <w:r>
        <w:rPr>
          <w:rFonts w:cs="David" w:hint="cs"/>
          <w:sz w:val="26"/>
          <w:szCs w:val="26"/>
          <w:rtl/>
        </w:rPr>
        <w:t>לפתחו של השר עומדת הכרעה לגבי עצם קיומו ונחיצותו של מאגר ביומטרי, ללא קשר להחלטה שכבר התקבלה על מעבר ל</w:t>
      </w:r>
      <w:r w:rsidR="003F0C3C">
        <w:rPr>
          <w:rFonts w:cs="David" w:hint="cs"/>
          <w:sz w:val="26"/>
          <w:szCs w:val="26"/>
          <w:rtl/>
        </w:rPr>
        <w:t>תיעוד ביומטרי חכם- היינו, תעודות</w:t>
      </w:r>
      <w:r>
        <w:rPr>
          <w:rFonts w:cs="David" w:hint="cs"/>
          <w:sz w:val="26"/>
          <w:szCs w:val="26"/>
          <w:rtl/>
        </w:rPr>
        <w:t xml:space="preserve"> זהות ודרכונים ביומטריים וכן לגבי הנתונים ואמצעי הזיהוי הביומטריים שיישמרו במאגר.</w:t>
      </w:r>
    </w:p>
    <w:p w:rsidR="008848F2" w:rsidRDefault="008848F2" w:rsidP="00AB5D86">
      <w:pPr>
        <w:spacing w:line="360" w:lineRule="auto"/>
        <w:jc w:val="both"/>
        <w:rPr>
          <w:rFonts w:cs="David"/>
          <w:sz w:val="26"/>
          <w:szCs w:val="26"/>
          <w:rtl/>
        </w:rPr>
      </w:pPr>
      <w:r>
        <w:rPr>
          <w:rFonts w:cs="David" w:hint="cs"/>
          <w:sz w:val="26"/>
          <w:szCs w:val="26"/>
          <w:rtl/>
        </w:rPr>
        <w:t>זאת, בעיקר לאור חוות דעתו של הממונה על היישומים הביומטריים במשרד ראש הממשלה העומד בראש הוו</w:t>
      </w:r>
      <w:r w:rsidR="003F0C3C">
        <w:rPr>
          <w:rFonts w:cs="David" w:hint="cs"/>
          <w:sz w:val="26"/>
          <w:szCs w:val="26"/>
          <w:rtl/>
        </w:rPr>
        <w:t>ע</w:t>
      </w:r>
      <w:r>
        <w:rPr>
          <w:rFonts w:cs="David" w:hint="cs"/>
          <w:sz w:val="26"/>
          <w:szCs w:val="26"/>
          <w:rtl/>
        </w:rPr>
        <w:t>דה המייעצת המפקחת על התנהלות תכנית המבחן לפי יש לקיים מאגר ביומטרי אולם מומלץ שלא לאגור בו טביעות אצבע של אזרחים כי אם תמונות פנים בלבד.</w:t>
      </w:r>
    </w:p>
    <w:p w:rsidR="003F153A" w:rsidRDefault="008848F2" w:rsidP="00AB5D86">
      <w:pPr>
        <w:spacing w:line="360" w:lineRule="auto"/>
        <w:jc w:val="both"/>
        <w:rPr>
          <w:rFonts w:cs="David"/>
          <w:sz w:val="26"/>
          <w:szCs w:val="26"/>
          <w:rtl/>
        </w:rPr>
      </w:pPr>
      <w:r>
        <w:rPr>
          <w:rFonts w:cs="David" w:hint="cs"/>
          <w:sz w:val="26"/>
          <w:szCs w:val="26"/>
          <w:rtl/>
        </w:rPr>
        <w:t xml:space="preserve">באם יוחלט על קיומו של מאגר- </w:t>
      </w:r>
      <w:r w:rsidR="00F70C54">
        <w:rPr>
          <w:rFonts w:cs="David" w:hint="cs"/>
          <w:sz w:val="26"/>
          <w:szCs w:val="26"/>
          <w:rtl/>
        </w:rPr>
        <w:t xml:space="preserve">עם תכולת נתונים </w:t>
      </w:r>
      <w:r w:rsidR="000703D6">
        <w:rPr>
          <w:rFonts w:cs="David" w:hint="cs"/>
          <w:sz w:val="26"/>
          <w:szCs w:val="26"/>
          <w:rtl/>
        </w:rPr>
        <w:t xml:space="preserve">כזו או אחרת כאמור לעיל- </w:t>
      </w:r>
      <w:r>
        <w:rPr>
          <w:rFonts w:cs="David" w:hint="cs"/>
          <w:sz w:val="26"/>
          <w:szCs w:val="26"/>
          <w:rtl/>
        </w:rPr>
        <w:t xml:space="preserve">  </w:t>
      </w:r>
      <w:r w:rsidR="004B312C">
        <w:rPr>
          <w:rFonts w:cs="David" w:hint="cs"/>
          <w:sz w:val="26"/>
          <w:szCs w:val="26"/>
          <w:rtl/>
        </w:rPr>
        <w:t xml:space="preserve">הרי שבאופן עקרוני עם כניסתו של החוק לתוקף יחל שימוש במאגר לפי מה שקבע החוק. השימוש במאגר לפי החוק נקבע לא רק לשם תמיכה בהנפקת תיעוד ביומטרי כדי למנוע </w:t>
      </w:r>
      <w:r w:rsidR="004B312C">
        <w:rPr>
          <w:rFonts w:cs="David" w:hint="cs"/>
          <w:sz w:val="26"/>
          <w:szCs w:val="26"/>
          <w:rtl/>
        </w:rPr>
        <w:lastRenderedPageBreak/>
        <w:t>גניבת זהות, אלא באופן נרחב גם לשימושים משטרתיים יומיומיים כגון בדיקת הזדהות שגרתית.</w:t>
      </w:r>
    </w:p>
    <w:p w:rsidR="00D30E4B" w:rsidRDefault="008C074B" w:rsidP="00AB5D86">
      <w:pPr>
        <w:spacing w:line="360" w:lineRule="auto"/>
        <w:jc w:val="both"/>
        <w:rPr>
          <w:rFonts w:cs="David"/>
          <w:sz w:val="26"/>
          <w:szCs w:val="26"/>
          <w:rtl/>
        </w:rPr>
      </w:pPr>
      <w:r>
        <w:rPr>
          <w:rFonts w:cs="David" w:hint="cs"/>
          <w:sz w:val="26"/>
          <w:szCs w:val="26"/>
          <w:rtl/>
        </w:rPr>
        <w:t xml:space="preserve">נושא השימוש הנרחב במאגר </w:t>
      </w:r>
      <w:r w:rsidRPr="008C074B">
        <w:rPr>
          <w:rFonts w:cs="David" w:hint="cs"/>
          <w:b/>
          <w:bCs/>
          <w:sz w:val="26"/>
          <w:szCs w:val="26"/>
          <w:u w:val="single"/>
          <w:rtl/>
        </w:rPr>
        <w:t>שלא ל</w:t>
      </w:r>
      <w:r>
        <w:rPr>
          <w:rFonts w:cs="David" w:hint="cs"/>
          <w:b/>
          <w:bCs/>
          <w:sz w:val="26"/>
          <w:szCs w:val="26"/>
          <w:u w:val="single"/>
          <w:rtl/>
        </w:rPr>
        <w:t>מטרות מניעת התחזויות וגניבת זהו</w:t>
      </w:r>
      <w:r w:rsidRPr="008C074B">
        <w:rPr>
          <w:rFonts w:cs="David" w:hint="cs"/>
          <w:b/>
          <w:bCs/>
          <w:sz w:val="26"/>
          <w:szCs w:val="26"/>
          <w:u w:val="single"/>
          <w:rtl/>
        </w:rPr>
        <w:t>ת</w:t>
      </w:r>
      <w:r>
        <w:rPr>
          <w:rFonts w:cs="David" w:hint="cs"/>
          <w:sz w:val="26"/>
          <w:szCs w:val="26"/>
          <w:rtl/>
        </w:rPr>
        <w:t xml:space="preserve"> בעת הנפקת תיעוד ביומטרי, היינו לשימושים משטרתיים שגרתיים, היה במחלוקת עמוקה בעת חקיקתו של החוק. זאת הן מטעמים של הגנת הפרטיות, אך גם מהטעם ששימוש נרחב ויומיומי במאגר ומסירת מידע ממנו לרשות שלישית עלול לפגוע ברמת האבטחה שלו.</w:t>
      </w:r>
    </w:p>
    <w:p w:rsidR="008C074B" w:rsidRPr="000154F4" w:rsidRDefault="008C074B" w:rsidP="00AB5D86">
      <w:pPr>
        <w:spacing w:line="360" w:lineRule="auto"/>
        <w:jc w:val="both"/>
        <w:rPr>
          <w:rFonts w:cs="David"/>
          <w:sz w:val="26"/>
          <w:szCs w:val="26"/>
          <w:rtl/>
        </w:rPr>
      </w:pPr>
      <w:r>
        <w:rPr>
          <w:rFonts w:cs="David" w:hint="cs"/>
          <w:sz w:val="26"/>
          <w:szCs w:val="26"/>
          <w:rtl/>
        </w:rPr>
        <w:t>באם ירצה השר לדון בנושא השלכות השימושים הנרחבים במאגר שלא למטרות תיעוד ביומטרי, זאת בין היתר לאור מסקנות תקופת המבחן שנערכה- נתונה לו הסמכות, לפי סעיף 41(5) לחוק, לקבוע כי החלת החוק תהיה הדרגתית ובתנאים בהתאם לצו שיקבע. היינו, כי ההוראות הנוגעות לשימוש במאגר שלא לצרכי תיעוד ביומטרי לא ייכנסו לתוקף מחד עם סיומה של תקופת המבחן.</w:t>
      </w:r>
    </w:p>
    <w:sectPr w:rsidR="008C074B" w:rsidRPr="000154F4" w:rsidSect="000441C9">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0C4" w:rsidRDefault="00D140C4" w:rsidP="00EA26F0">
      <w:pPr>
        <w:spacing w:after="0" w:line="240" w:lineRule="auto"/>
      </w:pPr>
      <w:r>
        <w:separator/>
      </w:r>
    </w:p>
  </w:endnote>
  <w:endnote w:type="continuationSeparator" w:id="0">
    <w:p w:rsidR="00D140C4" w:rsidRDefault="00D140C4" w:rsidP="00EA2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0C4" w:rsidRDefault="00D140C4" w:rsidP="00EA26F0">
      <w:pPr>
        <w:spacing w:after="0" w:line="240" w:lineRule="auto"/>
      </w:pPr>
      <w:r>
        <w:separator/>
      </w:r>
    </w:p>
  </w:footnote>
  <w:footnote w:type="continuationSeparator" w:id="0">
    <w:p w:rsidR="00D140C4" w:rsidRDefault="00D140C4" w:rsidP="00EA26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4130769"/>
      <w:docPartObj>
        <w:docPartGallery w:val="Page Numbers (Top of Page)"/>
        <w:docPartUnique/>
      </w:docPartObj>
    </w:sdtPr>
    <w:sdtEndPr>
      <w:rPr>
        <w:cs/>
      </w:rPr>
    </w:sdtEndPr>
    <w:sdtContent>
      <w:p w:rsidR="00EA26F0" w:rsidRDefault="00EA26F0">
        <w:pPr>
          <w:pStyle w:val="a4"/>
          <w:jc w:val="center"/>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ED3C66" w:rsidRPr="00ED3C66">
          <w:rPr>
            <w:noProof/>
            <w:rtl/>
            <w:lang w:val="he-IL"/>
          </w:rPr>
          <w:t>3</w:t>
        </w:r>
        <w:r>
          <w:fldChar w:fldCharType="end"/>
        </w:r>
      </w:p>
    </w:sdtContent>
  </w:sdt>
  <w:p w:rsidR="00EA26F0" w:rsidRDefault="00EA26F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11A6"/>
    <w:multiLevelType w:val="hybridMultilevel"/>
    <w:tmpl w:val="BCC8FA90"/>
    <w:lvl w:ilvl="0" w:tplc="A64AE6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AB6501"/>
    <w:multiLevelType w:val="hybridMultilevel"/>
    <w:tmpl w:val="B5FE6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092F7F"/>
    <w:multiLevelType w:val="hybridMultilevel"/>
    <w:tmpl w:val="F3F46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417268"/>
    <w:multiLevelType w:val="hybridMultilevel"/>
    <w:tmpl w:val="F67EC89A"/>
    <w:lvl w:ilvl="0" w:tplc="D6949DBE">
      <w:start w:val="201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6358F8"/>
    <w:multiLevelType w:val="hybridMultilevel"/>
    <w:tmpl w:val="9866F1AA"/>
    <w:lvl w:ilvl="0" w:tplc="B502B19C">
      <w:start w:val="1"/>
      <w:numFmt w:val="decimal"/>
      <w:lvlText w:val="%1."/>
      <w:lvlJc w:val="left"/>
      <w:pPr>
        <w:ind w:left="720" w:hanging="360"/>
      </w:pPr>
      <w:rPr>
        <w:rFonts w:cs="David"/>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C80"/>
    <w:rsid w:val="000154F4"/>
    <w:rsid w:val="00036E48"/>
    <w:rsid w:val="000441C9"/>
    <w:rsid w:val="000533D0"/>
    <w:rsid w:val="000703D6"/>
    <w:rsid w:val="0010272B"/>
    <w:rsid w:val="001D5A69"/>
    <w:rsid w:val="00217FE1"/>
    <w:rsid w:val="00242301"/>
    <w:rsid w:val="002624FC"/>
    <w:rsid w:val="00284F8D"/>
    <w:rsid w:val="002E0231"/>
    <w:rsid w:val="002E0348"/>
    <w:rsid w:val="00335DC7"/>
    <w:rsid w:val="00337EB3"/>
    <w:rsid w:val="003C60D3"/>
    <w:rsid w:val="003D07F6"/>
    <w:rsid w:val="003E1C80"/>
    <w:rsid w:val="003F0C3C"/>
    <w:rsid w:val="003F153A"/>
    <w:rsid w:val="004609CB"/>
    <w:rsid w:val="004B312C"/>
    <w:rsid w:val="00552186"/>
    <w:rsid w:val="005768AA"/>
    <w:rsid w:val="0058022F"/>
    <w:rsid w:val="005B495F"/>
    <w:rsid w:val="006E2AB2"/>
    <w:rsid w:val="007A1A2F"/>
    <w:rsid w:val="007C3953"/>
    <w:rsid w:val="00847B4C"/>
    <w:rsid w:val="008848F2"/>
    <w:rsid w:val="008C074B"/>
    <w:rsid w:val="00982482"/>
    <w:rsid w:val="009A78BA"/>
    <w:rsid w:val="00A32A5B"/>
    <w:rsid w:val="00A45E03"/>
    <w:rsid w:val="00A7374E"/>
    <w:rsid w:val="00A9282C"/>
    <w:rsid w:val="00AB5D86"/>
    <w:rsid w:val="00B61450"/>
    <w:rsid w:val="00B659E9"/>
    <w:rsid w:val="00B9160C"/>
    <w:rsid w:val="00BD3B0A"/>
    <w:rsid w:val="00BE6805"/>
    <w:rsid w:val="00C2393F"/>
    <w:rsid w:val="00D05302"/>
    <w:rsid w:val="00D140C4"/>
    <w:rsid w:val="00D30E4B"/>
    <w:rsid w:val="00D3773C"/>
    <w:rsid w:val="00D5291C"/>
    <w:rsid w:val="00DD40FB"/>
    <w:rsid w:val="00E323CF"/>
    <w:rsid w:val="00E33D78"/>
    <w:rsid w:val="00E91A0F"/>
    <w:rsid w:val="00EA0E9C"/>
    <w:rsid w:val="00EA26F0"/>
    <w:rsid w:val="00EB366F"/>
    <w:rsid w:val="00ED3C66"/>
    <w:rsid w:val="00EE60F3"/>
    <w:rsid w:val="00F21F4B"/>
    <w:rsid w:val="00F70C54"/>
    <w:rsid w:val="00FA67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145FFC-FF31-475C-A2E9-D9E7F996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33D0"/>
    <w:pPr>
      <w:ind w:left="720"/>
      <w:contextualSpacing/>
    </w:pPr>
    <w:rPr>
      <w:rFonts w:ascii="Times New Roman" w:eastAsia="Times New Roman" w:hAnsi="Times New Roman" w:cs="Times New Roman"/>
      <w:sz w:val="20"/>
      <w:szCs w:val="20"/>
    </w:rPr>
  </w:style>
  <w:style w:type="paragraph" w:styleId="a4">
    <w:name w:val="header"/>
    <w:basedOn w:val="a"/>
    <w:link w:val="a5"/>
    <w:uiPriority w:val="99"/>
    <w:unhideWhenUsed/>
    <w:rsid w:val="00EA26F0"/>
    <w:pPr>
      <w:tabs>
        <w:tab w:val="center" w:pos="4153"/>
        <w:tab w:val="right" w:pos="8306"/>
      </w:tabs>
      <w:spacing w:after="0" w:line="240" w:lineRule="auto"/>
    </w:pPr>
  </w:style>
  <w:style w:type="character" w:customStyle="1" w:styleId="a5">
    <w:name w:val="כותרת עליונה תו"/>
    <w:basedOn w:val="a0"/>
    <w:link w:val="a4"/>
    <w:uiPriority w:val="99"/>
    <w:rsid w:val="00EA26F0"/>
  </w:style>
  <w:style w:type="paragraph" w:styleId="a6">
    <w:name w:val="footer"/>
    <w:basedOn w:val="a"/>
    <w:link w:val="a7"/>
    <w:uiPriority w:val="99"/>
    <w:unhideWhenUsed/>
    <w:rsid w:val="00EA26F0"/>
    <w:pPr>
      <w:tabs>
        <w:tab w:val="center" w:pos="4153"/>
        <w:tab w:val="right" w:pos="8306"/>
      </w:tabs>
      <w:spacing w:after="0" w:line="240" w:lineRule="auto"/>
    </w:pPr>
  </w:style>
  <w:style w:type="character" w:customStyle="1" w:styleId="a7">
    <w:name w:val="כותרת תחתונה תו"/>
    <w:basedOn w:val="a0"/>
    <w:link w:val="a6"/>
    <w:uiPriority w:val="99"/>
    <w:rsid w:val="00EA2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9CC1FA-DB84-4E70-9AF4-0A35AAB5781D}"/>
</file>

<file path=customXml/itemProps2.xml><?xml version="1.0" encoding="utf-8"?>
<ds:datastoreItem xmlns:ds="http://schemas.openxmlformats.org/officeDocument/2006/customXml" ds:itemID="{D64809A4-C88F-4F1C-87EA-73866452BE7E}"/>
</file>

<file path=customXml/itemProps3.xml><?xml version="1.0" encoding="utf-8"?>
<ds:datastoreItem xmlns:ds="http://schemas.openxmlformats.org/officeDocument/2006/customXml" ds:itemID="{AD5C4505-4C64-4AC1-AB60-77E754725A80}"/>
</file>

<file path=docProps/app.xml><?xml version="1.0" encoding="utf-8"?>
<Properties xmlns="http://schemas.openxmlformats.org/officeDocument/2006/extended-properties" xmlns:vt="http://schemas.openxmlformats.org/officeDocument/2006/docPropsVTypes">
  <Template>Normal</Template>
  <TotalTime>2</TotalTime>
  <Pages>4</Pages>
  <Words>954</Words>
  <Characters>4774</Characters>
  <Application>Microsoft Office Word</Application>
  <DocSecurity>4</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נירה לאמעי</dc:creator>
  <cp:lastModifiedBy>חופית עלפי</cp:lastModifiedBy>
  <cp:revision>2</cp:revision>
  <cp:lastPrinted>2016-07-31T07:24:00Z</cp:lastPrinted>
  <dcterms:created xsi:type="dcterms:W3CDTF">2016-07-31T07:26:00Z</dcterms:created>
  <dcterms:modified xsi:type="dcterms:W3CDTF">2016-07-31T07:26:00Z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2006488</vt:r8>
  </property>
</Properties>
</file>