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4C21" w:rsidRPr="004010BB" w:rsidRDefault="00324C21" w:rsidP="00324C21">
      <w:pPr>
        <w:spacing w:after="0" w:line="240" w:lineRule="auto"/>
        <w:ind w:left="5040" w:firstLine="720"/>
        <w:jc w:val="center"/>
        <w:rPr>
          <w:rFonts w:cs="David"/>
          <w:sz w:val="24"/>
          <w:szCs w:val="24"/>
          <w:rtl/>
        </w:rPr>
      </w:pPr>
      <w:bookmarkStart w:id="0" w:name="_GoBack"/>
      <w:bookmarkEnd w:id="0"/>
      <w:r w:rsidRPr="004010BB">
        <w:rPr>
          <w:rFonts w:cs="David" w:hint="cs"/>
          <w:sz w:val="24"/>
          <w:szCs w:val="24"/>
          <w:rtl/>
        </w:rPr>
        <w:t>ה' בחשון  התשע"ז</w:t>
      </w:r>
    </w:p>
    <w:p w:rsidR="00324C21" w:rsidRPr="004010BB" w:rsidRDefault="00324C21" w:rsidP="00324C21">
      <w:pPr>
        <w:spacing w:after="0" w:line="240" w:lineRule="auto"/>
        <w:jc w:val="both"/>
        <w:rPr>
          <w:rFonts w:cs="David"/>
          <w:sz w:val="24"/>
          <w:szCs w:val="24"/>
          <w:rtl/>
        </w:rPr>
      </w:pPr>
      <w:r w:rsidRPr="004010BB">
        <w:rPr>
          <w:rFonts w:cs="David" w:hint="cs"/>
          <w:sz w:val="24"/>
          <w:szCs w:val="24"/>
          <w:rtl/>
        </w:rPr>
        <w:t xml:space="preserve">   </w:t>
      </w:r>
      <w:r w:rsidRPr="004010BB">
        <w:rPr>
          <w:rFonts w:cs="David" w:hint="cs"/>
          <w:sz w:val="24"/>
          <w:szCs w:val="24"/>
          <w:rtl/>
        </w:rPr>
        <w:tab/>
      </w:r>
      <w:r w:rsidRPr="004010BB">
        <w:rPr>
          <w:rFonts w:cs="David" w:hint="cs"/>
          <w:sz w:val="24"/>
          <w:szCs w:val="24"/>
          <w:rtl/>
        </w:rPr>
        <w:tab/>
      </w:r>
      <w:r w:rsidRPr="004010BB">
        <w:rPr>
          <w:rFonts w:cs="David" w:hint="cs"/>
          <w:sz w:val="24"/>
          <w:szCs w:val="24"/>
          <w:rtl/>
        </w:rPr>
        <w:tab/>
      </w:r>
      <w:r w:rsidRPr="004010BB">
        <w:rPr>
          <w:rFonts w:cs="David" w:hint="cs"/>
          <w:sz w:val="24"/>
          <w:szCs w:val="24"/>
          <w:rtl/>
        </w:rPr>
        <w:tab/>
      </w:r>
      <w:r w:rsidRPr="004010BB">
        <w:rPr>
          <w:rFonts w:cs="David" w:hint="cs"/>
          <w:sz w:val="24"/>
          <w:szCs w:val="24"/>
          <w:rtl/>
        </w:rPr>
        <w:tab/>
      </w:r>
      <w:r w:rsidRPr="004010BB">
        <w:rPr>
          <w:rFonts w:cs="David" w:hint="cs"/>
          <w:sz w:val="24"/>
          <w:szCs w:val="24"/>
          <w:rtl/>
        </w:rPr>
        <w:tab/>
      </w:r>
      <w:r w:rsidRPr="004010BB">
        <w:rPr>
          <w:rFonts w:cs="David" w:hint="cs"/>
          <w:sz w:val="24"/>
          <w:szCs w:val="24"/>
          <w:rtl/>
        </w:rPr>
        <w:tab/>
      </w:r>
      <w:r w:rsidRPr="004010BB">
        <w:rPr>
          <w:rFonts w:cs="David" w:hint="cs"/>
          <w:sz w:val="24"/>
          <w:szCs w:val="24"/>
          <w:rtl/>
        </w:rPr>
        <w:tab/>
      </w:r>
      <w:r w:rsidRPr="004010BB">
        <w:rPr>
          <w:rFonts w:cs="David" w:hint="cs"/>
          <w:sz w:val="24"/>
          <w:szCs w:val="24"/>
          <w:rtl/>
        </w:rPr>
        <w:tab/>
        <w:t xml:space="preserve">  6    בנובמבר   2016</w:t>
      </w:r>
    </w:p>
    <w:p w:rsidR="00324C21" w:rsidRPr="004010BB" w:rsidRDefault="00324C21" w:rsidP="00324C21">
      <w:pPr>
        <w:spacing w:after="0" w:line="240" w:lineRule="auto"/>
        <w:jc w:val="both"/>
        <w:rPr>
          <w:rFonts w:cs="David"/>
          <w:sz w:val="24"/>
          <w:szCs w:val="24"/>
          <w:rtl/>
        </w:rPr>
      </w:pPr>
      <w:r w:rsidRPr="004010BB">
        <w:rPr>
          <w:rFonts w:cs="David" w:hint="cs"/>
          <w:sz w:val="24"/>
          <w:szCs w:val="24"/>
          <w:rtl/>
        </w:rPr>
        <w:t>אל: ועדת החוקה חוק ומשפט</w:t>
      </w:r>
    </w:p>
    <w:p w:rsidR="00324C21" w:rsidRPr="004010BB" w:rsidRDefault="00324C21" w:rsidP="00324C21">
      <w:pPr>
        <w:spacing w:after="0" w:line="240" w:lineRule="auto"/>
        <w:jc w:val="both"/>
        <w:rPr>
          <w:rFonts w:cs="David"/>
          <w:sz w:val="24"/>
          <w:szCs w:val="24"/>
          <w:rtl/>
        </w:rPr>
      </w:pPr>
      <w:r w:rsidRPr="004010BB">
        <w:rPr>
          <w:rFonts w:cs="David" w:hint="cs"/>
          <w:sz w:val="24"/>
          <w:szCs w:val="24"/>
          <w:rtl/>
        </w:rPr>
        <w:t>מאת: הייעוץ המשפטי לוועדה</w:t>
      </w:r>
    </w:p>
    <w:p w:rsidR="00324C21" w:rsidRPr="004010BB" w:rsidRDefault="00324C21" w:rsidP="00324C21">
      <w:pPr>
        <w:spacing w:after="0" w:line="240" w:lineRule="auto"/>
        <w:jc w:val="both"/>
        <w:rPr>
          <w:rFonts w:cs="David"/>
          <w:sz w:val="24"/>
          <w:szCs w:val="24"/>
          <w:rtl/>
        </w:rPr>
      </w:pPr>
    </w:p>
    <w:p w:rsidR="00324C21" w:rsidRPr="004010BB" w:rsidRDefault="00324C21" w:rsidP="00324C21">
      <w:pPr>
        <w:spacing w:before="240" w:after="0" w:line="360" w:lineRule="auto"/>
        <w:jc w:val="center"/>
        <w:rPr>
          <w:rFonts w:cs="David"/>
          <w:b/>
          <w:bCs/>
          <w:sz w:val="24"/>
          <w:szCs w:val="24"/>
          <w:u w:val="single"/>
          <w:rtl/>
        </w:rPr>
      </w:pPr>
    </w:p>
    <w:p w:rsidR="00324C21" w:rsidRPr="004010BB" w:rsidRDefault="00324C21" w:rsidP="00324C21">
      <w:pPr>
        <w:spacing w:before="120" w:after="0" w:line="360" w:lineRule="auto"/>
        <w:jc w:val="center"/>
        <w:rPr>
          <w:rFonts w:cs="David"/>
          <w:rtl/>
        </w:rPr>
      </w:pPr>
      <w:r w:rsidRPr="004010BB">
        <w:rPr>
          <w:rFonts w:cs="David" w:hint="cs"/>
          <w:b/>
          <w:bCs/>
          <w:sz w:val="24"/>
          <w:szCs w:val="24"/>
          <w:u w:val="single"/>
          <w:rtl/>
        </w:rPr>
        <w:t>מסמך רקע לקראת דיון הוועדה ביום 7.11.16 בנושא הצעת חוק העונשין (תיקון מס' 124) (עבירות המתה)</w:t>
      </w:r>
      <w:r w:rsidRPr="004010BB">
        <w:rPr>
          <w:rFonts w:cs="David" w:hint="cs"/>
          <w:rtl/>
        </w:rPr>
        <w:t xml:space="preserve">, </w:t>
      </w:r>
      <w:r w:rsidRPr="004010BB">
        <w:rPr>
          <w:rFonts w:cs="David" w:hint="cs"/>
          <w:b/>
          <w:bCs/>
          <w:sz w:val="24"/>
          <w:szCs w:val="24"/>
          <w:u w:val="single"/>
          <w:rtl/>
        </w:rPr>
        <w:t>התשע"ו</w:t>
      </w:r>
      <w:r w:rsidRPr="004010BB">
        <w:rPr>
          <w:rFonts w:cs="David" w:hint="eastAsia"/>
          <w:b/>
          <w:bCs/>
          <w:sz w:val="24"/>
          <w:szCs w:val="24"/>
          <w:u w:val="single"/>
          <w:rtl/>
        </w:rPr>
        <w:t>–</w:t>
      </w:r>
      <w:r w:rsidRPr="004010BB">
        <w:rPr>
          <w:rFonts w:cs="David" w:hint="cs"/>
          <w:b/>
          <w:bCs/>
          <w:sz w:val="24"/>
          <w:szCs w:val="24"/>
          <w:u w:val="single"/>
          <w:rtl/>
        </w:rPr>
        <w:t>2015</w:t>
      </w:r>
    </w:p>
    <w:p w:rsidR="00324C21" w:rsidRPr="004010BB" w:rsidRDefault="00324C21" w:rsidP="00324C21">
      <w:pPr>
        <w:pStyle w:val="p00"/>
        <w:tabs>
          <w:tab w:val="left" w:pos="9026"/>
        </w:tabs>
        <w:bidi/>
        <w:spacing w:before="72" w:beforeAutospacing="0" w:after="0" w:afterAutospacing="0" w:line="360" w:lineRule="auto"/>
        <w:jc w:val="both"/>
        <w:rPr>
          <w:rFonts w:ascii="David" w:hAnsi="David" w:cs="David"/>
          <w:rtl/>
        </w:rPr>
      </w:pPr>
    </w:p>
    <w:p w:rsidR="00324C21" w:rsidRPr="004010BB" w:rsidRDefault="00324C21" w:rsidP="00324C21">
      <w:pPr>
        <w:pStyle w:val="p00"/>
        <w:tabs>
          <w:tab w:val="left" w:pos="9026"/>
        </w:tabs>
        <w:bidi/>
        <w:spacing w:before="72" w:beforeAutospacing="0" w:after="0" w:afterAutospacing="0" w:line="360" w:lineRule="auto"/>
        <w:jc w:val="both"/>
        <w:rPr>
          <w:rFonts w:asciiTheme="minorHAnsi" w:eastAsiaTheme="minorHAnsi" w:hAnsiTheme="minorHAnsi" w:cs="David"/>
          <w:rtl/>
        </w:rPr>
      </w:pPr>
      <w:r w:rsidRPr="004010BB">
        <w:rPr>
          <w:rFonts w:ascii="David" w:hAnsi="David" w:cs="David"/>
          <w:rtl/>
        </w:rPr>
        <w:t>הצעת חוק העונשין (תיקון מס' 124) (עבירות המתה), התשע"</w:t>
      </w:r>
      <w:r w:rsidRPr="004010BB">
        <w:rPr>
          <w:rFonts w:ascii="David" w:hAnsi="David" w:cs="David" w:hint="cs"/>
          <w:rtl/>
        </w:rPr>
        <w:t>ו</w:t>
      </w:r>
      <w:r w:rsidRPr="004010BB">
        <w:rPr>
          <w:rFonts w:ascii="David" w:hAnsi="David" w:cs="David"/>
          <w:rtl/>
        </w:rPr>
        <w:t>-2015</w:t>
      </w:r>
      <w:r w:rsidRPr="004010BB">
        <w:rPr>
          <w:rFonts w:ascii="David" w:hAnsi="David" w:cs="David" w:hint="cs"/>
          <w:rtl/>
        </w:rPr>
        <w:t xml:space="preserve"> (</w:t>
      </w:r>
      <w:r w:rsidRPr="004010BB">
        <w:rPr>
          <w:rFonts w:cs="David" w:hint="cs"/>
          <w:rtl/>
        </w:rPr>
        <w:t xml:space="preserve">להלן </w:t>
      </w:r>
      <w:r w:rsidRPr="004010BB">
        <w:rPr>
          <w:rFonts w:cs="David"/>
          <w:rtl/>
        </w:rPr>
        <w:t>–</w:t>
      </w:r>
      <w:r w:rsidRPr="004010BB">
        <w:rPr>
          <w:rFonts w:cs="David" w:hint="cs"/>
          <w:rtl/>
        </w:rPr>
        <w:t xml:space="preserve"> הצעת החוק), </w:t>
      </w:r>
      <w:r w:rsidRPr="004010BB">
        <w:rPr>
          <w:rFonts w:ascii="David" w:hAnsi="David" w:cs="David"/>
          <w:rtl/>
        </w:rPr>
        <w:t xml:space="preserve"> עוסק</w:t>
      </w:r>
      <w:r w:rsidRPr="004010BB">
        <w:rPr>
          <w:rFonts w:ascii="David" w:hAnsi="David" w:cs="David" w:hint="cs"/>
          <w:rtl/>
        </w:rPr>
        <w:t>ת</w:t>
      </w:r>
      <w:r w:rsidRPr="004010BB">
        <w:rPr>
          <w:rFonts w:ascii="David" w:hAnsi="David" w:cs="David"/>
          <w:rtl/>
        </w:rPr>
        <w:t xml:space="preserve"> ביצירת מדרג חדש של עבירות ההמתה</w:t>
      </w:r>
      <w:r w:rsidRPr="004010BB">
        <w:rPr>
          <w:rFonts w:ascii="David" w:hAnsi="David" w:cs="David" w:hint="cs"/>
          <w:rtl/>
        </w:rPr>
        <w:t xml:space="preserve"> בחוק העונשין, התשל"ז</w:t>
      </w:r>
      <w:r w:rsidRPr="004010BB">
        <w:rPr>
          <w:rFonts w:ascii="David" w:hAnsi="David" w:cs="David" w:hint="eastAsia"/>
          <w:rtl/>
        </w:rPr>
        <w:t>–</w:t>
      </w:r>
      <w:r w:rsidRPr="004010BB">
        <w:rPr>
          <w:rFonts w:ascii="David" w:hAnsi="David" w:cs="David" w:hint="cs"/>
          <w:rtl/>
        </w:rPr>
        <w:t xml:space="preserve">1977, כפי שפירטנו במסמך </w:t>
      </w:r>
      <w:r w:rsidRPr="004010BB">
        <w:rPr>
          <w:rFonts w:cs="David" w:hint="cs"/>
          <w:rtl/>
        </w:rPr>
        <w:t>הרקע מ</w:t>
      </w:r>
      <w:r w:rsidRPr="004010BB">
        <w:rPr>
          <w:rFonts w:cs="David" w:hint="eastAsia"/>
          <w:rtl/>
        </w:rPr>
        <w:t>יום</w:t>
      </w:r>
      <w:r w:rsidRPr="004010BB">
        <w:rPr>
          <w:rFonts w:cs="David" w:hint="cs"/>
          <w:rtl/>
        </w:rPr>
        <w:t xml:space="preserve"> 18.7.16</w:t>
      </w:r>
      <w:r w:rsidRPr="004010BB">
        <w:rPr>
          <w:rFonts w:ascii="David" w:hAnsi="David" w:cs="David"/>
          <w:rtl/>
        </w:rPr>
        <w:t>.</w:t>
      </w:r>
      <w:r w:rsidRPr="004010BB">
        <w:rPr>
          <w:rFonts w:ascii="David" w:hAnsi="David" w:cs="David" w:hint="cs"/>
          <w:rtl/>
        </w:rPr>
        <w:t xml:space="preserve"> </w:t>
      </w:r>
      <w:r w:rsidRPr="004010BB">
        <w:rPr>
          <w:rFonts w:cs="David" w:hint="cs"/>
          <w:rtl/>
        </w:rPr>
        <w:t xml:space="preserve">אחד החידושים המוצעים בהצעת החוק הוא יצירת הבחנה בין שתי צורות של יסוד נפשי בעבירת ההמתה -  יסוד נפשי של אדישות ויסוד נפשי של קלות דעת </w:t>
      </w:r>
      <w:r w:rsidRPr="004010BB">
        <w:rPr>
          <w:rFonts w:cs="David"/>
          <w:rtl/>
        </w:rPr>
        <w:t>–</w:t>
      </w:r>
      <w:r w:rsidRPr="004010BB">
        <w:rPr>
          <w:rFonts w:cs="David" w:hint="cs"/>
          <w:rtl/>
        </w:rPr>
        <w:t xml:space="preserve"> כאשר ההצעה מבקשה לקבוע כי עבירת הרצח תכלול, בנוסף ליסוד נפשי של כוונה, את ההמתה באדישות. </w:t>
      </w:r>
      <w:r w:rsidRPr="004010BB">
        <w:rPr>
          <w:rFonts w:asciiTheme="minorHAnsi" w:eastAsiaTheme="minorHAnsi" w:hAnsiTheme="minorHAnsi" w:cs="David" w:hint="cs"/>
          <w:rtl/>
        </w:rPr>
        <w:t>במסמך זה נתאר את המצב המשפטי הקיים שהביא להצעה זו, וכן נסקור הצעות חלופיות להצעה הממשלתית ונציג את הקשיים והיתרונות שבכל אחת מהחלופות המוצעות.</w:t>
      </w:r>
    </w:p>
    <w:p w:rsidR="00324C21" w:rsidRPr="004010BB" w:rsidRDefault="00324C21" w:rsidP="00324C21">
      <w:pPr>
        <w:pStyle w:val="p00"/>
        <w:tabs>
          <w:tab w:val="left" w:pos="9026"/>
        </w:tabs>
        <w:bidi/>
        <w:spacing w:before="72" w:beforeAutospacing="0" w:after="0" w:afterAutospacing="0" w:line="360" w:lineRule="auto"/>
        <w:jc w:val="both"/>
        <w:rPr>
          <w:rFonts w:asciiTheme="minorHAnsi" w:eastAsiaTheme="minorHAnsi" w:hAnsiTheme="minorHAnsi" w:cs="David"/>
          <w:rtl/>
        </w:rPr>
      </w:pPr>
    </w:p>
    <w:p w:rsidR="00324C21" w:rsidRPr="004010BB" w:rsidRDefault="00324C21" w:rsidP="00324C21">
      <w:pPr>
        <w:spacing w:before="120" w:after="0" w:line="360" w:lineRule="auto"/>
        <w:jc w:val="both"/>
        <w:rPr>
          <w:rFonts w:cs="David"/>
          <w:sz w:val="24"/>
          <w:szCs w:val="24"/>
          <w:rtl/>
        </w:rPr>
      </w:pPr>
      <w:r w:rsidRPr="004010BB">
        <w:rPr>
          <w:rFonts w:cs="David" w:hint="cs"/>
          <w:sz w:val="24"/>
          <w:szCs w:val="24"/>
          <w:rtl/>
        </w:rPr>
        <w:t xml:space="preserve">המשפט הפלילי מבוסס על עיקרון האשם </w:t>
      </w:r>
      <w:r w:rsidRPr="004010BB">
        <w:rPr>
          <w:rFonts w:cs="David"/>
          <w:sz w:val="24"/>
          <w:szCs w:val="24"/>
          <w:rtl/>
        </w:rPr>
        <w:t>–</w:t>
      </w:r>
      <w:r w:rsidRPr="004010BB">
        <w:rPr>
          <w:rFonts w:cs="David" w:hint="cs"/>
          <w:sz w:val="24"/>
          <w:szCs w:val="24"/>
          <w:rtl/>
        </w:rPr>
        <w:t xml:space="preserve"> נדרש מעשה שמגבש עבירה (יסוד עובדתי) וגם אשם מוסרי (יסוד נפשי) כתנאי לגיבוש אחריות פלילית. היסוד הנפשי מבוסס על מודעות המבצע </w:t>
      </w:r>
      <w:r w:rsidRPr="004010BB">
        <w:rPr>
          <w:rFonts w:ascii="David" w:hAnsi="David" w:cs="David" w:hint="cs"/>
          <w:sz w:val="24"/>
          <w:szCs w:val="24"/>
          <w:rtl/>
        </w:rPr>
        <w:t xml:space="preserve">לטיב מעשה, לקיום הנסיבות ולאפשרות גרימת תוצאות המעשה, תוך כוונה לגרום לתוצאה או בפזיזות לאפשרות גרימתה. </w:t>
      </w:r>
      <w:r w:rsidRPr="004010BB">
        <w:rPr>
          <w:rFonts w:cs="David" w:hint="cs"/>
          <w:sz w:val="24"/>
          <w:szCs w:val="24"/>
          <w:rtl/>
        </w:rPr>
        <w:t>בהתאם לכך, חוק העונשין, התשל"ז</w:t>
      </w:r>
      <w:r w:rsidRPr="004010BB">
        <w:rPr>
          <w:rFonts w:cs="David" w:hint="eastAsia"/>
          <w:sz w:val="24"/>
          <w:szCs w:val="24"/>
          <w:rtl/>
        </w:rPr>
        <w:t>–</w:t>
      </w:r>
      <w:r w:rsidRPr="004010BB">
        <w:rPr>
          <w:rFonts w:cs="David" w:hint="cs"/>
          <w:sz w:val="24"/>
          <w:szCs w:val="24"/>
          <w:rtl/>
        </w:rPr>
        <w:t xml:space="preserve">1977 (להלן </w:t>
      </w:r>
      <w:r w:rsidRPr="004010BB">
        <w:rPr>
          <w:rFonts w:cs="David"/>
          <w:sz w:val="24"/>
          <w:szCs w:val="24"/>
          <w:rtl/>
        </w:rPr>
        <w:t>–</w:t>
      </w:r>
      <w:r w:rsidRPr="004010BB">
        <w:rPr>
          <w:rFonts w:cs="David" w:hint="cs"/>
          <w:sz w:val="24"/>
          <w:szCs w:val="24"/>
          <w:rtl/>
        </w:rPr>
        <w:t xml:space="preserve"> החוק או חוק העונשין) מגדיר שלוש רמות של "</w:t>
      </w:r>
      <w:r w:rsidRPr="004010BB">
        <w:rPr>
          <w:rFonts w:cs="David" w:hint="cs"/>
          <w:b/>
          <w:bCs/>
          <w:sz w:val="24"/>
          <w:szCs w:val="24"/>
          <w:rtl/>
        </w:rPr>
        <w:t>מחשבה פלילית</w:t>
      </w:r>
      <w:r w:rsidRPr="004010BB">
        <w:rPr>
          <w:rFonts w:cs="David" w:hint="cs"/>
          <w:sz w:val="24"/>
          <w:szCs w:val="24"/>
          <w:rtl/>
        </w:rPr>
        <w:t>" שמבטאות את רמת האשם של העבריין</w:t>
      </w:r>
      <w:r w:rsidRPr="004010BB">
        <w:rPr>
          <w:rStyle w:val="a6"/>
          <w:rFonts w:cs="David"/>
          <w:sz w:val="24"/>
          <w:szCs w:val="24"/>
          <w:rtl/>
        </w:rPr>
        <w:footnoteReference w:id="1"/>
      </w:r>
      <w:r w:rsidRPr="004010BB">
        <w:rPr>
          <w:rFonts w:cs="David" w:hint="cs"/>
          <w:sz w:val="24"/>
          <w:szCs w:val="24"/>
          <w:rtl/>
        </w:rPr>
        <w:t xml:space="preserve">: </w:t>
      </w:r>
    </w:p>
    <w:p w:rsidR="00324C21" w:rsidRPr="004010BB" w:rsidRDefault="00324C21" w:rsidP="00324C21">
      <w:pPr>
        <w:spacing w:before="120" w:after="0" w:line="360" w:lineRule="auto"/>
        <w:ind w:left="720"/>
        <w:jc w:val="both"/>
        <w:rPr>
          <w:rFonts w:cs="David"/>
          <w:sz w:val="24"/>
          <w:szCs w:val="24"/>
          <w:rtl/>
        </w:rPr>
      </w:pPr>
      <w:r w:rsidRPr="004010BB">
        <w:rPr>
          <w:rFonts w:cs="David" w:hint="cs"/>
          <w:b/>
          <w:bCs/>
          <w:sz w:val="24"/>
          <w:szCs w:val="24"/>
          <w:rtl/>
        </w:rPr>
        <w:t>כוונה</w:t>
      </w:r>
      <w:r w:rsidRPr="004010BB">
        <w:rPr>
          <w:rFonts w:cs="David" w:hint="cs"/>
          <w:sz w:val="24"/>
          <w:szCs w:val="24"/>
          <w:rtl/>
        </w:rPr>
        <w:t xml:space="preserve"> </w:t>
      </w:r>
      <w:r w:rsidRPr="004010BB">
        <w:rPr>
          <w:rFonts w:cs="David"/>
          <w:sz w:val="24"/>
          <w:szCs w:val="24"/>
          <w:rtl/>
        </w:rPr>
        <w:t>–</w:t>
      </w:r>
      <w:r w:rsidRPr="004010BB">
        <w:rPr>
          <w:rFonts w:cs="David" w:hint="cs"/>
          <w:sz w:val="24"/>
          <w:szCs w:val="24"/>
          <w:rtl/>
        </w:rPr>
        <w:t xml:space="preserve"> שהיא מטרה לגרום לתוצאה.</w:t>
      </w:r>
    </w:p>
    <w:p w:rsidR="00324C21" w:rsidRPr="004010BB" w:rsidRDefault="00324C21" w:rsidP="00324C21">
      <w:pPr>
        <w:spacing w:before="120" w:after="0" w:line="360" w:lineRule="auto"/>
        <w:ind w:firstLine="720"/>
        <w:jc w:val="both"/>
        <w:rPr>
          <w:rFonts w:ascii="David" w:hAnsi="David" w:cs="David"/>
          <w:sz w:val="24"/>
          <w:szCs w:val="24"/>
          <w:rtl/>
        </w:rPr>
      </w:pPr>
      <w:r w:rsidRPr="004010BB">
        <w:rPr>
          <w:rFonts w:ascii="David" w:hAnsi="David" w:cs="David" w:hint="cs"/>
          <w:b/>
          <w:bCs/>
          <w:sz w:val="24"/>
          <w:szCs w:val="24"/>
          <w:rtl/>
        </w:rPr>
        <w:t>פזיזות</w:t>
      </w:r>
      <w:r w:rsidRPr="004010BB">
        <w:rPr>
          <w:rFonts w:ascii="David" w:hAnsi="David" w:cs="David" w:hint="cs"/>
          <w:sz w:val="24"/>
          <w:szCs w:val="24"/>
          <w:rtl/>
        </w:rPr>
        <w:t xml:space="preserve"> </w:t>
      </w:r>
      <w:r w:rsidRPr="004010BB">
        <w:rPr>
          <w:rFonts w:ascii="David" w:hAnsi="David" w:cs="David" w:hint="eastAsia"/>
          <w:sz w:val="24"/>
          <w:szCs w:val="24"/>
          <w:rtl/>
        </w:rPr>
        <w:t>–</w:t>
      </w:r>
      <w:r w:rsidRPr="004010BB">
        <w:rPr>
          <w:rFonts w:ascii="David" w:hAnsi="David" w:cs="David" w:hint="cs"/>
          <w:sz w:val="24"/>
          <w:szCs w:val="24"/>
          <w:rtl/>
        </w:rPr>
        <w:t xml:space="preserve"> המתגבשת באחת מאלה:</w:t>
      </w:r>
    </w:p>
    <w:p w:rsidR="00324C21" w:rsidRPr="004010BB" w:rsidRDefault="00324C21" w:rsidP="00324C21">
      <w:pPr>
        <w:spacing w:before="120" w:after="0" w:line="360" w:lineRule="auto"/>
        <w:ind w:left="2160"/>
        <w:jc w:val="both"/>
        <w:rPr>
          <w:rFonts w:cs="David"/>
          <w:sz w:val="24"/>
          <w:szCs w:val="24"/>
          <w:rtl/>
        </w:rPr>
      </w:pPr>
      <w:r w:rsidRPr="004010BB">
        <w:rPr>
          <w:rFonts w:ascii="David" w:hAnsi="David" w:cs="David" w:hint="cs"/>
          <w:sz w:val="24"/>
          <w:szCs w:val="24"/>
          <w:rtl/>
        </w:rPr>
        <w:t xml:space="preserve">1. </w:t>
      </w:r>
      <w:r w:rsidRPr="004010BB">
        <w:rPr>
          <w:rFonts w:cs="David" w:hint="cs"/>
          <w:b/>
          <w:bCs/>
          <w:sz w:val="24"/>
          <w:szCs w:val="24"/>
          <w:rtl/>
        </w:rPr>
        <w:t>אדישות</w:t>
      </w:r>
      <w:r w:rsidRPr="004010BB">
        <w:rPr>
          <w:rFonts w:cs="David" w:hint="cs"/>
          <w:sz w:val="24"/>
          <w:szCs w:val="24"/>
          <w:rtl/>
        </w:rPr>
        <w:t xml:space="preserve"> - שוויון</w:t>
      </w:r>
      <w:r w:rsidRPr="004010BB">
        <w:rPr>
          <w:rFonts w:cs="David"/>
          <w:sz w:val="24"/>
          <w:szCs w:val="24"/>
          <w:rtl/>
        </w:rPr>
        <w:t xml:space="preserve"> </w:t>
      </w:r>
      <w:r w:rsidRPr="004010BB">
        <w:rPr>
          <w:rFonts w:cs="David" w:hint="cs"/>
          <w:sz w:val="24"/>
          <w:szCs w:val="24"/>
          <w:rtl/>
        </w:rPr>
        <w:t>נפש</w:t>
      </w:r>
      <w:r w:rsidRPr="004010BB">
        <w:rPr>
          <w:rFonts w:cs="David"/>
          <w:sz w:val="24"/>
          <w:szCs w:val="24"/>
          <w:rtl/>
        </w:rPr>
        <w:t xml:space="preserve"> </w:t>
      </w:r>
      <w:r w:rsidRPr="004010BB">
        <w:rPr>
          <w:rFonts w:cs="David" w:hint="cs"/>
          <w:sz w:val="24"/>
          <w:szCs w:val="24"/>
          <w:rtl/>
        </w:rPr>
        <w:t>לאפשרות</w:t>
      </w:r>
      <w:r w:rsidRPr="004010BB">
        <w:rPr>
          <w:rFonts w:cs="David"/>
          <w:sz w:val="24"/>
          <w:szCs w:val="24"/>
          <w:rtl/>
        </w:rPr>
        <w:t xml:space="preserve"> </w:t>
      </w:r>
      <w:r w:rsidRPr="004010BB">
        <w:rPr>
          <w:rFonts w:cs="David" w:hint="cs"/>
          <w:sz w:val="24"/>
          <w:szCs w:val="24"/>
          <w:rtl/>
        </w:rPr>
        <w:t>גרימת</w:t>
      </w:r>
      <w:r w:rsidRPr="004010BB">
        <w:rPr>
          <w:rFonts w:cs="David"/>
          <w:sz w:val="24"/>
          <w:szCs w:val="24"/>
          <w:rtl/>
        </w:rPr>
        <w:t xml:space="preserve"> </w:t>
      </w:r>
      <w:r w:rsidRPr="004010BB">
        <w:rPr>
          <w:rFonts w:cs="David" w:hint="cs"/>
          <w:sz w:val="24"/>
          <w:szCs w:val="24"/>
          <w:rtl/>
        </w:rPr>
        <w:t>התוצאות.</w:t>
      </w:r>
    </w:p>
    <w:p w:rsidR="00324C21" w:rsidRPr="004010BB" w:rsidRDefault="00324C21" w:rsidP="00324C21">
      <w:pPr>
        <w:spacing w:before="120" w:after="0" w:line="360" w:lineRule="auto"/>
        <w:ind w:left="2160"/>
        <w:jc w:val="both"/>
        <w:rPr>
          <w:rFonts w:cs="David"/>
          <w:sz w:val="24"/>
          <w:szCs w:val="24"/>
          <w:rtl/>
        </w:rPr>
      </w:pPr>
      <w:r w:rsidRPr="004010BB">
        <w:rPr>
          <w:rFonts w:ascii="David" w:hAnsi="David" w:cs="David" w:hint="cs"/>
          <w:sz w:val="24"/>
          <w:szCs w:val="24"/>
          <w:rtl/>
        </w:rPr>
        <w:lastRenderedPageBreak/>
        <w:t xml:space="preserve">2. </w:t>
      </w:r>
      <w:r w:rsidRPr="004010BB">
        <w:rPr>
          <w:rFonts w:cs="David" w:hint="cs"/>
          <w:b/>
          <w:bCs/>
          <w:sz w:val="24"/>
          <w:szCs w:val="24"/>
          <w:rtl/>
        </w:rPr>
        <w:t>קלות דעת</w:t>
      </w:r>
      <w:r w:rsidRPr="004010BB">
        <w:rPr>
          <w:rFonts w:cs="David" w:hint="cs"/>
          <w:sz w:val="24"/>
          <w:szCs w:val="24"/>
          <w:rtl/>
        </w:rPr>
        <w:t xml:space="preserve"> - </w:t>
      </w:r>
      <w:r w:rsidRPr="004010BB">
        <w:rPr>
          <w:rFonts w:cs="David"/>
          <w:sz w:val="24"/>
          <w:szCs w:val="24"/>
          <w:rtl/>
        </w:rPr>
        <w:t xml:space="preserve"> </w:t>
      </w:r>
      <w:r w:rsidRPr="004010BB">
        <w:rPr>
          <w:rFonts w:cs="David" w:hint="cs"/>
          <w:sz w:val="24"/>
          <w:szCs w:val="24"/>
          <w:rtl/>
        </w:rPr>
        <w:t>בנטילת</w:t>
      </w:r>
      <w:r w:rsidRPr="004010BB">
        <w:rPr>
          <w:rFonts w:cs="David"/>
          <w:sz w:val="24"/>
          <w:szCs w:val="24"/>
          <w:rtl/>
        </w:rPr>
        <w:t xml:space="preserve"> </w:t>
      </w:r>
      <w:r w:rsidRPr="004010BB">
        <w:rPr>
          <w:rFonts w:cs="David" w:hint="cs"/>
          <w:sz w:val="24"/>
          <w:szCs w:val="24"/>
          <w:rtl/>
        </w:rPr>
        <w:t>סיכון</w:t>
      </w:r>
      <w:r w:rsidRPr="004010BB">
        <w:rPr>
          <w:rFonts w:cs="David"/>
          <w:sz w:val="24"/>
          <w:szCs w:val="24"/>
          <w:rtl/>
        </w:rPr>
        <w:t xml:space="preserve"> </w:t>
      </w:r>
      <w:r w:rsidRPr="004010BB">
        <w:rPr>
          <w:rFonts w:cs="David" w:hint="cs"/>
          <w:sz w:val="24"/>
          <w:szCs w:val="24"/>
          <w:rtl/>
        </w:rPr>
        <w:t>בלתי</w:t>
      </w:r>
      <w:r w:rsidRPr="004010BB">
        <w:rPr>
          <w:rFonts w:cs="David"/>
          <w:sz w:val="24"/>
          <w:szCs w:val="24"/>
          <w:rtl/>
        </w:rPr>
        <w:t xml:space="preserve"> </w:t>
      </w:r>
      <w:r w:rsidRPr="004010BB">
        <w:rPr>
          <w:rFonts w:cs="David" w:hint="cs"/>
          <w:sz w:val="24"/>
          <w:szCs w:val="24"/>
          <w:rtl/>
        </w:rPr>
        <w:t>סביר</w:t>
      </w:r>
      <w:r w:rsidRPr="004010BB">
        <w:rPr>
          <w:rFonts w:cs="David"/>
          <w:sz w:val="24"/>
          <w:szCs w:val="24"/>
          <w:rtl/>
        </w:rPr>
        <w:t xml:space="preserve"> </w:t>
      </w:r>
      <w:r w:rsidRPr="004010BB">
        <w:rPr>
          <w:rFonts w:cs="David" w:hint="cs"/>
          <w:sz w:val="24"/>
          <w:szCs w:val="24"/>
          <w:rtl/>
        </w:rPr>
        <w:t>לאפשרות</w:t>
      </w:r>
      <w:r w:rsidRPr="004010BB">
        <w:rPr>
          <w:rFonts w:cs="David"/>
          <w:sz w:val="24"/>
          <w:szCs w:val="24"/>
          <w:rtl/>
        </w:rPr>
        <w:t xml:space="preserve"> </w:t>
      </w:r>
      <w:r w:rsidRPr="004010BB">
        <w:rPr>
          <w:rFonts w:cs="David" w:hint="cs"/>
          <w:sz w:val="24"/>
          <w:szCs w:val="24"/>
          <w:rtl/>
        </w:rPr>
        <w:t>גרימת</w:t>
      </w:r>
      <w:r w:rsidRPr="004010BB">
        <w:rPr>
          <w:rFonts w:cs="David"/>
          <w:sz w:val="24"/>
          <w:szCs w:val="24"/>
          <w:rtl/>
        </w:rPr>
        <w:t xml:space="preserve"> </w:t>
      </w:r>
      <w:r w:rsidRPr="004010BB">
        <w:rPr>
          <w:rFonts w:cs="David" w:hint="cs"/>
          <w:sz w:val="24"/>
          <w:szCs w:val="24"/>
          <w:rtl/>
        </w:rPr>
        <w:t>התוצאות</w:t>
      </w:r>
      <w:r w:rsidRPr="004010BB">
        <w:rPr>
          <w:rFonts w:cs="David"/>
          <w:sz w:val="24"/>
          <w:szCs w:val="24"/>
          <w:rtl/>
        </w:rPr>
        <w:t xml:space="preserve"> </w:t>
      </w:r>
      <w:r w:rsidRPr="004010BB">
        <w:rPr>
          <w:rFonts w:cs="David" w:hint="cs"/>
          <w:sz w:val="24"/>
          <w:szCs w:val="24"/>
          <w:rtl/>
        </w:rPr>
        <w:t>האמורות</w:t>
      </w:r>
      <w:r w:rsidRPr="004010BB">
        <w:rPr>
          <w:rFonts w:cs="David"/>
          <w:sz w:val="24"/>
          <w:szCs w:val="24"/>
          <w:rtl/>
        </w:rPr>
        <w:t xml:space="preserve">, </w:t>
      </w:r>
      <w:r w:rsidRPr="004010BB">
        <w:rPr>
          <w:rFonts w:cs="David" w:hint="cs"/>
          <w:sz w:val="24"/>
          <w:szCs w:val="24"/>
          <w:rtl/>
        </w:rPr>
        <w:t>מתוך</w:t>
      </w:r>
      <w:r w:rsidRPr="004010BB">
        <w:rPr>
          <w:rFonts w:cs="David"/>
          <w:sz w:val="24"/>
          <w:szCs w:val="24"/>
          <w:rtl/>
        </w:rPr>
        <w:t xml:space="preserve"> </w:t>
      </w:r>
      <w:r w:rsidRPr="004010BB">
        <w:rPr>
          <w:rFonts w:cs="David" w:hint="cs"/>
          <w:sz w:val="24"/>
          <w:szCs w:val="24"/>
          <w:rtl/>
        </w:rPr>
        <w:t>תקווה</w:t>
      </w:r>
      <w:r w:rsidRPr="004010BB">
        <w:rPr>
          <w:rFonts w:cs="David"/>
          <w:sz w:val="24"/>
          <w:szCs w:val="24"/>
          <w:rtl/>
        </w:rPr>
        <w:t xml:space="preserve"> </w:t>
      </w:r>
      <w:r w:rsidRPr="004010BB">
        <w:rPr>
          <w:rFonts w:cs="David" w:hint="cs"/>
          <w:sz w:val="24"/>
          <w:szCs w:val="24"/>
          <w:rtl/>
        </w:rPr>
        <w:t>להצליח</w:t>
      </w:r>
      <w:r w:rsidRPr="004010BB">
        <w:rPr>
          <w:rFonts w:cs="David"/>
          <w:sz w:val="24"/>
          <w:szCs w:val="24"/>
          <w:rtl/>
        </w:rPr>
        <w:t xml:space="preserve"> </w:t>
      </w:r>
      <w:r w:rsidRPr="004010BB">
        <w:rPr>
          <w:rFonts w:cs="David" w:hint="cs"/>
          <w:sz w:val="24"/>
          <w:szCs w:val="24"/>
          <w:rtl/>
        </w:rPr>
        <w:t>למנען.</w:t>
      </w:r>
    </w:p>
    <w:p w:rsidR="00324C21" w:rsidRPr="004010BB" w:rsidRDefault="00324C21" w:rsidP="00324C21">
      <w:pPr>
        <w:spacing w:before="120" w:after="0" w:line="360" w:lineRule="auto"/>
        <w:jc w:val="both"/>
        <w:rPr>
          <w:rFonts w:cs="David"/>
          <w:sz w:val="24"/>
          <w:szCs w:val="24"/>
          <w:rtl/>
        </w:rPr>
      </w:pPr>
      <w:r w:rsidRPr="004010BB">
        <w:rPr>
          <w:rFonts w:cs="David" w:hint="cs"/>
          <w:sz w:val="24"/>
          <w:szCs w:val="24"/>
          <w:rtl/>
        </w:rPr>
        <w:t>בכל אלה, האדם מודע לאפשרות גרימת התוצאה.</w:t>
      </w:r>
    </w:p>
    <w:p w:rsidR="00324C21" w:rsidRPr="004010BB" w:rsidRDefault="00324C21" w:rsidP="00324C21">
      <w:pPr>
        <w:spacing w:before="120" w:after="0" w:line="360" w:lineRule="auto"/>
        <w:jc w:val="both"/>
        <w:rPr>
          <w:rFonts w:cs="David"/>
          <w:sz w:val="24"/>
          <w:szCs w:val="24"/>
          <w:rtl/>
        </w:rPr>
      </w:pPr>
      <w:r w:rsidRPr="004010BB">
        <w:rPr>
          <w:rFonts w:cs="David" w:hint="cs"/>
          <w:sz w:val="24"/>
          <w:szCs w:val="24"/>
          <w:rtl/>
        </w:rPr>
        <w:t>(ככל שהאדם אינו מודע לתוצאות האפשריות, או ליסודות האחרים של העבירה, הוא מסווג כ-"</w:t>
      </w:r>
      <w:r w:rsidRPr="004010BB">
        <w:rPr>
          <w:rFonts w:cs="David" w:hint="cs"/>
          <w:b/>
          <w:bCs/>
          <w:sz w:val="24"/>
          <w:szCs w:val="24"/>
          <w:rtl/>
        </w:rPr>
        <w:t>רשלן</w:t>
      </w:r>
      <w:r w:rsidRPr="004010BB">
        <w:rPr>
          <w:rFonts w:cs="David" w:hint="cs"/>
          <w:sz w:val="24"/>
          <w:szCs w:val="24"/>
          <w:rtl/>
        </w:rPr>
        <w:t>"</w:t>
      </w:r>
      <w:r w:rsidRPr="004010BB">
        <w:rPr>
          <w:rStyle w:val="a6"/>
          <w:rFonts w:cs="David"/>
          <w:sz w:val="24"/>
          <w:szCs w:val="24"/>
          <w:rtl/>
        </w:rPr>
        <w:footnoteReference w:id="2"/>
      </w:r>
      <w:r w:rsidRPr="004010BB">
        <w:rPr>
          <w:rFonts w:cs="David" w:hint="cs"/>
          <w:sz w:val="24"/>
          <w:szCs w:val="24"/>
          <w:rtl/>
        </w:rPr>
        <w:t>, ומייחסים לו אחריות פלילית רק במקרים מסוימים).</w:t>
      </w:r>
    </w:p>
    <w:p w:rsidR="00324C21" w:rsidRPr="004010BB" w:rsidRDefault="00324C21" w:rsidP="00324C21">
      <w:pPr>
        <w:spacing w:before="120" w:after="0" w:line="360" w:lineRule="auto"/>
        <w:jc w:val="both"/>
        <w:rPr>
          <w:rFonts w:cs="David"/>
          <w:sz w:val="24"/>
          <w:szCs w:val="24"/>
          <w:rtl/>
        </w:rPr>
      </w:pPr>
      <w:r w:rsidRPr="004010BB">
        <w:rPr>
          <w:rFonts w:cs="David" w:hint="cs"/>
          <w:sz w:val="24"/>
          <w:szCs w:val="24"/>
          <w:rtl/>
        </w:rPr>
        <w:t xml:space="preserve">בעבירות מסוימות די ביסוד נפשי של פזיזות, ובעבירות מסוימות קבע המחוקק שנדרש יסוד נפשי של כוונה כדי להרשיע בהן. יש עבירות אחרות שהעונש המרבי בהן לביצוע העבירה משתנה בהתאם ליסוד הנפשי. (לדוגמא, לצד עבירה של חבלה חמורה עונש של שבע שנות מאסר </w:t>
      </w:r>
      <w:r w:rsidRPr="004010BB">
        <w:rPr>
          <w:rFonts w:cs="David"/>
          <w:sz w:val="24"/>
          <w:szCs w:val="24"/>
          <w:rtl/>
        </w:rPr>
        <w:t>–</w:t>
      </w:r>
      <w:r w:rsidRPr="004010BB">
        <w:rPr>
          <w:rFonts w:cs="David" w:hint="cs"/>
          <w:sz w:val="24"/>
          <w:szCs w:val="24"/>
          <w:rtl/>
        </w:rPr>
        <w:t xml:space="preserve"> אולם, אם הפגיעה היא "בכוונה להטיל באדם נכות או  מום" (לפי סעיף 329 לחוק העונשין), העונש המרבי גבוה יותר ועומד על 20 שנות מאסר).</w:t>
      </w:r>
    </w:p>
    <w:p w:rsidR="00324C21" w:rsidRPr="004010BB" w:rsidRDefault="00324C21" w:rsidP="00324C21">
      <w:pPr>
        <w:spacing w:before="120" w:after="0" w:line="360" w:lineRule="auto"/>
        <w:jc w:val="both"/>
        <w:rPr>
          <w:rFonts w:cs="David"/>
          <w:sz w:val="24"/>
          <w:szCs w:val="24"/>
          <w:rtl/>
        </w:rPr>
      </w:pPr>
      <w:r w:rsidRPr="004010BB">
        <w:rPr>
          <w:rFonts w:cs="David" w:hint="cs"/>
          <w:sz w:val="24"/>
          <w:szCs w:val="24"/>
          <w:rtl/>
        </w:rPr>
        <w:t>בנוסף, חוק העונשין קובע כי ככלל, לעניין</w:t>
      </w:r>
      <w:r w:rsidRPr="004010BB">
        <w:rPr>
          <w:rFonts w:cs="David"/>
          <w:sz w:val="24"/>
          <w:szCs w:val="24"/>
          <w:rtl/>
        </w:rPr>
        <w:t xml:space="preserve"> </w:t>
      </w:r>
      <w:r w:rsidRPr="004010BB">
        <w:rPr>
          <w:rFonts w:cs="David" w:hint="cs"/>
          <w:sz w:val="24"/>
          <w:szCs w:val="24"/>
          <w:rtl/>
        </w:rPr>
        <w:t>כוונה</w:t>
      </w:r>
      <w:r w:rsidRPr="004010BB">
        <w:rPr>
          <w:rFonts w:cs="David"/>
          <w:sz w:val="24"/>
          <w:szCs w:val="24"/>
          <w:rtl/>
        </w:rPr>
        <w:t xml:space="preserve">, </w:t>
      </w:r>
      <w:r w:rsidRPr="004010BB">
        <w:rPr>
          <w:rFonts w:cs="David" w:hint="cs"/>
          <w:sz w:val="24"/>
          <w:szCs w:val="24"/>
          <w:rtl/>
        </w:rPr>
        <w:t>ראייה</w:t>
      </w:r>
      <w:r w:rsidRPr="004010BB">
        <w:rPr>
          <w:rFonts w:cs="David"/>
          <w:sz w:val="24"/>
          <w:szCs w:val="24"/>
          <w:rtl/>
        </w:rPr>
        <w:t xml:space="preserve"> </w:t>
      </w:r>
      <w:r w:rsidRPr="004010BB">
        <w:rPr>
          <w:rFonts w:cs="David" w:hint="cs"/>
          <w:sz w:val="24"/>
          <w:szCs w:val="24"/>
          <w:rtl/>
        </w:rPr>
        <w:t>מראש</w:t>
      </w:r>
      <w:r w:rsidRPr="004010BB">
        <w:rPr>
          <w:rFonts w:cs="David"/>
          <w:sz w:val="24"/>
          <w:szCs w:val="24"/>
          <w:rtl/>
        </w:rPr>
        <w:t xml:space="preserve"> </w:t>
      </w:r>
      <w:r w:rsidRPr="004010BB">
        <w:rPr>
          <w:rFonts w:cs="David" w:hint="cs"/>
          <w:sz w:val="24"/>
          <w:szCs w:val="24"/>
          <w:rtl/>
        </w:rPr>
        <w:t>את</w:t>
      </w:r>
      <w:r w:rsidRPr="004010BB">
        <w:rPr>
          <w:rFonts w:cs="David"/>
          <w:sz w:val="24"/>
          <w:szCs w:val="24"/>
          <w:rtl/>
        </w:rPr>
        <w:t xml:space="preserve"> </w:t>
      </w:r>
      <w:r w:rsidRPr="004010BB">
        <w:rPr>
          <w:rFonts w:cs="David" w:hint="cs"/>
          <w:sz w:val="24"/>
          <w:szCs w:val="24"/>
          <w:rtl/>
        </w:rPr>
        <w:t>התרחשות</w:t>
      </w:r>
      <w:r w:rsidRPr="004010BB">
        <w:rPr>
          <w:rFonts w:cs="David"/>
          <w:sz w:val="24"/>
          <w:szCs w:val="24"/>
          <w:rtl/>
        </w:rPr>
        <w:t xml:space="preserve"> </w:t>
      </w:r>
      <w:r w:rsidRPr="004010BB">
        <w:rPr>
          <w:rFonts w:cs="David" w:hint="cs"/>
          <w:sz w:val="24"/>
          <w:szCs w:val="24"/>
          <w:rtl/>
        </w:rPr>
        <w:t>התוצאות</w:t>
      </w:r>
      <w:r w:rsidRPr="004010BB">
        <w:rPr>
          <w:rFonts w:cs="David"/>
          <w:sz w:val="24"/>
          <w:szCs w:val="24"/>
          <w:rtl/>
        </w:rPr>
        <w:t xml:space="preserve">, </w:t>
      </w:r>
      <w:r w:rsidRPr="004010BB">
        <w:rPr>
          <w:rFonts w:cs="David" w:hint="cs"/>
          <w:sz w:val="24"/>
          <w:szCs w:val="24"/>
          <w:rtl/>
        </w:rPr>
        <w:t>כאפשרות</w:t>
      </w:r>
      <w:r w:rsidRPr="004010BB">
        <w:rPr>
          <w:rFonts w:cs="David"/>
          <w:sz w:val="24"/>
          <w:szCs w:val="24"/>
          <w:rtl/>
        </w:rPr>
        <w:t xml:space="preserve"> </w:t>
      </w:r>
      <w:r w:rsidRPr="004010BB">
        <w:rPr>
          <w:rFonts w:cs="David" w:hint="cs"/>
          <w:sz w:val="24"/>
          <w:szCs w:val="24"/>
          <w:rtl/>
        </w:rPr>
        <w:t>קרובה</w:t>
      </w:r>
      <w:r w:rsidRPr="004010BB">
        <w:rPr>
          <w:rFonts w:cs="David"/>
          <w:sz w:val="24"/>
          <w:szCs w:val="24"/>
          <w:rtl/>
        </w:rPr>
        <w:t xml:space="preserve"> </w:t>
      </w:r>
      <w:r w:rsidRPr="004010BB">
        <w:rPr>
          <w:rFonts w:cs="David" w:hint="cs"/>
          <w:sz w:val="24"/>
          <w:szCs w:val="24"/>
          <w:rtl/>
        </w:rPr>
        <w:t>לוודאי</w:t>
      </w:r>
      <w:r w:rsidRPr="004010BB">
        <w:rPr>
          <w:rFonts w:cs="David"/>
          <w:sz w:val="24"/>
          <w:szCs w:val="24"/>
          <w:rtl/>
        </w:rPr>
        <w:t xml:space="preserve">, </w:t>
      </w:r>
      <w:r w:rsidRPr="004010BB">
        <w:rPr>
          <w:rFonts w:cs="David" w:hint="cs"/>
          <w:sz w:val="24"/>
          <w:szCs w:val="24"/>
          <w:rtl/>
        </w:rPr>
        <w:t>כמוה</w:t>
      </w:r>
      <w:r w:rsidRPr="004010BB">
        <w:rPr>
          <w:rFonts w:cs="David"/>
          <w:sz w:val="24"/>
          <w:szCs w:val="24"/>
          <w:rtl/>
        </w:rPr>
        <w:t xml:space="preserve"> </w:t>
      </w:r>
      <w:r w:rsidRPr="004010BB">
        <w:rPr>
          <w:rFonts w:cs="David" w:hint="cs"/>
          <w:sz w:val="24"/>
          <w:szCs w:val="24"/>
          <w:rtl/>
        </w:rPr>
        <w:t>כמטרה (מה שמכונה "</w:t>
      </w:r>
      <w:r w:rsidRPr="004010BB">
        <w:rPr>
          <w:rFonts w:cs="David" w:hint="cs"/>
          <w:b/>
          <w:bCs/>
          <w:sz w:val="24"/>
          <w:szCs w:val="24"/>
          <w:rtl/>
        </w:rPr>
        <w:t>הלכת הצפיות</w:t>
      </w:r>
      <w:r w:rsidRPr="004010BB">
        <w:rPr>
          <w:rFonts w:cs="David" w:hint="cs"/>
          <w:sz w:val="24"/>
          <w:szCs w:val="24"/>
          <w:rtl/>
        </w:rPr>
        <w:t>")</w:t>
      </w:r>
      <w:r w:rsidRPr="004010BB">
        <w:rPr>
          <w:rFonts w:cs="David"/>
          <w:sz w:val="24"/>
          <w:szCs w:val="24"/>
          <w:rtl/>
        </w:rPr>
        <w:t>.</w:t>
      </w:r>
      <w:r w:rsidRPr="004010BB">
        <w:rPr>
          <w:rFonts w:cs="David" w:hint="cs"/>
          <w:sz w:val="24"/>
          <w:szCs w:val="24"/>
          <w:rtl/>
        </w:rPr>
        <w:t xml:space="preserve"> </w:t>
      </w:r>
    </w:p>
    <w:p w:rsidR="00324C21" w:rsidRPr="004010BB" w:rsidRDefault="00324C21" w:rsidP="00324C21">
      <w:pPr>
        <w:spacing w:before="120" w:after="0" w:line="360" w:lineRule="auto"/>
        <w:jc w:val="both"/>
        <w:rPr>
          <w:rFonts w:cs="David"/>
          <w:b/>
          <w:bCs/>
          <w:sz w:val="24"/>
          <w:szCs w:val="24"/>
          <w:u w:val="single"/>
          <w:rtl/>
        </w:rPr>
      </w:pPr>
    </w:p>
    <w:p w:rsidR="00324C21" w:rsidRPr="004010BB" w:rsidRDefault="00324C21" w:rsidP="00324C21">
      <w:pPr>
        <w:spacing w:before="120" w:after="0" w:line="360" w:lineRule="auto"/>
        <w:jc w:val="both"/>
        <w:rPr>
          <w:rFonts w:cs="David"/>
          <w:b/>
          <w:bCs/>
          <w:sz w:val="24"/>
          <w:szCs w:val="24"/>
          <w:u w:val="single"/>
          <w:rtl/>
        </w:rPr>
      </w:pPr>
      <w:r w:rsidRPr="004010BB">
        <w:rPr>
          <w:rFonts w:cs="David" w:hint="cs"/>
          <w:b/>
          <w:bCs/>
          <w:sz w:val="24"/>
          <w:szCs w:val="24"/>
          <w:u w:val="single"/>
          <w:rtl/>
        </w:rPr>
        <w:t>התיקון המוצע:</w:t>
      </w:r>
    </w:p>
    <w:p w:rsidR="00324C21" w:rsidRPr="004010BB" w:rsidRDefault="00324C21" w:rsidP="00324C21">
      <w:pPr>
        <w:pStyle w:val="p00"/>
        <w:tabs>
          <w:tab w:val="left" w:pos="9026"/>
        </w:tabs>
        <w:bidi/>
        <w:spacing w:before="72" w:beforeAutospacing="0" w:after="0" w:afterAutospacing="0" w:line="360" w:lineRule="auto"/>
        <w:jc w:val="both"/>
        <w:rPr>
          <w:rFonts w:cs="David"/>
          <w:rtl/>
        </w:rPr>
      </w:pPr>
      <w:r w:rsidRPr="004010BB">
        <w:rPr>
          <w:rFonts w:cs="David" w:hint="cs"/>
          <w:rtl/>
        </w:rPr>
        <w:t xml:space="preserve">הצעת החוק הממשלתית מבקשת לבנות מחדש את המדרג של עבירות ההמתה, ולקבוע כי בעבירה "הבסיסית" של רצח (שהעונש בצדה הוא מאסר עולם), וכן בעבירת הרצח בנסיבות מחמירות (שהעונש בצדה הוא מאסר עולם חובה), היסוד הנפשי שנדרש יהיה </w:t>
      </w:r>
      <w:r w:rsidRPr="004010BB">
        <w:rPr>
          <w:rFonts w:cs="David" w:hint="cs"/>
          <w:b/>
          <w:bCs/>
          <w:u w:val="single"/>
          <w:rtl/>
        </w:rPr>
        <w:t>יסוד נפשי של כוונה או אדישות</w:t>
      </w:r>
      <w:r w:rsidRPr="004010BB">
        <w:rPr>
          <w:rFonts w:cs="David" w:hint="cs"/>
          <w:rtl/>
        </w:rPr>
        <w:t xml:space="preserve">. לעומת זאת, המתה ביסוד נפשי של </w:t>
      </w:r>
      <w:r w:rsidRPr="004010BB">
        <w:rPr>
          <w:rFonts w:cs="David" w:hint="cs"/>
          <w:b/>
          <w:bCs/>
          <w:u w:val="single"/>
          <w:rtl/>
        </w:rPr>
        <w:t>קלות דעת</w:t>
      </w:r>
      <w:r w:rsidRPr="004010BB">
        <w:rPr>
          <w:rFonts w:cs="David" w:hint="cs"/>
          <w:rtl/>
        </w:rPr>
        <w:t xml:space="preserve"> תגבש עבירה נפרדת, שלצדה עונש מרבי של 12 שנות מאסר, וללא תיוג של רצח, אלא כעבירה בדרגת חומרה קלה בהרבה. (בהתאם להצעה, המונח "כוונה תחילה", שנתייחס אליו להלן, יימחק מספר החוקים). </w:t>
      </w:r>
    </w:p>
    <w:p w:rsidR="00324C21" w:rsidRPr="004010BB" w:rsidRDefault="00324C21" w:rsidP="00324C21">
      <w:pPr>
        <w:spacing w:before="120" w:after="0" w:line="360" w:lineRule="auto"/>
        <w:jc w:val="both"/>
        <w:rPr>
          <w:rFonts w:cs="David"/>
          <w:sz w:val="24"/>
          <w:szCs w:val="24"/>
          <w:rtl/>
        </w:rPr>
      </w:pPr>
      <w:r w:rsidRPr="004010BB">
        <w:rPr>
          <w:rFonts w:cs="David" w:hint="cs"/>
          <w:sz w:val="24"/>
          <w:szCs w:val="24"/>
          <w:rtl/>
        </w:rPr>
        <w:t>כיום, עבירת "הרצח", שבצדה עונש מאסר עולם חובה, כוללת המתה מתוך יסוד נפשי של "כוונה תחילה", יסוד נפשי שייחודי לעבירת הרצח. אולם, "כוונה תחילה" התפרשה בצורה רחבה בפסיקה, עד שככלל אין הבדל משמעותי בין יסוד נפשי זה לבין יסוד נפשי של "כוונה</w:t>
      </w:r>
      <w:r w:rsidRPr="004010BB">
        <w:rPr>
          <w:rFonts w:cs="David"/>
          <w:sz w:val="24"/>
          <w:szCs w:val="24"/>
          <w:rtl/>
        </w:rPr>
        <w:t>"</w:t>
      </w:r>
      <w:r w:rsidRPr="004010BB">
        <w:rPr>
          <w:rFonts w:cs="David" w:hint="cs"/>
          <w:sz w:val="24"/>
          <w:szCs w:val="24"/>
          <w:rtl/>
        </w:rPr>
        <w:t>. יחד עם זאת, יש דרישה נוספת של היעדר קנטור שמשליכה על גיבוש היסוד הנפשי של כוונה תחילה, בעיקר כאשר מדובר על כוונה שהתגבשה באופן ספונטני. (הצעת החוק מבקשת להעביר את הרכיב של היעדר הקנטור מיסודות עבירת הרצח לסעיף של אחריות מופחתת, עליו נדון בהרחבה בהמשך).</w:t>
      </w:r>
    </w:p>
    <w:p w:rsidR="00324C21" w:rsidRPr="004010BB" w:rsidRDefault="00324C21" w:rsidP="00324C21">
      <w:pPr>
        <w:spacing w:before="120" w:after="0" w:line="360" w:lineRule="auto"/>
        <w:jc w:val="both"/>
        <w:rPr>
          <w:rFonts w:cs="David"/>
          <w:sz w:val="24"/>
          <w:szCs w:val="24"/>
          <w:rtl/>
        </w:rPr>
      </w:pPr>
      <w:r w:rsidRPr="004010BB">
        <w:rPr>
          <w:rFonts w:cs="David" w:hint="cs"/>
          <w:sz w:val="24"/>
          <w:szCs w:val="24"/>
          <w:rtl/>
        </w:rPr>
        <w:t>בנוסף, עבירת הרצח היום כוללת המתה מתוך יסוד נפשי של מחשבה פלילית (כזכור, יסוד נפשי שכולל בתוכו קלות דעת, אדישות וכוונה), כאשר מדובר ברצח של אב, אם, סב או סבתא</w:t>
      </w:r>
      <w:r w:rsidRPr="004010BB">
        <w:rPr>
          <w:rFonts w:cs="David"/>
          <w:sz w:val="24"/>
          <w:szCs w:val="24"/>
        </w:rPr>
        <w:t>;</w:t>
      </w:r>
      <w:r w:rsidRPr="004010BB">
        <w:rPr>
          <w:rFonts w:cs="David" w:hint="cs"/>
          <w:sz w:val="24"/>
          <w:szCs w:val="24"/>
          <w:rtl/>
        </w:rPr>
        <w:t xml:space="preserve"> תוך כדי ביצוע עבירה; או כדי להבטיח הימלטות מעונש. המתה מתוך יסוד נפשי של מחשבה פלילית שלא בנסיבות המחמירות האלו </w:t>
      </w:r>
      <w:r w:rsidRPr="004010BB">
        <w:rPr>
          <w:rFonts w:cs="David"/>
          <w:sz w:val="24"/>
          <w:szCs w:val="24"/>
          <w:rtl/>
        </w:rPr>
        <w:t>–</w:t>
      </w:r>
      <w:r w:rsidRPr="004010BB">
        <w:rPr>
          <w:rFonts w:cs="David" w:hint="cs"/>
          <w:sz w:val="24"/>
          <w:szCs w:val="24"/>
          <w:rtl/>
        </w:rPr>
        <w:t xml:space="preserve"> מוגדרת כעבירת ההריגה (עם עונש מרבי של 20 שנות מאסר). </w:t>
      </w:r>
    </w:p>
    <w:p w:rsidR="00324C21" w:rsidRPr="004010BB" w:rsidRDefault="00324C21" w:rsidP="00324C21">
      <w:pPr>
        <w:spacing w:before="120" w:after="0" w:line="360" w:lineRule="auto"/>
        <w:jc w:val="both"/>
        <w:rPr>
          <w:rFonts w:cs="David"/>
          <w:sz w:val="24"/>
          <w:szCs w:val="24"/>
          <w:rtl/>
        </w:rPr>
      </w:pPr>
    </w:p>
    <w:p w:rsidR="00324C21" w:rsidRPr="004010BB" w:rsidRDefault="00324C21" w:rsidP="00324C21">
      <w:pPr>
        <w:spacing w:before="120" w:after="0" w:line="360" w:lineRule="auto"/>
        <w:jc w:val="both"/>
        <w:rPr>
          <w:rFonts w:cs="David"/>
          <w:sz w:val="24"/>
          <w:szCs w:val="24"/>
          <w:rtl/>
        </w:rPr>
      </w:pPr>
      <w:r w:rsidRPr="004010BB">
        <w:rPr>
          <w:rFonts w:cs="David" w:hint="cs"/>
          <w:sz w:val="24"/>
          <w:szCs w:val="24"/>
          <w:rtl/>
        </w:rPr>
        <w:t>להלן סעיפי החוק הרלבנטיים:</w:t>
      </w:r>
    </w:p>
    <w:p w:rsidR="00324C21" w:rsidRPr="004010BB" w:rsidRDefault="00324C21" w:rsidP="00324C21">
      <w:pPr>
        <w:spacing w:before="120" w:line="360" w:lineRule="auto"/>
        <w:rPr>
          <w:rStyle w:val="default"/>
          <w:rFonts w:cs="David"/>
          <w:b/>
          <w:bCs/>
          <w:sz w:val="24"/>
          <w:szCs w:val="24"/>
          <w:rtl/>
        </w:rPr>
      </w:pPr>
      <w:r w:rsidRPr="004010BB">
        <w:rPr>
          <w:rStyle w:val="default"/>
          <w:rFonts w:cs="David" w:hint="cs"/>
          <w:b/>
          <w:bCs/>
          <w:sz w:val="24"/>
          <w:szCs w:val="24"/>
          <w:rtl/>
        </w:rPr>
        <w:t>"298. הריגה</w:t>
      </w:r>
    </w:p>
    <w:p w:rsidR="00324C21" w:rsidRPr="004010BB" w:rsidRDefault="00324C21" w:rsidP="00324C21">
      <w:pPr>
        <w:spacing w:before="120" w:line="360" w:lineRule="auto"/>
        <w:rPr>
          <w:rFonts w:ascii="David" w:hAnsi="David" w:cs="David"/>
          <w:sz w:val="24"/>
          <w:szCs w:val="24"/>
          <w:rtl/>
        </w:rPr>
      </w:pPr>
      <w:r w:rsidRPr="004010BB">
        <w:rPr>
          <w:rStyle w:val="default"/>
          <w:rFonts w:cs="David"/>
          <w:sz w:val="24"/>
          <w:szCs w:val="24"/>
          <w:rtl/>
        </w:rPr>
        <w:t>הג</w:t>
      </w:r>
      <w:r w:rsidRPr="004010BB">
        <w:rPr>
          <w:rStyle w:val="default"/>
          <w:rFonts w:cs="David" w:hint="cs"/>
          <w:sz w:val="24"/>
          <w:szCs w:val="24"/>
          <w:rtl/>
        </w:rPr>
        <w:t>ור</w:t>
      </w:r>
      <w:r w:rsidRPr="004010BB">
        <w:rPr>
          <w:rStyle w:val="default"/>
          <w:rFonts w:cs="David"/>
          <w:sz w:val="24"/>
          <w:szCs w:val="24"/>
          <w:rtl/>
        </w:rPr>
        <w:t xml:space="preserve">ם </w:t>
      </w:r>
      <w:r w:rsidRPr="004010BB">
        <w:rPr>
          <w:rStyle w:val="default"/>
          <w:rFonts w:cs="David" w:hint="cs"/>
          <w:sz w:val="24"/>
          <w:szCs w:val="24"/>
          <w:rtl/>
        </w:rPr>
        <w:t>במעשה או במחדל אסורים למותו של אדם, יאשם בהריגה, ודינו - מא</w:t>
      </w:r>
      <w:r w:rsidRPr="004010BB">
        <w:rPr>
          <w:rStyle w:val="default"/>
          <w:rFonts w:cs="David"/>
          <w:sz w:val="24"/>
          <w:szCs w:val="24"/>
          <w:rtl/>
        </w:rPr>
        <w:t>סר</w:t>
      </w:r>
      <w:r w:rsidRPr="004010BB">
        <w:rPr>
          <w:rStyle w:val="default"/>
          <w:rFonts w:cs="David" w:hint="cs"/>
          <w:sz w:val="24"/>
          <w:szCs w:val="24"/>
          <w:rtl/>
        </w:rPr>
        <w:t xml:space="preserve"> עש</w:t>
      </w:r>
      <w:r w:rsidRPr="004010BB">
        <w:rPr>
          <w:rStyle w:val="default"/>
          <w:rFonts w:cs="David"/>
          <w:sz w:val="24"/>
          <w:szCs w:val="24"/>
          <w:rtl/>
        </w:rPr>
        <w:t>רי</w:t>
      </w:r>
      <w:r w:rsidRPr="004010BB">
        <w:rPr>
          <w:rStyle w:val="default"/>
          <w:rFonts w:cs="David" w:hint="cs"/>
          <w:sz w:val="24"/>
          <w:szCs w:val="24"/>
          <w:rtl/>
        </w:rPr>
        <w:t xml:space="preserve">ם </w:t>
      </w:r>
      <w:r w:rsidRPr="004010BB">
        <w:rPr>
          <w:rStyle w:val="default"/>
          <w:rFonts w:cs="David"/>
          <w:sz w:val="24"/>
          <w:szCs w:val="24"/>
          <w:rtl/>
        </w:rPr>
        <w:t>שנ</w:t>
      </w:r>
      <w:r w:rsidRPr="004010BB">
        <w:rPr>
          <w:rStyle w:val="default"/>
          <w:rFonts w:cs="David" w:hint="cs"/>
          <w:sz w:val="24"/>
          <w:szCs w:val="24"/>
          <w:rtl/>
        </w:rPr>
        <w:t>ים."</w:t>
      </w:r>
    </w:p>
    <w:p w:rsidR="00324C21" w:rsidRPr="004010BB" w:rsidRDefault="00324C21" w:rsidP="00324C21">
      <w:pPr>
        <w:spacing w:before="120" w:line="360" w:lineRule="auto"/>
        <w:rPr>
          <w:rFonts w:ascii="David" w:hAnsi="David" w:cs="David"/>
          <w:b/>
          <w:bCs/>
          <w:sz w:val="24"/>
          <w:szCs w:val="24"/>
          <w:rtl/>
        </w:rPr>
      </w:pPr>
      <w:r w:rsidRPr="004010BB">
        <w:rPr>
          <w:rFonts w:ascii="David" w:hAnsi="David" w:cs="David" w:hint="cs"/>
          <w:b/>
          <w:bCs/>
          <w:sz w:val="24"/>
          <w:szCs w:val="24"/>
          <w:rtl/>
        </w:rPr>
        <w:t>"300. רצח</w:t>
      </w:r>
    </w:p>
    <w:p w:rsidR="00324C21" w:rsidRPr="004010BB" w:rsidRDefault="00324C21" w:rsidP="00324C21">
      <w:pPr>
        <w:spacing w:before="120" w:line="360" w:lineRule="auto"/>
        <w:rPr>
          <w:rFonts w:ascii="David" w:hAnsi="David" w:cs="David"/>
          <w:sz w:val="24"/>
          <w:szCs w:val="24"/>
          <w:rtl/>
        </w:rPr>
      </w:pPr>
      <w:r w:rsidRPr="004010BB">
        <w:rPr>
          <w:rFonts w:ascii="David" w:hAnsi="David" w:cs="David" w:hint="cs"/>
          <w:sz w:val="24"/>
          <w:szCs w:val="24"/>
          <w:rtl/>
        </w:rPr>
        <w:t>(א) העושה אחת מאלה יאשם ברצח ודינו- מאסר עולם ועונש זה בלבד:</w:t>
      </w:r>
    </w:p>
    <w:p w:rsidR="00324C21" w:rsidRPr="004010BB" w:rsidRDefault="00324C21" w:rsidP="00324C21">
      <w:pPr>
        <w:pStyle w:val="P220"/>
        <w:numPr>
          <w:ilvl w:val="0"/>
          <w:numId w:val="3"/>
        </w:numPr>
        <w:spacing w:before="120" w:line="360" w:lineRule="auto"/>
        <w:ind w:right="1134"/>
        <w:rPr>
          <w:rStyle w:val="default"/>
          <w:rFonts w:cs="David"/>
          <w:sz w:val="24"/>
          <w:szCs w:val="24"/>
          <w:rtl/>
        </w:rPr>
      </w:pPr>
      <w:r w:rsidRPr="004010BB">
        <w:rPr>
          <w:rStyle w:val="default"/>
          <w:rFonts w:cs="David"/>
          <w:sz w:val="24"/>
          <w:szCs w:val="24"/>
          <w:rtl/>
        </w:rPr>
        <w:t>ג</w:t>
      </w:r>
      <w:r w:rsidRPr="004010BB">
        <w:rPr>
          <w:rStyle w:val="default"/>
          <w:rFonts w:cs="David" w:hint="cs"/>
          <w:sz w:val="24"/>
          <w:szCs w:val="24"/>
          <w:rtl/>
        </w:rPr>
        <w:t>ור</w:t>
      </w:r>
      <w:r w:rsidRPr="004010BB">
        <w:rPr>
          <w:rStyle w:val="default"/>
          <w:rFonts w:cs="David"/>
          <w:sz w:val="24"/>
          <w:szCs w:val="24"/>
          <w:rtl/>
        </w:rPr>
        <w:t xml:space="preserve">ם </w:t>
      </w:r>
      <w:r w:rsidRPr="004010BB">
        <w:rPr>
          <w:rStyle w:val="default"/>
          <w:rFonts w:cs="David" w:hint="cs"/>
          <w:sz w:val="24"/>
          <w:szCs w:val="24"/>
          <w:rtl/>
        </w:rPr>
        <w:t>במזיד, במעשה או במחדל אסורים, למותו של אביו, אמו, סבו או סבתו;</w:t>
      </w:r>
    </w:p>
    <w:p w:rsidR="00324C21" w:rsidRPr="004010BB" w:rsidRDefault="00324C21" w:rsidP="00324C21">
      <w:pPr>
        <w:pStyle w:val="P220"/>
        <w:spacing w:before="120" w:line="360" w:lineRule="auto"/>
        <w:ind w:left="1021" w:right="1134"/>
        <w:rPr>
          <w:rStyle w:val="default"/>
          <w:rFonts w:cs="David"/>
          <w:sz w:val="24"/>
          <w:szCs w:val="24"/>
          <w:rtl/>
        </w:rPr>
      </w:pPr>
      <w:r w:rsidRPr="004010BB">
        <w:rPr>
          <w:rStyle w:val="default"/>
          <w:rFonts w:cs="David" w:hint="cs"/>
          <w:sz w:val="24"/>
          <w:szCs w:val="24"/>
          <w:rtl/>
        </w:rPr>
        <w:t>(2)</w:t>
      </w:r>
      <w:r w:rsidRPr="004010BB">
        <w:rPr>
          <w:rStyle w:val="default"/>
          <w:rFonts w:cs="David"/>
          <w:sz w:val="24"/>
          <w:szCs w:val="24"/>
          <w:rtl/>
        </w:rPr>
        <w:tab/>
        <w:t>ג</w:t>
      </w:r>
      <w:r w:rsidRPr="004010BB">
        <w:rPr>
          <w:rStyle w:val="default"/>
          <w:rFonts w:cs="David" w:hint="cs"/>
          <w:sz w:val="24"/>
          <w:szCs w:val="24"/>
          <w:rtl/>
        </w:rPr>
        <w:t>ור</w:t>
      </w:r>
      <w:r w:rsidRPr="004010BB">
        <w:rPr>
          <w:rStyle w:val="default"/>
          <w:rFonts w:cs="David"/>
          <w:sz w:val="24"/>
          <w:szCs w:val="24"/>
          <w:rtl/>
        </w:rPr>
        <w:t xml:space="preserve">ם </w:t>
      </w:r>
      <w:r w:rsidRPr="004010BB">
        <w:rPr>
          <w:rStyle w:val="default"/>
          <w:rFonts w:cs="David" w:hint="cs"/>
          <w:sz w:val="24"/>
          <w:szCs w:val="24"/>
          <w:rtl/>
        </w:rPr>
        <w:t>בכוונה תחילה למותו של אדם;</w:t>
      </w:r>
    </w:p>
    <w:p w:rsidR="00324C21" w:rsidRPr="004010BB" w:rsidRDefault="00324C21" w:rsidP="00324C21">
      <w:pPr>
        <w:pStyle w:val="P220"/>
        <w:spacing w:before="120" w:line="360" w:lineRule="auto"/>
        <w:ind w:left="1021" w:right="1134"/>
        <w:rPr>
          <w:rStyle w:val="default"/>
          <w:rFonts w:cs="David"/>
          <w:sz w:val="24"/>
          <w:szCs w:val="24"/>
          <w:rtl/>
        </w:rPr>
      </w:pPr>
      <w:r w:rsidRPr="004010BB">
        <w:rPr>
          <w:rStyle w:val="default"/>
          <w:rFonts w:cs="David" w:hint="cs"/>
          <w:sz w:val="24"/>
          <w:szCs w:val="24"/>
          <w:rtl/>
        </w:rPr>
        <w:t>(3)</w:t>
      </w:r>
      <w:r w:rsidRPr="004010BB">
        <w:rPr>
          <w:rStyle w:val="default"/>
          <w:rFonts w:cs="David"/>
          <w:sz w:val="24"/>
          <w:szCs w:val="24"/>
          <w:rtl/>
        </w:rPr>
        <w:tab/>
        <w:t>ג</w:t>
      </w:r>
      <w:r w:rsidRPr="004010BB">
        <w:rPr>
          <w:rStyle w:val="default"/>
          <w:rFonts w:cs="David" w:hint="cs"/>
          <w:sz w:val="24"/>
          <w:szCs w:val="24"/>
          <w:rtl/>
        </w:rPr>
        <w:t>ור</w:t>
      </w:r>
      <w:r w:rsidRPr="004010BB">
        <w:rPr>
          <w:rStyle w:val="default"/>
          <w:rFonts w:cs="David"/>
          <w:sz w:val="24"/>
          <w:szCs w:val="24"/>
          <w:rtl/>
        </w:rPr>
        <w:t xml:space="preserve">ם </w:t>
      </w:r>
      <w:r w:rsidRPr="004010BB">
        <w:rPr>
          <w:rStyle w:val="default"/>
          <w:rFonts w:cs="David" w:hint="cs"/>
          <w:sz w:val="24"/>
          <w:szCs w:val="24"/>
          <w:rtl/>
        </w:rPr>
        <w:t>במזיד למותו של אדם תוך ביצוע עבירה או תוך הכנות</w:t>
      </w:r>
      <w:r w:rsidRPr="004010BB">
        <w:rPr>
          <w:rStyle w:val="default"/>
          <w:rFonts w:cs="David"/>
          <w:sz w:val="24"/>
          <w:szCs w:val="24"/>
          <w:rtl/>
        </w:rPr>
        <w:t xml:space="preserve"> ל</w:t>
      </w:r>
      <w:r w:rsidRPr="004010BB">
        <w:rPr>
          <w:rStyle w:val="default"/>
          <w:rFonts w:cs="David" w:hint="cs"/>
          <w:sz w:val="24"/>
          <w:szCs w:val="24"/>
          <w:rtl/>
        </w:rPr>
        <w:t>בי</w:t>
      </w:r>
      <w:r w:rsidRPr="004010BB">
        <w:rPr>
          <w:rStyle w:val="default"/>
          <w:rFonts w:cs="David"/>
          <w:sz w:val="24"/>
          <w:szCs w:val="24"/>
          <w:rtl/>
        </w:rPr>
        <w:t>צו</w:t>
      </w:r>
      <w:r w:rsidRPr="004010BB">
        <w:rPr>
          <w:rStyle w:val="default"/>
          <w:rFonts w:cs="David" w:hint="cs"/>
          <w:sz w:val="24"/>
          <w:szCs w:val="24"/>
          <w:rtl/>
        </w:rPr>
        <w:t>עה או כדי להקל על ביצועה;</w:t>
      </w:r>
    </w:p>
    <w:p w:rsidR="00324C21" w:rsidRPr="004010BB" w:rsidRDefault="00324C21" w:rsidP="00324C21">
      <w:pPr>
        <w:pStyle w:val="P220"/>
        <w:spacing w:before="120" w:line="360" w:lineRule="auto"/>
        <w:ind w:left="1021" w:right="1134"/>
        <w:rPr>
          <w:rStyle w:val="default"/>
          <w:rFonts w:cs="David"/>
          <w:sz w:val="24"/>
          <w:szCs w:val="24"/>
          <w:rtl/>
        </w:rPr>
      </w:pPr>
      <w:r w:rsidRPr="004010BB">
        <w:rPr>
          <w:rStyle w:val="default"/>
          <w:rFonts w:cs="David" w:hint="cs"/>
          <w:sz w:val="24"/>
          <w:szCs w:val="24"/>
          <w:rtl/>
        </w:rPr>
        <w:t>(4)</w:t>
      </w:r>
      <w:r w:rsidRPr="004010BB">
        <w:rPr>
          <w:rStyle w:val="default"/>
          <w:rFonts w:cs="David"/>
          <w:sz w:val="24"/>
          <w:szCs w:val="24"/>
          <w:rtl/>
        </w:rPr>
        <w:tab/>
        <w:t>ג</w:t>
      </w:r>
      <w:r w:rsidRPr="004010BB">
        <w:rPr>
          <w:rStyle w:val="default"/>
          <w:rFonts w:cs="David" w:hint="cs"/>
          <w:sz w:val="24"/>
          <w:szCs w:val="24"/>
          <w:rtl/>
        </w:rPr>
        <w:t>ור</w:t>
      </w:r>
      <w:r w:rsidRPr="004010BB">
        <w:rPr>
          <w:rStyle w:val="default"/>
          <w:rFonts w:cs="David"/>
          <w:sz w:val="24"/>
          <w:szCs w:val="24"/>
          <w:rtl/>
        </w:rPr>
        <w:t xml:space="preserve">ם </w:t>
      </w:r>
      <w:r w:rsidRPr="004010BB">
        <w:rPr>
          <w:rStyle w:val="default"/>
          <w:rFonts w:cs="David" w:hint="cs"/>
          <w:sz w:val="24"/>
          <w:szCs w:val="24"/>
          <w:rtl/>
        </w:rPr>
        <w:t>למותו של אדם כשנעברה עבירה אחרת, כדי להבטיח לעצמו, או למי שהשתתף בביצוע אותה עבירה, בריחה או הימלטות מעונש.</w:t>
      </w:r>
    </w:p>
    <w:p w:rsidR="00324C21" w:rsidRPr="004010BB" w:rsidRDefault="00324C21" w:rsidP="00324C21">
      <w:pPr>
        <w:spacing w:before="120" w:after="0" w:line="360" w:lineRule="auto"/>
        <w:jc w:val="both"/>
        <w:rPr>
          <w:rFonts w:cs="David"/>
          <w:sz w:val="24"/>
          <w:szCs w:val="24"/>
          <w:rtl/>
        </w:rPr>
      </w:pPr>
      <w:r w:rsidRPr="004010BB">
        <w:rPr>
          <w:rStyle w:val="default"/>
          <w:rFonts w:cs="David" w:hint="cs"/>
          <w:sz w:val="24"/>
          <w:szCs w:val="24"/>
          <w:rtl/>
        </w:rPr>
        <w:t xml:space="preserve">(ב) </w:t>
      </w:r>
      <w:r w:rsidRPr="004010BB">
        <w:rPr>
          <w:rStyle w:val="default"/>
          <w:rFonts w:cs="David"/>
          <w:sz w:val="24"/>
          <w:szCs w:val="24"/>
          <w:rtl/>
        </w:rPr>
        <w:t>מ</w:t>
      </w:r>
      <w:r w:rsidRPr="004010BB">
        <w:rPr>
          <w:rStyle w:val="default"/>
          <w:rFonts w:cs="David" w:hint="cs"/>
          <w:sz w:val="24"/>
          <w:szCs w:val="24"/>
          <w:rtl/>
        </w:rPr>
        <w:t xml:space="preserve">י </w:t>
      </w:r>
      <w:r w:rsidRPr="004010BB">
        <w:rPr>
          <w:rStyle w:val="default"/>
          <w:rFonts w:cs="David"/>
          <w:sz w:val="24"/>
          <w:szCs w:val="24"/>
          <w:rtl/>
        </w:rPr>
        <w:t>שה</w:t>
      </w:r>
      <w:r w:rsidRPr="004010BB">
        <w:rPr>
          <w:rStyle w:val="default"/>
          <w:rFonts w:cs="David" w:hint="cs"/>
          <w:sz w:val="24"/>
          <w:szCs w:val="24"/>
          <w:rtl/>
        </w:rPr>
        <w:t>ורשע ברצח לפי סעיף 2(ו) לחוק לעשיית דין בנאצים ועוזריהם, תש"י-</w:t>
      </w:r>
      <w:r w:rsidRPr="004010BB">
        <w:rPr>
          <w:rStyle w:val="default"/>
          <w:rFonts w:cs="David"/>
          <w:sz w:val="24"/>
          <w:szCs w:val="24"/>
          <w:rtl/>
        </w:rPr>
        <w:t xml:space="preserve">1950, </w:t>
      </w:r>
      <w:r w:rsidRPr="004010BB">
        <w:rPr>
          <w:rStyle w:val="default"/>
          <w:rFonts w:cs="David" w:hint="cs"/>
          <w:sz w:val="24"/>
          <w:szCs w:val="24"/>
          <w:rtl/>
        </w:rPr>
        <w:t>די</w:t>
      </w:r>
      <w:r w:rsidRPr="004010BB">
        <w:rPr>
          <w:rStyle w:val="default"/>
          <w:rFonts w:cs="David"/>
          <w:sz w:val="24"/>
          <w:szCs w:val="24"/>
          <w:rtl/>
        </w:rPr>
        <w:t>נו</w:t>
      </w:r>
      <w:r w:rsidRPr="004010BB">
        <w:rPr>
          <w:rStyle w:val="default"/>
          <w:rFonts w:cs="David" w:hint="cs"/>
          <w:sz w:val="24"/>
          <w:szCs w:val="24"/>
          <w:rtl/>
        </w:rPr>
        <w:t xml:space="preserve"> - מי</w:t>
      </w:r>
      <w:r w:rsidRPr="004010BB">
        <w:rPr>
          <w:rStyle w:val="default"/>
          <w:rFonts w:cs="David"/>
          <w:sz w:val="24"/>
          <w:szCs w:val="24"/>
          <w:rtl/>
        </w:rPr>
        <w:t>תה</w:t>
      </w:r>
      <w:r w:rsidRPr="004010BB">
        <w:rPr>
          <w:rStyle w:val="default"/>
          <w:rFonts w:cs="David" w:hint="cs"/>
          <w:sz w:val="24"/>
          <w:szCs w:val="24"/>
          <w:rtl/>
        </w:rPr>
        <w:t>.</w:t>
      </w:r>
      <w:r w:rsidRPr="004010BB">
        <w:rPr>
          <w:rFonts w:cs="David" w:hint="cs"/>
          <w:sz w:val="24"/>
          <w:szCs w:val="24"/>
          <w:rtl/>
        </w:rPr>
        <w:t>"</w:t>
      </w:r>
    </w:p>
    <w:p w:rsidR="00324C21" w:rsidRPr="004010BB" w:rsidRDefault="00324C21" w:rsidP="00324C21">
      <w:pPr>
        <w:pStyle w:val="p00"/>
        <w:tabs>
          <w:tab w:val="left" w:pos="9026"/>
        </w:tabs>
        <w:bidi/>
        <w:spacing w:before="72" w:beforeAutospacing="0" w:after="0" w:afterAutospacing="0" w:line="360" w:lineRule="auto"/>
        <w:jc w:val="both"/>
        <w:rPr>
          <w:rFonts w:cs="David"/>
          <w:rtl/>
        </w:rPr>
      </w:pPr>
    </w:p>
    <w:p w:rsidR="00324C21" w:rsidRPr="004010BB" w:rsidRDefault="00324C21" w:rsidP="00324C21">
      <w:pPr>
        <w:pStyle w:val="p00"/>
        <w:tabs>
          <w:tab w:val="left" w:pos="9026"/>
        </w:tabs>
        <w:bidi/>
        <w:spacing w:before="72" w:beforeAutospacing="0" w:after="0" w:afterAutospacing="0" w:line="360" w:lineRule="auto"/>
        <w:jc w:val="both"/>
        <w:rPr>
          <w:rFonts w:cs="David"/>
          <w:rtl/>
        </w:rPr>
      </w:pPr>
      <w:r w:rsidRPr="004010BB">
        <w:rPr>
          <w:rFonts w:cs="David" w:hint="cs"/>
          <w:rtl/>
        </w:rPr>
        <w:t xml:space="preserve">הצעת החוק מבקשת, כפי שתואר בהרחבה במסמך הרקע שהופץ לקראת </w:t>
      </w:r>
      <w:r w:rsidRPr="004010BB">
        <w:rPr>
          <w:rFonts w:cs="David" w:hint="eastAsia"/>
          <w:rtl/>
        </w:rPr>
        <w:t>דיון</w:t>
      </w:r>
      <w:r w:rsidRPr="004010BB">
        <w:rPr>
          <w:rFonts w:cs="David"/>
          <w:rtl/>
        </w:rPr>
        <w:t xml:space="preserve"> הפתיחה</w:t>
      </w:r>
      <w:r w:rsidRPr="004010BB">
        <w:rPr>
          <w:rFonts w:cs="David" w:hint="cs"/>
          <w:rtl/>
        </w:rPr>
        <w:t xml:space="preserve">, לשנות את המדרג הקיים. כפי שצויין בדברי ההסבר, נדמה כי עבירת הרצח היא צרה מדי </w:t>
      </w:r>
      <w:r w:rsidRPr="004010BB">
        <w:rPr>
          <w:rFonts w:cs="David"/>
          <w:rtl/>
        </w:rPr>
        <w:t>–</w:t>
      </w:r>
      <w:r w:rsidRPr="004010BB">
        <w:rPr>
          <w:rFonts w:cs="David" w:hint="cs"/>
          <w:rtl/>
        </w:rPr>
        <w:t xml:space="preserve"> ולא חלה על מעשים חמורים במיוחד שראוי לתייגם כ"רצח"; ומצד שני, עבירת ההריגה היא "רחבה יתר על המידה", שכן היא כוללת מגוון רחב מאד של מצבים, גם המתה בכוונה (שאינה כוונה תחילה או שבוצעה לאחר קינטור), גם המתה באדישות וגם  בקלות דעת. </w:t>
      </w:r>
    </w:p>
    <w:p w:rsidR="00324C21" w:rsidRPr="004010BB" w:rsidRDefault="00324C21" w:rsidP="00324C21">
      <w:pPr>
        <w:pStyle w:val="p00"/>
        <w:tabs>
          <w:tab w:val="left" w:pos="9026"/>
        </w:tabs>
        <w:bidi/>
        <w:spacing w:before="72" w:beforeAutospacing="0" w:after="0" w:afterAutospacing="0" w:line="360" w:lineRule="auto"/>
        <w:jc w:val="both"/>
        <w:rPr>
          <w:rFonts w:cs="David"/>
          <w:rtl/>
        </w:rPr>
      </w:pPr>
      <w:r w:rsidRPr="004010BB">
        <w:rPr>
          <w:rFonts w:cs="David" w:hint="cs"/>
          <w:rtl/>
        </w:rPr>
        <w:t xml:space="preserve">לפיכך, הצעת החוק מבקשת, כפי שצוין לעיל, לקבוע עבירה בסיסית של "רצח" שכוללת המתה בכוונה או באדישות, תוך ביטול היסוד הנפשי הייחודי של "כוונה תחילה"; לקבוע עבירה של רצח בנסיבות מחמירות, שאף היא תכלול המתה בכוונה או באדישות, בנסיבות המחמירות שמנויות בסעיף (אליהן נתייחס בנפרד, לקראת הדיון הבא בוועדה); לקבוע עבירה חדשה של המתה בקלות דעת שלצדה עונש של 12 שנות מאסר. להלן הסעיפים הרלבנטיים </w:t>
      </w:r>
      <w:r w:rsidRPr="004010BB">
        <w:rPr>
          <w:rFonts w:cs="David" w:hint="cs"/>
          <w:u w:val="single"/>
          <w:rtl/>
        </w:rPr>
        <w:t>בהצעת החוק</w:t>
      </w:r>
      <w:r w:rsidRPr="004010BB">
        <w:rPr>
          <w:rFonts w:cs="David" w:hint="cs"/>
          <w:rtl/>
        </w:rPr>
        <w:t xml:space="preserve"> הממשלתית:</w:t>
      </w:r>
    </w:p>
    <w:p w:rsidR="00324C21" w:rsidRPr="004010BB" w:rsidRDefault="00324C21" w:rsidP="00324C21">
      <w:pPr>
        <w:spacing w:after="0" w:line="240" w:lineRule="auto"/>
        <w:ind w:left="360"/>
        <w:rPr>
          <w:rFonts w:cs="David"/>
          <w:rtl/>
        </w:rPr>
      </w:pPr>
    </w:p>
    <w:p w:rsidR="00324C21" w:rsidRPr="004010BB" w:rsidRDefault="00324C21" w:rsidP="00324C21">
      <w:pPr>
        <w:spacing w:after="0" w:line="240" w:lineRule="auto"/>
        <w:ind w:left="360"/>
        <w:rPr>
          <w:rFonts w:ascii="David" w:hAnsi="David" w:cs="David"/>
          <w:b/>
          <w:bCs/>
          <w:sz w:val="24"/>
          <w:szCs w:val="24"/>
          <w:rtl/>
        </w:rPr>
      </w:pPr>
      <w:r w:rsidRPr="004010BB">
        <w:rPr>
          <w:rFonts w:cs="David" w:hint="cs"/>
          <w:rtl/>
        </w:rPr>
        <w:t xml:space="preserve">" </w:t>
      </w:r>
      <w:r w:rsidRPr="004010BB">
        <w:rPr>
          <w:rFonts w:ascii="David" w:hAnsi="David" w:cs="David" w:hint="cs"/>
          <w:b/>
          <w:bCs/>
          <w:sz w:val="24"/>
          <w:szCs w:val="24"/>
          <w:rtl/>
        </w:rPr>
        <w:t>300. רצח</w:t>
      </w:r>
    </w:p>
    <w:p w:rsidR="00324C21" w:rsidRPr="004010BB" w:rsidRDefault="00324C21" w:rsidP="00324C21">
      <w:pPr>
        <w:pStyle w:val="a3"/>
        <w:numPr>
          <w:ilvl w:val="0"/>
          <w:numId w:val="1"/>
        </w:numPr>
        <w:spacing w:after="0" w:line="240" w:lineRule="auto"/>
        <w:ind w:left="1080"/>
        <w:rPr>
          <w:rFonts w:ascii="David" w:hAnsi="David" w:cs="David"/>
          <w:sz w:val="24"/>
          <w:szCs w:val="24"/>
        </w:rPr>
      </w:pPr>
      <w:r w:rsidRPr="004010BB">
        <w:rPr>
          <w:rFonts w:ascii="David" w:hAnsi="David" w:cs="David" w:hint="cs"/>
          <w:sz w:val="24"/>
          <w:szCs w:val="24"/>
          <w:rtl/>
        </w:rPr>
        <w:t xml:space="preserve">הגורם </w:t>
      </w:r>
      <w:r w:rsidRPr="004010BB">
        <w:rPr>
          <w:rFonts w:ascii="David" w:hAnsi="David" w:cs="David" w:hint="cs"/>
          <w:b/>
          <w:bCs/>
          <w:sz w:val="24"/>
          <w:szCs w:val="24"/>
          <w:u w:val="single"/>
          <w:rtl/>
        </w:rPr>
        <w:t>בכוונה או באדישות</w:t>
      </w:r>
      <w:r w:rsidRPr="004010BB">
        <w:rPr>
          <w:rFonts w:ascii="David" w:hAnsi="David" w:cs="David" w:hint="cs"/>
          <w:sz w:val="24"/>
          <w:szCs w:val="24"/>
          <w:rtl/>
        </w:rPr>
        <w:t xml:space="preserve"> למותו של אדם, דינו </w:t>
      </w:r>
      <w:r w:rsidRPr="004010BB">
        <w:rPr>
          <w:rFonts w:ascii="David" w:hAnsi="David" w:cs="David"/>
          <w:sz w:val="24"/>
          <w:szCs w:val="24"/>
          <w:rtl/>
        </w:rPr>
        <w:t>–</w:t>
      </w:r>
      <w:r w:rsidRPr="004010BB">
        <w:rPr>
          <w:rFonts w:ascii="David" w:hAnsi="David" w:cs="David" w:hint="cs"/>
          <w:sz w:val="24"/>
          <w:szCs w:val="24"/>
          <w:rtl/>
        </w:rPr>
        <w:t xml:space="preserve">  מאסר עולם...</w:t>
      </w:r>
    </w:p>
    <w:p w:rsidR="00324C21" w:rsidRPr="004010BB" w:rsidRDefault="00324C21" w:rsidP="00324C21">
      <w:pPr>
        <w:pStyle w:val="a3"/>
        <w:spacing w:after="0" w:line="240" w:lineRule="auto"/>
        <w:ind w:left="1080"/>
        <w:rPr>
          <w:rFonts w:ascii="David" w:hAnsi="David" w:cs="David"/>
          <w:sz w:val="24"/>
          <w:szCs w:val="24"/>
          <w:rtl/>
        </w:rPr>
      </w:pPr>
    </w:p>
    <w:p w:rsidR="00324C21" w:rsidRPr="004010BB" w:rsidRDefault="00324C21" w:rsidP="00324C21">
      <w:pPr>
        <w:pStyle w:val="p00"/>
        <w:tabs>
          <w:tab w:val="left" w:pos="9026"/>
        </w:tabs>
        <w:bidi/>
        <w:spacing w:before="0" w:beforeAutospacing="0" w:after="0" w:afterAutospacing="0"/>
        <w:ind w:left="360"/>
        <w:jc w:val="both"/>
        <w:rPr>
          <w:rFonts w:cs="David"/>
          <w:b/>
          <w:bCs/>
          <w:rtl/>
        </w:rPr>
      </w:pPr>
      <w:r w:rsidRPr="004010BB">
        <w:rPr>
          <w:rFonts w:cs="David" w:hint="cs"/>
          <w:b/>
          <w:bCs/>
          <w:rtl/>
        </w:rPr>
        <w:t>301א. רצח בנסיבות מחמירות</w:t>
      </w:r>
    </w:p>
    <w:p w:rsidR="00324C21" w:rsidRPr="004010BB" w:rsidRDefault="00324C21" w:rsidP="00324C21">
      <w:pPr>
        <w:pStyle w:val="p00"/>
        <w:numPr>
          <w:ilvl w:val="0"/>
          <w:numId w:val="1"/>
        </w:numPr>
        <w:tabs>
          <w:tab w:val="left" w:pos="9026"/>
        </w:tabs>
        <w:bidi/>
        <w:spacing w:before="0" w:beforeAutospacing="0" w:after="0" w:afterAutospacing="0"/>
        <w:ind w:left="1080"/>
        <w:jc w:val="both"/>
        <w:rPr>
          <w:rFonts w:cs="David"/>
        </w:rPr>
      </w:pPr>
      <w:r w:rsidRPr="004010BB">
        <w:rPr>
          <w:rFonts w:cs="David" w:hint="cs"/>
          <w:rtl/>
        </w:rPr>
        <w:t>הגורם</w:t>
      </w:r>
      <w:r w:rsidRPr="004010BB">
        <w:rPr>
          <w:rFonts w:cs="David"/>
          <w:rtl/>
        </w:rPr>
        <w:t xml:space="preserve"> </w:t>
      </w:r>
      <w:r w:rsidRPr="004010BB">
        <w:rPr>
          <w:rFonts w:cs="David" w:hint="cs"/>
          <w:b/>
          <w:bCs/>
          <w:u w:val="single"/>
          <w:rtl/>
        </w:rPr>
        <w:t>בכוונה</w:t>
      </w:r>
      <w:r w:rsidRPr="004010BB">
        <w:rPr>
          <w:rFonts w:cs="David"/>
          <w:b/>
          <w:bCs/>
          <w:u w:val="single"/>
          <w:rtl/>
        </w:rPr>
        <w:t xml:space="preserve"> </w:t>
      </w:r>
      <w:r w:rsidRPr="004010BB">
        <w:rPr>
          <w:rFonts w:cs="David" w:hint="cs"/>
          <w:b/>
          <w:bCs/>
          <w:u w:val="single"/>
          <w:rtl/>
        </w:rPr>
        <w:t>או</w:t>
      </w:r>
      <w:r w:rsidRPr="004010BB">
        <w:rPr>
          <w:rFonts w:cs="David"/>
          <w:b/>
          <w:bCs/>
          <w:u w:val="single"/>
          <w:rtl/>
        </w:rPr>
        <w:t xml:space="preserve"> </w:t>
      </w:r>
      <w:r w:rsidRPr="004010BB">
        <w:rPr>
          <w:rFonts w:cs="David" w:hint="cs"/>
          <w:b/>
          <w:bCs/>
          <w:u w:val="single"/>
          <w:rtl/>
        </w:rPr>
        <w:t>באדישות</w:t>
      </w:r>
      <w:r w:rsidRPr="004010BB">
        <w:rPr>
          <w:rFonts w:cs="David"/>
          <w:rtl/>
        </w:rPr>
        <w:t xml:space="preserve"> </w:t>
      </w:r>
      <w:r w:rsidRPr="004010BB">
        <w:rPr>
          <w:rFonts w:cs="David" w:hint="cs"/>
          <w:rtl/>
        </w:rPr>
        <w:t>למותו</w:t>
      </w:r>
      <w:r w:rsidRPr="004010BB">
        <w:rPr>
          <w:rFonts w:cs="David"/>
          <w:rtl/>
        </w:rPr>
        <w:t xml:space="preserve"> </w:t>
      </w:r>
      <w:r w:rsidRPr="004010BB">
        <w:rPr>
          <w:rFonts w:cs="David" w:hint="cs"/>
          <w:rtl/>
        </w:rPr>
        <w:t>של</w:t>
      </w:r>
      <w:r w:rsidRPr="004010BB">
        <w:rPr>
          <w:rFonts w:cs="David"/>
          <w:rtl/>
        </w:rPr>
        <w:t xml:space="preserve"> </w:t>
      </w:r>
      <w:r w:rsidRPr="004010BB">
        <w:rPr>
          <w:rFonts w:cs="David" w:hint="cs"/>
          <w:rtl/>
        </w:rPr>
        <w:t>אדם</w:t>
      </w:r>
      <w:r w:rsidRPr="004010BB">
        <w:rPr>
          <w:rFonts w:cs="David"/>
          <w:rtl/>
        </w:rPr>
        <w:t xml:space="preserve"> </w:t>
      </w:r>
      <w:r w:rsidRPr="004010BB">
        <w:rPr>
          <w:rFonts w:cs="David" w:hint="cs"/>
          <w:rtl/>
        </w:rPr>
        <w:t>באחת</w:t>
      </w:r>
      <w:r w:rsidRPr="004010BB">
        <w:rPr>
          <w:rFonts w:cs="David"/>
          <w:rtl/>
        </w:rPr>
        <w:t xml:space="preserve"> </w:t>
      </w:r>
      <w:r w:rsidRPr="004010BB">
        <w:rPr>
          <w:rFonts w:cs="David" w:hint="cs"/>
          <w:rtl/>
        </w:rPr>
        <w:t>מן</w:t>
      </w:r>
      <w:r w:rsidRPr="004010BB">
        <w:rPr>
          <w:rFonts w:cs="David"/>
          <w:rtl/>
        </w:rPr>
        <w:t xml:space="preserve"> </w:t>
      </w:r>
      <w:r w:rsidRPr="004010BB">
        <w:rPr>
          <w:rFonts w:cs="David" w:hint="cs"/>
          <w:rtl/>
        </w:rPr>
        <w:t>הנסיבות</w:t>
      </w:r>
      <w:r w:rsidRPr="004010BB">
        <w:rPr>
          <w:rFonts w:cs="David"/>
          <w:rtl/>
        </w:rPr>
        <w:t xml:space="preserve"> </w:t>
      </w:r>
      <w:r w:rsidRPr="004010BB">
        <w:rPr>
          <w:rFonts w:cs="David" w:hint="cs"/>
          <w:rtl/>
        </w:rPr>
        <w:t>המפורטות</w:t>
      </w:r>
      <w:r w:rsidRPr="004010BB">
        <w:rPr>
          <w:rFonts w:cs="David"/>
          <w:rtl/>
        </w:rPr>
        <w:t xml:space="preserve"> </w:t>
      </w:r>
      <w:r w:rsidRPr="004010BB">
        <w:rPr>
          <w:rFonts w:cs="David" w:hint="cs"/>
          <w:rtl/>
        </w:rPr>
        <w:t>להלן</w:t>
      </w:r>
      <w:r w:rsidRPr="004010BB">
        <w:rPr>
          <w:rFonts w:cs="David"/>
          <w:rtl/>
        </w:rPr>
        <w:t xml:space="preserve"> – </w:t>
      </w:r>
      <w:r w:rsidRPr="004010BB">
        <w:rPr>
          <w:rFonts w:cs="David" w:hint="cs"/>
          <w:rtl/>
        </w:rPr>
        <w:t>דינו</w:t>
      </w:r>
      <w:r w:rsidRPr="004010BB">
        <w:rPr>
          <w:rFonts w:cs="David"/>
          <w:rtl/>
        </w:rPr>
        <w:t xml:space="preserve"> </w:t>
      </w:r>
      <w:r w:rsidRPr="004010BB">
        <w:rPr>
          <w:rFonts w:cs="David" w:hint="cs"/>
          <w:rtl/>
        </w:rPr>
        <w:t>מאסר</w:t>
      </w:r>
      <w:r w:rsidRPr="004010BB">
        <w:rPr>
          <w:rFonts w:cs="David"/>
          <w:rtl/>
        </w:rPr>
        <w:t xml:space="preserve"> </w:t>
      </w:r>
      <w:r w:rsidRPr="004010BB">
        <w:rPr>
          <w:rFonts w:cs="David" w:hint="cs"/>
          <w:rtl/>
        </w:rPr>
        <w:t>עולם</w:t>
      </w:r>
      <w:r w:rsidRPr="004010BB">
        <w:rPr>
          <w:rFonts w:cs="David"/>
          <w:rtl/>
        </w:rPr>
        <w:t xml:space="preserve"> </w:t>
      </w:r>
      <w:r w:rsidRPr="004010BB">
        <w:rPr>
          <w:rFonts w:cs="David" w:hint="cs"/>
          <w:rtl/>
        </w:rPr>
        <w:t>חובה....</w:t>
      </w:r>
    </w:p>
    <w:p w:rsidR="00324C21" w:rsidRPr="004010BB" w:rsidRDefault="00324C21" w:rsidP="00324C21">
      <w:pPr>
        <w:pStyle w:val="p00"/>
        <w:tabs>
          <w:tab w:val="left" w:pos="9026"/>
        </w:tabs>
        <w:bidi/>
        <w:spacing w:before="0" w:beforeAutospacing="0" w:after="0" w:afterAutospacing="0"/>
        <w:ind w:left="1080"/>
        <w:jc w:val="both"/>
        <w:rPr>
          <w:rFonts w:cs="David"/>
          <w:rtl/>
        </w:rPr>
      </w:pPr>
    </w:p>
    <w:p w:rsidR="00324C21" w:rsidRPr="004010BB" w:rsidRDefault="00324C21" w:rsidP="00324C21">
      <w:pPr>
        <w:spacing w:after="0" w:line="240" w:lineRule="auto"/>
        <w:ind w:left="360"/>
        <w:rPr>
          <w:rFonts w:ascii="David" w:hAnsi="David" w:cs="David"/>
          <w:b/>
          <w:bCs/>
          <w:sz w:val="24"/>
          <w:szCs w:val="24"/>
          <w:rtl/>
        </w:rPr>
      </w:pPr>
      <w:r w:rsidRPr="004010BB">
        <w:rPr>
          <w:rFonts w:ascii="David" w:hAnsi="David" w:cs="David" w:hint="cs"/>
          <w:b/>
          <w:bCs/>
          <w:sz w:val="24"/>
          <w:szCs w:val="24"/>
          <w:rtl/>
        </w:rPr>
        <w:t>301ג. המתה בקלות דעת</w:t>
      </w:r>
    </w:p>
    <w:p w:rsidR="00324C21" w:rsidRPr="004010BB" w:rsidRDefault="00324C21" w:rsidP="00324C21">
      <w:pPr>
        <w:spacing w:after="0" w:line="240" w:lineRule="auto"/>
        <w:ind w:left="360"/>
        <w:rPr>
          <w:rFonts w:ascii="David" w:hAnsi="David" w:cs="David"/>
          <w:sz w:val="24"/>
          <w:szCs w:val="24"/>
          <w:rtl/>
        </w:rPr>
      </w:pPr>
      <w:r w:rsidRPr="004010BB">
        <w:rPr>
          <w:rFonts w:ascii="David" w:hAnsi="David" w:cs="David" w:hint="cs"/>
          <w:sz w:val="24"/>
          <w:szCs w:val="24"/>
          <w:rtl/>
        </w:rPr>
        <w:t xml:space="preserve">הגורם למותו של אדם </w:t>
      </w:r>
      <w:r w:rsidRPr="004010BB">
        <w:rPr>
          <w:rFonts w:ascii="David" w:hAnsi="David" w:cs="David" w:hint="cs"/>
          <w:b/>
          <w:bCs/>
          <w:sz w:val="24"/>
          <w:szCs w:val="24"/>
          <w:u w:val="single"/>
          <w:rtl/>
        </w:rPr>
        <w:t>בקלות דעת</w:t>
      </w:r>
      <w:r w:rsidRPr="004010BB">
        <w:rPr>
          <w:rFonts w:ascii="David" w:hAnsi="David" w:cs="David" w:hint="cs"/>
          <w:sz w:val="24"/>
          <w:szCs w:val="24"/>
          <w:rtl/>
        </w:rPr>
        <w:t xml:space="preserve">, דינו </w:t>
      </w:r>
      <w:r w:rsidRPr="004010BB">
        <w:rPr>
          <w:rFonts w:ascii="David" w:hAnsi="David" w:cs="David"/>
          <w:sz w:val="24"/>
          <w:szCs w:val="24"/>
          <w:rtl/>
        </w:rPr>
        <w:t>–</w:t>
      </w:r>
      <w:r w:rsidRPr="004010BB">
        <w:rPr>
          <w:rFonts w:ascii="David" w:hAnsi="David" w:cs="David" w:hint="cs"/>
          <w:sz w:val="24"/>
          <w:szCs w:val="24"/>
          <w:rtl/>
        </w:rPr>
        <w:t xml:space="preserve"> מאסר 12 שנים."</w:t>
      </w:r>
    </w:p>
    <w:p w:rsidR="00324C21" w:rsidRPr="004010BB" w:rsidRDefault="00324C21" w:rsidP="00324C21">
      <w:pPr>
        <w:pStyle w:val="p00"/>
        <w:tabs>
          <w:tab w:val="left" w:pos="9026"/>
        </w:tabs>
        <w:bidi/>
        <w:spacing w:before="72" w:beforeAutospacing="0" w:after="0" w:afterAutospacing="0" w:line="360" w:lineRule="auto"/>
        <w:jc w:val="both"/>
        <w:rPr>
          <w:rFonts w:cs="David"/>
          <w:rtl/>
        </w:rPr>
      </w:pPr>
    </w:p>
    <w:p w:rsidR="00324C21" w:rsidRPr="004010BB" w:rsidRDefault="00324C21" w:rsidP="00324C21">
      <w:pPr>
        <w:pStyle w:val="p00"/>
        <w:tabs>
          <w:tab w:val="left" w:pos="9026"/>
        </w:tabs>
        <w:bidi/>
        <w:spacing w:before="72" w:beforeAutospacing="0" w:after="0" w:afterAutospacing="0" w:line="360" w:lineRule="auto"/>
        <w:jc w:val="both"/>
        <w:rPr>
          <w:rFonts w:cs="David"/>
          <w:rtl/>
        </w:rPr>
      </w:pPr>
      <w:r w:rsidRPr="004010BB">
        <w:rPr>
          <w:rFonts w:cs="David" w:hint="cs"/>
          <w:rtl/>
        </w:rPr>
        <w:lastRenderedPageBreak/>
        <w:t xml:space="preserve">יצוין כי מוצע שעל אף שהעונש על עבירת הרצח בנסיבות מחמירות יעמוד על מאסר עולם חובה, רשאי בית המשפט במקרים חריגים להרשיע את הנאשם בעבירת הרצח "הבסיסית", אם האשם העולה </w:t>
      </w:r>
      <w:r w:rsidRPr="004010BB">
        <w:rPr>
          <w:rFonts w:cs="David" w:hint="cs"/>
          <w:u w:val="single"/>
          <w:rtl/>
        </w:rPr>
        <w:t>מהמעשה</w:t>
      </w:r>
      <w:r w:rsidRPr="004010BB">
        <w:rPr>
          <w:rFonts w:cs="David" w:hint="cs"/>
          <w:rtl/>
        </w:rPr>
        <w:t xml:space="preserve"> אינו בדרגה החמורה ביותר, והעונש לצד עבירה זו הוא מאסר עולם כעונש מרבי (ולא כעונש חובה).</w:t>
      </w:r>
    </w:p>
    <w:p w:rsidR="00324C21" w:rsidRPr="004010BB" w:rsidRDefault="00324C21" w:rsidP="00324C21">
      <w:pPr>
        <w:pStyle w:val="p00"/>
        <w:tabs>
          <w:tab w:val="left" w:pos="9026"/>
        </w:tabs>
        <w:bidi/>
        <w:spacing w:before="72" w:beforeAutospacing="0" w:after="0" w:afterAutospacing="0" w:line="360" w:lineRule="auto"/>
        <w:jc w:val="both"/>
        <w:rPr>
          <w:rFonts w:cs="David"/>
          <w:rtl/>
        </w:rPr>
      </w:pPr>
    </w:p>
    <w:p w:rsidR="00324C21" w:rsidRPr="004010BB" w:rsidRDefault="00324C21" w:rsidP="00324C21">
      <w:pPr>
        <w:pStyle w:val="p00"/>
        <w:tabs>
          <w:tab w:val="left" w:pos="9026"/>
        </w:tabs>
        <w:bidi/>
        <w:spacing w:before="72" w:beforeAutospacing="0" w:after="0" w:afterAutospacing="0" w:line="360" w:lineRule="auto"/>
        <w:jc w:val="both"/>
        <w:rPr>
          <w:rFonts w:cs="David"/>
          <w:rtl/>
        </w:rPr>
      </w:pPr>
      <w:r w:rsidRPr="004010BB">
        <w:rPr>
          <w:rFonts w:cs="David" w:hint="cs"/>
          <w:rtl/>
        </w:rPr>
        <w:t>הרוב בוועדת קרמניצר, והצעת החוק בעקבותיו, סבר כי:</w:t>
      </w:r>
    </w:p>
    <w:p w:rsidR="00324C21" w:rsidRPr="004010BB" w:rsidRDefault="00324C21" w:rsidP="00324C21">
      <w:pPr>
        <w:pStyle w:val="p00"/>
        <w:tabs>
          <w:tab w:val="left" w:pos="9026"/>
        </w:tabs>
        <w:bidi/>
        <w:spacing w:before="72" w:beforeAutospacing="0" w:after="0" w:afterAutospacing="0" w:line="360" w:lineRule="auto"/>
        <w:jc w:val="both"/>
        <w:rPr>
          <w:rFonts w:cs="David"/>
          <w:rtl/>
        </w:rPr>
      </w:pPr>
      <w:r w:rsidRPr="004010BB">
        <w:rPr>
          <w:rFonts w:cs="David" w:hint="cs"/>
          <w:rtl/>
        </w:rPr>
        <w:t>"עמדה נפשית של כוונה היא אמנם חמורה יותר, אך האדישות קרובה אליה מאוד... עמדה נפשית של אדישות מרוחקת מעמדה נפשית של קלות דעת.... אין חולק שישנו פער מהותי במידת האנטי-חברתיות שבאדישות, לעומת זו שבקלות הדעת" (עמ' 21).</w:t>
      </w:r>
    </w:p>
    <w:p w:rsidR="00324C21" w:rsidRPr="004010BB" w:rsidRDefault="00324C21" w:rsidP="00324C21">
      <w:pPr>
        <w:pStyle w:val="p00"/>
        <w:tabs>
          <w:tab w:val="left" w:pos="9026"/>
        </w:tabs>
        <w:bidi/>
        <w:spacing w:before="72" w:beforeAutospacing="0" w:after="0" w:afterAutospacing="0" w:line="360" w:lineRule="auto"/>
        <w:jc w:val="both"/>
        <w:rPr>
          <w:rFonts w:cs="David"/>
          <w:rtl/>
        </w:rPr>
      </w:pPr>
      <w:r w:rsidRPr="004010BB">
        <w:rPr>
          <w:rFonts w:cs="David" w:hint="cs"/>
          <w:rtl/>
        </w:rPr>
        <w:t xml:space="preserve">לכן מוצע "להעלות" את היסוד הנפשי של אדישות בעבירות ההמתה, ולהשוות אותו ליסוד הנפשי של כוונה. </w:t>
      </w:r>
    </w:p>
    <w:p w:rsidR="00324C21" w:rsidRPr="004010BB" w:rsidRDefault="00324C21" w:rsidP="00324C21">
      <w:pPr>
        <w:spacing w:before="120" w:after="0" w:line="360" w:lineRule="auto"/>
        <w:jc w:val="both"/>
        <w:rPr>
          <w:rFonts w:cs="David"/>
          <w:b/>
          <w:bCs/>
          <w:sz w:val="24"/>
          <w:szCs w:val="24"/>
          <w:rtl/>
        </w:rPr>
      </w:pPr>
      <w:r w:rsidRPr="004010BB">
        <w:rPr>
          <w:rFonts w:cs="David" w:hint="cs"/>
          <w:b/>
          <w:bCs/>
          <w:sz w:val="24"/>
          <w:szCs w:val="24"/>
          <w:rtl/>
        </w:rPr>
        <w:t>ואולם, הצעה זו מעוררת מספר שאלות עקרוניות שאליהן מוצע להתייחס בדיון:</w:t>
      </w:r>
    </w:p>
    <w:p w:rsidR="00324C21" w:rsidRPr="004010BB" w:rsidRDefault="00324C21" w:rsidP="00324C21">
      <w:pPr>
        <w:pStyle w:val="a3"/>
        <w:numPr>
          <w:ilvl w:val="0"/>
          <w:numId w:val="4"/>
        </w:numPr>
        <w:spacing w:before="120" w:after="0" w:line="360" w:lineRule="auto"/>
        <w:jc w:val="both"/>
        <w:rPr>
          <w:rFonts w:cs="David"/>
          <w:b/>
          <w:bCs/>
          <w:sz w:val="24"/>
          <w:szCs w:val="24"/>
        </w:rPr>
      </w:pPr>
      <w:r w:rsidRPr="004010BB">
        <w:rPr>
          <w:rFonts w:cs="David" w:hint="cs"/>
          <w:b/>
          <w:bCs/>
          <w:sz w:val="24"/>
          <w:szCs w:val="24"/>
          <w:rtl/>
        </w:rPr>
        <w:t xml:space="preserve">האם יש לפצל את הפזיזות ולהפריד בין יסוד נפשי של אדישות לבין יסוד נפשי של קלות דעת? </w:t>
      </w:r>
    </w:p>
    <w:p w:rsidR="00324C21" w:rsidRPr="004010BB" w:rsidRDefault="00324C21" w:rsidP="00324C21">
      <w:pPr>
        <w:pStyle w:val="a3"/>
        <w:numPr>
          <w:ilvl w:val="0"/>
          <w:numId w:val="4"/>
        </w:numPr>
        <w:spacing w:before="120" w:after="0" w:line="360" w:lineRule="auto"/>
        <w:jc w:val="both"/>
        <w:rPr>
          <w:rFonts w:cs="David"/>
          <w:b/>
          <w:bCs/>
          <w:sz w:val="24"/>
          <w:szCs w:val="24"/>
        </w:rPr>
      </w:pPr>
      <w:r w:rsidRPr="004010BB">
        <w:rPr>
          <w:rFonts w:cs="David" w:hint="cs"/>
          <w:b/>
          <w:bCs/>
          <w:sz w:val="24"/>
          <w:szCs w:val="24"/>
          <w:rtl/>
        </w:rPr>
        <w:t xml:space="preserve">אם כן, האם יש לכלול בעבירת הרצח את ההמתה באדישות? </w:t>
      </w:r>
    </w:p>
    <w:p w:rsidR="00324C21" w:rsidRPr="004010BB" w:rsidRDefault="00324C21" w:rsidP="00324C21">
      <w:pPr>
        <w:pStyle w:val="a3"/>
        <w:numPr>
          <w:ilvl w:val="0"/>
          <w:numId w:val="4"/>
        </w:numPr>
        <w:spacing w:before="120" w:after="0" w:line="360" w:lineRule="auto"/>
        <w:jc w:val="both"/>
        <w:rPr>
          <w:rFonts w:cs="David"/>
          <w:b/>
          <w:bCs/>
          <w:sz w:val="24"/>
          <w:szCs w:val="24"/>
        </w:rPr>
      </w:pPr>
      <w:r w:rsidRPr="004010BB">
        <w:rPr>
          <w:rFonts w:cs="David" w:hint="cs"/>
          <w:b/>
          <w:bCs/>
          <w:sz w:val="24"/>
          <w:szCs w:val="24"/>
          <w:rtl/>
        </w:rPr>
        <w:t>אם אין מקום להבחין בין אדישות לקלות דעת, כיצד ראוי לתייג את המקרים החמורים של המתה בפזיזות?</w:t>
      </w:r>
    </w:p>
    <w:p w:rsidR="00324C21" w:rsidRPr="004010BB" w:rsidRDefault="00324C21" w:rsidP="00324C21">
      <w:pPr>
        <w:pStyle w:val="a3"/>
        <w:spacing w:before="120" w:after="0" w:line="360" w:lineRule="auto"/>
        <w:ind w:left="1077"/>
        <w:jc w:val="both"/>
        <w:rPr>
          <w:rFonts w:cs="David"/>
          <w:b/>
          <w:bCs/>
          <w:sz w:val="24"/>
          <w:szCs w:val="24"/>
        </w:rPr>
      </w:pPr>
    </w:p>
    <w:p w:rsidR="00324C21" w:rsidRPr="004010BB" w:rsidRDefault="00324C21" w:rsidP="00324C21">
      <w:pPr>
        <w:spacing w:before="120" w:after="0" w:line="360" w:lineRule="auto"/>
        <w:jc w:val="both"/>
        <w:rPr>
          <w:rFonts w:cs="David"/>
          <w:b/>
          <w:bCs/>
          <w:sz w:val="24"/>
          <w:szCs w:val="24"/>
          <w:u w:val="single"/>
        </w:rPr>
      </w:pPr>
      <w:r w:rsidRPr="004010BB">
        <w:rPr>
          <w:rFonts w:cs="David" w:hint="cs"/>
          <w:b/>
          <w:bCs/>
          <w:sz w:val="24"/>
          <w:szCs w:val="24"/>
          <w:u w:val="single"/>
          <w:rtl/>
        </w:rPr>
        <w:t>פיצול</w:t>
      </w:r>
      <w:r w:rsidRPr="004010BB">
        <w:rPr>
          <w:rFonts w:cs="David"/>
          <w:b/>
          <w:bCs/>
          <w:sz w:val="24"/>
          <w:szCs w:val="24"/>
          <w:u w:val="single"/>
          <w:rtl/>
        </w:rPr>
        <w:t xml:space="preserve"> </w:t>
      </w:r>
      <w:r w:rsidRPr="004010BB">
        <w:rPr>
          <w:rFonts w:cs="David" w:hint="cs"/>
          <w:b/>
          <w:bCs/>
          <w:sz w:val="24"/>
          <w:szCs w:val="24"/>
          <w:u w:val="single"/>
          <w:rtl/>
        </w:rPr>
        <w:t>היסוד</w:t>
      </w:r>
      <w:r w:rsidRPr="004010BB">
        <w:rPr>
          <w:rFonts w:cs="David"/>
          <w:b/>
          <w:bCs/>
          <w:sz w:val="24"/>
          <w:szCs w:val="24"/>
          <w:u w:val="single"/>
          <w:rtl/>
        </w:rPr>
        <w:t xml:space="preserve"> </w:t>
      </w:r>
      <w:r w:rsidRPr="004010BB">
        <w:rPr>
          <w:rFonts w:cs="David" w:hint="cs"/>
          <w:b/>
          <w:bCs/>
          <w:sz w:val="24"/>
          <w:szCs w:val="24"/>
          <w:u w:val="single"/>
          <w:rtl/>
        </w:rPr>
        <w:t>הנפשי</w:t>
      </w:r>
      <w:r w:rsidRPr="004010BB">
        <w:rPr>
          <w:rFonts w:cs="David"/>
          <w:b/>
          <w:bCs/>
          <w:sz w:val="24"/>
          <w:szCs w:val="24"/>
          <w:u w:val="single"/>
          <w:rtl/>
        </w:rPr>
        <w:t xml:space="preserve"> </w:t>
      </w:r>
      <w:r w:rsidRPr="004010BB">
        <w:rPr>
          <w:rFonts w:cs="David" w:hint="cs"/>
          <w:b/>
          <w:bCs/>
          <w:sz w:val="24"/>
          <w:szCs w:val="24"/>
          <w:u w:val="single"/>
          <w:rtl/>
        </w:rPr>
        <w:t>של</w:t>
      </w:r>
      <w:r w:rsidRPr="004010BB">
        <w:rPr>
          <w:rFonts w:cs="David"/>
          <w:b/>
          <w:bCs/>
          <w:sz w:val="24"/>
          <w:szCs w:val="24"/>
          <w:u w:val="single"/>
          <w:rtl/>
        </w:rPr>
        <w:t xml:space="preserve"> </w:t>
      </w:r>
      <w:r w:rsidRPr="004010BB">
        <w:rPr>
          <w:rFonts w:cs="David" w:hint="cs"/>
          <w:b/>
          <w:bCs/>
          <w:sz w:val="24"/>
          <w:szCs w:val="24"/>
          <w:u w:val="single"/>
          <w:rtl/>
        </w:rPr>
        <w:t>פזיזות</w:t>
      </w:r>
      <w:r w:rsidRPr="004010BB">
        <w:rPr>
          <w:rFonts w:cs="David"/>
          <w:b/>
          <w:bCs/>
          <w:sz w:val="24"/>
          <w:szCs w:val="24"/>
          <w:u w:val="single"/>
          <w:rtl/>
        </w:rPr>
        <w:t xml:space="preserve">: </w:t>
      </w:r>
      <w:r w:rsidRPr="004010BB">
        <w:rPr>
          <w:rFonts w:cs="David" w:hint="cs"/>
          <w:b/>
          <w:bCs/>
          <w:sz w:val="24"/>
          <w:szCs w:val="24"/>
          <w:u w:val="single"/>
          <w:rtl/>
        </w:rPr>
        <w:t>בין</w:t>
      </w:r>
      <w:r w:rsidRPr="004010BB">
        <w:rPr>
          <w:rFonts w:cs="David"/>
          <w:b/>
          <w:bCs/>
          <w:sz w:val="24"/>
          <w:szCs w:val="24"/>
          <w:u w:val="single"/>
          <w:rtl/>
        </w:rPr>
        <w:t xml:space="preserve"> </w:t>
      </w:r>
      <w:r w:rsidRPr="004010BB">
        <w:rPr>
          <w:rFonts w:cs="David" w:hint="cs"/>
          <w:b/>
          <w:bCs/>
          <w:sz w:val="24"/>
          <w:szCs w:val="24"/>
          <w:u w:val="single"/>
          <w:rtl/>
        </w:rPr>
        <w:t>אדישות</w:t>
      </w:r>
      <w:r w:rsidRPr="004010BB">
        <w:rPr>
          <w:rFonts w:cs="David"/>
          <w:b/>
          <w:bCs/>
          <w:sz w:val="24"/>
          <w:szCs w:val="24"/>
          <w:u w:val="single"/>
          <w:rtl/>
        </w:rPr>
        <w:t xml:space="preserve"> </w:t>
      </w:r>
      <w:r w:rsidRPr="004010BB">
        <w:rPr>
          <w:rFonts w:cs="David" w:hint="cs"/>
          <w:b/>
          <w:bCs/>
          <w:sz w:val="24"/>
          <w:szCs w:val="24"/>
          <w:u w:val="single"/>
          <w:rtl/>
        </w:rPr>
        <w:t>לקלות</w:t>
      </w:r>
      <w:r w:rsidRPr="004010BB">
        <w:rPr>
          <w:rFonts w:cs="David"/>
          <w:b/>
          <w:bCs/>
          <w:sz w:val="24"/>
          <w:szCs w:val="24"/>
          <w:u w:val="single"/>
          <w:rtl/>
        </w:rPr>
        <w:t xml:space="preserve"> </w:t>
      </w:r>
      <w:r w:rsidRPr="004010BB">
        <w:rPr>
          <w:rFonts w:cs="David" w:hint="cs"/>
          <w:b/>
          <w:bCs/>
          <w:sz w:val="24"/>
          <w:szCs w:val="24"/>
          <w:u w:val="single"/>
          <w:rtl/>
        </w:rPr>
        <w:t>דעת</w:t>
      </w:r>
    </w:p>
    <w:p w:rsidR="00324C21" w:rsidRPr="004010BB" w:rsidRDefault="00324C21" w:rsidP="00324C21">
      <w:pPr>
        <w:pStyle w:val="p00"/>
        <w:tabs>
          <w:tab w:val="left" w:pos="9026"/>
        </w:tabs>
        <w:bidi/>
        <w:spacing w:before="72" w:beforeAutospacing="0" w:after="0" w:afterAutospacing="0" w:line="360" w:lineRule="auto"/>
        <w:jc w:val="both"/>
        <w:rPr>
          <w:rFonts w:cs="David"/>
        </w:rPr>
      </w:pPr>
      <w:r w:rsidRPr="004010BB">
        <w:rPr>
          <w:rFonts w:cs="David" w:hint="cs"/>
          <w:rtl/>
        </w:rPr>
        <w:t>ההצעה להפריד בין יסוד הנפשי של אדישות לבין קלות דעת מעלה התלבטויות הן ברמה התיאורטית והן ברמה הפרקטית.</w:t>
      </w:r>
    </w:p>
    <w:p w:rsidR="00324C21" w:rsidRPr="004010BB" w:rsidRDefault="00324C21" w:rsidP="00324C21">
      <w:pPr>
        <w:pStyle w:val="p00"/>
        <w:numPr>
          <w:ilvl w:val="0"/>
          <w:numId w:val="2"/>
        </w:numPr>
        <w:tabs>
          <w:tab w:val="left" w:pos="9026"/>
        </w:tabs>
        <w:bidi/>
        <w:spacing w:before="72" w:beforeAutospacing="0" w:after="0" w:afterAutospacing="0" w:line="360" w:lineRule="auto"/>
        <w:jc w:val="both"/>
        <w:rPr>
          <w:rFonts w:cs="David"/>
          <w:rtl/>
        </w:rPr>
      </w:pPr>
      <w:r w:rsidRPr="004010BB">
        <w:rPr>
          <w:rFonts w:cs="David" w:hint="cs"/>
          <w:rtl/>
        </w:rPr>
        <w:t>ברמה הפרקטית:</w:t>
      </w:r>
    </w:p>
    <w:p w:rsidR="00324C21" w:rsidRPr="004010BB" w:rsidRDefault="00324C21" w:rsidP="00324C21">
      <w:pPr>
        <w:spacing w:before="120" w:after="0" w:line="360" w:lineRule="auto"/>
        <w:ind w:left="360"/>
        <w:jc w:val="both"/>
        <w:rPr>
          <w:rFonts w:cs="David"/>
          <w:sz w:val="24"/>
          <w:szCs w:val="24"/>
          <w:rtl/>
        </w:rPr>
      </w:pPr>
      <w:r w:rsidRPr="004010BB">
        <w:rPr>
          <w:rFonts w:cs="David" w:hint="cs"/>
          <w:sz w:val="24"/>
          <w:szCs w:val="24"/>
          <w:rtl/>
        </w:rPr>
        <w:t xml:space="preserve">כאמור, יש הבחנה היום, הן בחקיקה והן בפסיקה, בין עבירות שדורשות יסוד נפשי של כוונה ובין עבירות שדורשות יסוד נפשי של פזיזות (אדישות או קלות דעת). </w:t>
      </w:r>
      <w:r w:rsidRPr="004010BB">
        <w:rPr>
          <w:rFonts w:cs="David" w:hint="cs"/>
          <w:b/>
          <w:bCs/>
          <w:sz w:val="24"/>
          <w:szCs w:val="24"/>
          <w:rtl/>
        </w:rPr>
        <w:t xml:space="preserve">אך אין הבחנה </w:t>
      </w:r>
      <w:r w:rsidRPr="004010BB">
        <w:rPr>
          <w:rFonts w:cs="David"/>
          <w:b/>
          <w:bCs/>
          <w:sz w:val="24"/>
          <w:szCs w:val="24"/>
          <w:rtl/>
        </w:rPr>
        <w:t>–</w:t>
      </w:r>
      <w:r w:rsidRPr="004010BB">
        <w:rPr>
          <w:rFonts w:cs="David" w:hint="cs"/>
          <w:b/>
          <w:bCs/>
          <w:sz w:val="24"/>
          <w:szCs w:val="24"/>
          <w:rtl/>
        </w:rPr>
        <w:t xml:space="preserve"> לא בעבירות ההמתה ולא בעבירות אחרות </w:t>
      </w:r>
      <w:r w:rsidRPr="004010BB">
        <w:rPr>
          <w:rFonts w:cs="David"/>
          <w:b/>
          <w:bCs/>
          <w:sz w:val="24"/>
          <w:szCs w:val="24"/>
          <w:rtl/>
        </w:rPr>
        <w:t>–</w:t>
      </w:r>
      <w:r w:rsidRPr="004010BB">
        <w:rPr>
          <w:rFonts w:cs="David" w:hint="cs"/>
          <w:b/>
          <w:bCs/>
          <w:sz w:val="24"/>
          <w:szCs w:val="24"/>
          <w:rtl/>
        </w:rPr>
        <w:t xml:space="preserve"> בין הצורות השונות של פזיזות</w:t>
      </w:r>
      <w:r w:rsidRPr="004010BB">
        <w:rPr>
          <w:rFonts w:cs="David" w:hint="cs"/>
          <w:sz w:val="24"/>
          <w:szCs w:val="24"/>
          <w:rtl/>
        </w:rPr>
        <w:t>. גם בפסיקה, אין דיון מעמיק על קו הגבול בין אדישות לבין קלות דעת, שכן אין לדבר משמעות בסיווג המעשה. השימוש במונח "אדישות" בפסיקה היום אינו בהכרח שימוש "משפטי" שמדייק ביסודות של היסוד הנפשי לפי חוק העונשין, אלא לעיתים שימוש "רטורי" שמתבסס על המובן המילולי של המונח אדישות בשפת היום-יום.</w:t>
      </w:r>
      <w:r w:rsidRPr="004010BB">
        <w:rPr>
          <w:rStyle w:val="a6"/>
          <w:rFonts w:cs="David"/>
          <w:sz w:val="24"/>
          <w:szCs w:val="24"/>
          <w:rtl/>
        </w:rPr>
        <w:footnoteReference w:id="3"/>
      </w:r>
      <w:r w:rsidRPr="004010BB">
        <w:rPr>
          <w:rFonts w:cs="David" w:hint="cs"/>
          <w:sz w:val="24"/>
          <w:szCs w:val="24"/>
          <w:rtl/>
        </w:rPr>
        <w:t xml:space="preserve"> </w:t>
      </w:r>
    </w:p>
    <w:p w:rsidR="00324C21" w:rsidRPr="004010BB" w:rsidRDefault="00324C21" w:rsidP="00324C21">
      <w:pPr>
        <w:spacing w:before="120" w:after="0" w:line="360" w:lineRule="auto"/>
        <w:ind w:left="360"/>
        <w:jc w:val="both"/>
        <w:rPr>
          <w:rFonts w:cs="David"/>
          <w:sz w:val="24"/>
          <w:szCs w:val="24"/>
          <w:rtl/>
        </w:rPr>
      </w:pPr>
      <w:r w:rsidRPr="004010BB">
        <w:rPr>
          <w:rFonts w:cs="David" w:hint="cs"/>
          <w:sz w:val="24"/>
          <w:szCs w:val="24"/>
          <w:rtl/>
        </w:rPr>
        <w:t xml:space="preserve">לכן, יצירת הבחנה זו בעבירות ההמתה תייצר, בהכרח, פסיקה רבה בשאלת ההבדל בין האדישות לבין קלות הדעת. קשה למחוקק, בעת הזו, לנבא איך הפסיקה תפרש את ההבדלים ביניהן, ומה יהיה קו הגבול ביניהן. כפי שעלה בדיון הקודם מיום 19.9.16, יש הטוענים כי הקבוצה של "אדישות" היא קבוצה כמעט ריקה; יש הטוענים כי משפטית-תיאורטית נכון שהקבוצה היא ריקה, אך יש חשש  שבית המשפט יפרש את "האדישות" בצורה רחבה כדי להכניס לעבירת הרצח מקרי המתה שמצדיקים, ברמה המוסרית או ברמה הציבורית, תיוג של רצח; ויש הטוענים כי הרבה מאוד מקרים של פזיזות הם אכן מקרים של אדישות, וראוי להעמיד לדין את המבצע על רצח. במצב כזה, כאשר אין הסכמה גם סביב </w:t>
      </w:r>
      <w:r w:rsidRPr="004010BB">
        <w:rPr>
          <w:rFonts w:cs="David" w:hint="cs"/>
          <w:sz w:val="24"/>
          <w:szCs w:val="24"/>
          <w:rtl/>
        </w:rPr>
        <w:lastRenderedPageBreak/>
        <w:t xml:space="preserve">שולחן הוועדה מה נכלל בקטגוריה של קלות הדעת ומה בקטגוריה של האדישות, כאשר ההבחנה ביניהם הן לעניין התיוג והן לעניין העונש משמעותית מאוד, המחוקק למעשה מתבקש להכריע מבלי לדעת מה ייכנס בסופו של יום לעבירת הרצח. לפיכך, באימוץ הבחנה זו יש משום העברה של ההכרעה הנורמטיבית בשאלת המדרג מהמחוקק לבית המשפט.  </w:t>
      </w:r>
    </w:p>
    <w:p w:rsidR="00324C21" w:rsidRPr="004010BB" w:rsidRDefault="00324C21" w:rsidP="00324C21">
      <w:pPr>
        <w:spacing w:before="120" w:after="0" w:line="360" w:lineRule="auto"/>
        <w:ind w:left="360"/>
        <w:jc w:val="both"/>
        <w:rPr>
          <w:rFonts w:cs="David"/>
          <w:sz w:val="24"/>
          <w:szCs w:val="24"/>
          <w:rtl/>
        </w:rPr>
      </w:pPr>
    </w:p>
    <w:p w:rsidR="00324C21" w:rsidRPr="004010BB" w:rsidRDefault="00324C21" w:rsidP="00324C21">
      <w:pPr>
        <w:spacing w:before="120" w:after="0" w:line="360" w:lineRule="auto"/>
        <w:ind w:left="360"/>
        <w:jc w:val="both"/>
        <w:rPr>
          <w:rFonts w:cs="David"/>
          <w:sz w:val="24"/>
          <w:szCs w:val="24"/>
          <w:rtl/>
        </w:rPr>
      </w:pPr>
      <w:r w:rsidRPr="004010BB">
        <w:rPr>
          <w:rFonts w:cs="David" w:hint="cs"/>
          <w:sz w:val="24"/>
          <w:szCs w:val="24"/>
          <w:rtl/>
        </w:rPr>
        <w:t>בנוסף, יש לקחת בחשבון את השלכות הרוחב של הפיצול: ככל שתאומץ התפיסה שהפיצול הוא נכון בעבירות ההמתה, שכן יש הבדל מהותי בין האדיש לבין הקל-דעת, וכי האדיש הוא שווה ערך למכוון, סביר להניח שהבחנה זו נכונה גם בעבירות אחרות שדורשות יסוד נפשי של כוונה, ובעתיד יהיה רצון להחיל את ההבחנה החדשה גם בעבירות אחרות.</w:t>
      </w:r>
      <w:r w:rsidRPr="004010BB">
        <w:rPr>
          <w:rStyle w:val="a6"/>
          <w:rFonts w:cs="David"/>
          <w:sz w:val="24"/>
          <w:szCs w:val="24"/>
          <w:rtl/>
        </w:rPr>
        <w:footnoteReference w:id="4"/>
      </w:r>
      <w:r w:rsidRPr="004010BB">
        <w:rPr>
          <w:rFonts w:cs="David" w:hint="cs"/>
          <w:sz w:val="24"/>
          <w:szCs w:val="24"/>
          <w:rtl/>
        </w:rPr>
        <w:t xml:space="preserve"> </w:t>
      </w:r>
    </w:p>
    <w:p w:rsidR="00324C21" w:rsidRPr="004010BB" w:rsidRDefault="00324C21" w:rsidP="00324C21">
      <w:pPr>
        <w:pStyle w:val="p00"/>
        <w:tabs>
          <w:tab w:val="left" w:pos="9026"/>
        </w:tabs>
        <w:bidi/>
        <w:spacing w:before="72" w:beforeAutospacing="0" w:after="0" w:afterAutospacing="0" w:line="360" w:lineRule="auto"/>
        <w:ind w:left="720"/>
        <w:jc w:val="both"/>
        <w:rPr>
          <w:rFonts w:cs="David"/>
        </w:rPr>
      </w:pPr>
    </w:p>
    <w:p w:rsidR="00324C21" w:rsidRPr="004010BB" w:rsidRDefault="00324C21" w:rsidP="00324C21">
      <w:pPr>
        <w:pStyle w:val="p00"/>
        <w:numPr>
          <w:ilvl w:val="0"/>
          <w:numId w:val="2"/>
        </w:numPr>
        <w:tabs>
          <w:tab w:val="left" w:pos="9026"/>
        </w:tabs>
        <w:bidi/>
        <w:spacing w:before="72" w:beforeAutospacing="0" w:after="0" w:afterAutospacing="0" w:line="360" w:lineRule="auto"/>
        <w:jc w:val="both"/>
        <w:rPr>
          <w:rFonts w:cs="David"/>
          <w:b/>
          <w:bCs/>
        </w:rPr>
      </w:pPr>
      <w:r w:rsidRPr="004010BB">
        <w:rPr>
          <w:rFonts w:cs="David" w:hint="eastAsia"/>
          <w:b/>
          <w:bCs/>
          <w:rtl/>
        </w:rPr>
        <w:t>ברמה</w:t>
      </w:r>
      <w:r w:rsidRPr="004010BB">
        <w:rPr>
          <w:rFonts w:cs="David"/>
          <w:b/>
          <w:bCs/>
          <w:rtl/>
        </w:rPr>
        <w:t xml:space="preserve"> </w:t>
      </w:r>
      <w:r w:rsidRPr="004010BB">
        <w:rPr>
          <w:rFonts w:cs="David" w:hint="eastAsia"/>
          <w:b/>
          <w:bCs/>
          <w:rtl/>
        </w:rPr>
        <w:t>התיאורטית</w:t>
      </w:r>
      <w:r w:rsidRPr="004010BB">
        <w:rPr>
          <w:rFonts w:cs="David"/>
          <w:b/>
          <w:bCs/>
          <w:rtl/>
        </w:rPr>
        <w:t>:</w:t>
      </w:r>
    </w:p>
    <w:p w:rsidR="00324C21" w:rsidRPr="004010BB" w:rsidRDefault="00324C21" w:rsidP="00324C21">
      <w:pPr>
        <w:pStyle w:val="p00"/>
        <w:tabs>
          <w:tab w:val="left" w:pos="9026"/>
        </w:tabs>
        <w:bidi/>
        <w:spacing w:before="72" w:beforeAutospacing="0" w:after="0" w:afterAutospacing="0" w:line="360" w:lineRule="auto"/>
        <w:ind w:left="720"/>
        <w:jc w:val="both"/>
        <w:rPr>
          <w:rFonts w:cs="David"/>
          <w:rtl/>
        </w:rPr>
      </w:pPr>
      <w:r w:rsidRPr="004010BB">
        <w:rPr>
          <w:rFonts w:cs="David" w:hint="cs"/>
          <w:rtl/>
        </w:rPr>
        <w:t xml:space="preserve">המשפט מחייב אותנו לסווג את היסוד הנפשי לקטגורית נפרדות, אך במציאות, נכון יותר לחשוב על היסוד הנפשי כאל מנעד של מצבים: בקצה האחד, יש את האדם שחפץ, בכל כולו, שהתוצאה תקרה, ובקצה השני, יש את האדם שמודע שיש אפשרות שהתוצאה תקרה, אבל מקווה, בכל מועדו, שהתוצאה לא תקרה. ביניהם יש מגוון של מקרים: האדם שמעדיף שהתוצאה תקרה; האדם שכלל לא חושב על ההעדפה שלו לעניין התוצאה; האדם שרוצה שהתוצאה תקרה, אבל לא אם הוא יצטרך לשלם מחיר כבד; ועוד ועוד. </w:t>
      </w:r>
    </w:p>
    <w:p w:rsidR="00324C21" w:rsidRPr="004010BB" w:rsidRDefault="00324C21" w:rsidP="00324C21">
      <w:pPr>
        <w:pStyle w:val="p00"/>
        <w:tabs>
          <w:tab w:val="left" w:pos="9026"/>
        </w:tabs>
        <w:bidi/>
        <w:spacing w:before="72" w:beforeAutospacing="0" w:after="0" w:afterAutospacing="0" w:line="360" w:lineRule="auto"/>
        <w:ind w:left="720"/>
        <w:jc w:val="both"/>
        <w:rPr>
          <w:rFonts w:cs="David"/>
          <w:rtl/>
        </w:rPr>
      </w:pPr>
      <w:r w:rsidRPr="004010BB">
        <w:rPr>
          <w:rFonts w:cs="David" w:hint="cs"/>
          <w:rtl/>
        </w:rPr>
        <w:t xml:space="preserve">הרוב בוועדת קרמניצר, כאמור, סבר כי האדיש </w:t>
      </w:r>
      <w:r w:rsidRPr="004010BB">
        <w:rPr>
          <w:rFonts w:cs="David"/>
          <w:rtl/>
        </w:rPr>
        <w:t>–</w:t>
      </w:r>
      <w:r w:rsidRPr="004010BB">
        <w:rPr>
          <w:rFonts w:cs="David" w:hint="cs"/>
          <w:rtl/>
        </w:rPr>
        <w:t xml:space="preserve"> קרי,  מי שפעל בשוויון</w:t>
      </w:r>
      <w:r w:rsidRPr="004010BB">
        <w:rPr>
          <w:rFonts w:cs="David"/>
          <w:rtl/>
        </w:rPr>
        <w:t xml:space="preserve"> </w:t>
      </w:r>
      <w:r w:rsidRPr="004010BB">
        <w:rPr>
          <w:rFonts w:cs="David" w:hint="cs"/>
          <w:rtl/>
        </w:rPr>
        <w:t>נפש</w:t>
      </w:r>
      <w:r w:rsidRPr="004010BB">
        <w:rPr>
          <w:rFonts w:cs="David"/>
          <w:rtl/>
        </w:rPr>
        <w:t xml:space="preserve"> </w:t>
      </w:r>
      <w:r w:rsidRPr="004010BB">
        <w:rPr>
          <w:rFonts w:cs="David" w:hint="cs"/>
          <w:rtl/>
        </w:rPr>
        <w:t>לאפשרות</w:t>
      </w:r>
      <w:r w:rsidRPr="004010BB">
        <w:rPr>
          <w:rFonts w:cs="David"/>
          <w:rtl/>
        </w:rPr>
        <w:t xml:space="preserve"> </w:t>
      </w:r>
      <w:r w:rsidRPr="004010BB">
        <w:rPr>
          <w:rFonts w:cs="David" w:hint="cs"/>
          <w:rtl/>
        </w:rPr>
        <w:t>גרימת</w:t>
      </w:r>
      <w:r w:rsidRPr="004010BB">
        <w:rPr>
          <w:rFonts w:cs="David"/>
          <w:rtl/>
        </w:rPr>
        <w:t xml:space="preserve"> </w:t>
      </w:r>
      <w:r w:rsidRPr="004010BB">
        <w:rPr>
          <w:rFonts w:cs="David" w:hint="cs"/>
          <w:rtl/>
        </w:rPr>
        <w:t xml:space="preserve">המוות </w:t>
      </w:r>
      <w:r w:rsidRPr="004010BB">
        <w:rPr>
          <w:rFonts w:cs="David"/>
          <w:rtl/>
        </w:rPr>
        <w:t>–</w:t>
      </w:r>
      <w:r w:rsidRPr="004010BB">
        <w:rPr>
          <w:rFonts w:cs="David" w:hint="cs"/>
          <w:rtl/>
        </w:rPr>
        <w:t xml:space="preserve"> הוא שווה ערך, מבחינה מוסרית, למי שהתכוון להמית, ולכן ראוי שגם הוא יתויג כ-"רוצח"; כאשר קל-הדעת </w:t>
      </w:r>
      <w:r w:rsidRPr="004010BB">
        <w:rPr>
          <w:rFonts w:cs="David"/>
          <w:rtl/>
        </w:rPr>
        <w:t>–</w:t>
      </w:r>
      <w:r w:rsidRPr="004010BB">
        <w:rPr>
          <w:rFonts w:cs="David" w:hint="cs"/>
          <w:rtl/>
        </w:rPr>
        <w:t xml:space="preserve"> מי שנטל</w:t>
      </w:r>
      <w:r w:rsidRPr="004010BB">
        <w:rPr>
          <w:rFonts w:cs="David"/>
          <w:rtl/>
        </w:rPr>
        <w:t xml:space="preserve"> </w:t>
      </w:r>
      <w:r w:rsidRPr="004010BB">
        <w:rPr>
          <w:rFonts w:cs="David" w:hint="cs"/>
          <w:rtl/>
        </w:rPr>
        <w:t>סיכון</w:t>
      </w:r>
      <w:r w:rsidRPr="004010BB">
        <w:rPr>
          <w:rFonts w:cs="David"/>
          <w:rtl/>
        </w:rPr>
        <w:t xml:space="preserve"> </w:t>
      </w:r>
      <w:r w:rsidRPr="004010BB">
        <w:rPr>
          <w:rFonts w:cs="David" w:hint="cs"/>
          <w:rtl/>
        </w:rPr>
        <w:t>בלתי</w:t>
      </w:r>
      <w:r w:rsidRPr="004010BB">
        <w:rPr>
          <w:rFonts w:cs="David"/>
          <w:rtl/>
        </w:rPr>
        <w:t xml:space="preserve"> </w:t>
      </w:r>
      <w:r w:rsidRPr="004010BB">
        <w:rPr>
          <w:rFonts w:cs="David" w:hint="cs"/>
          <w:rtl/>
        </w:rPr>
        <w:t>סביר</w:t>
      </w:r>
      <w:r w:rsidRPr="004010BB">
        <w:rPr>
          <w:rFonts w:cs="David"/>
          <w:rtl/>
        </w:rPr>
        <w:t xml:space="preserve"> </w:t>
      </w:r>
      <w:r w:rsidRPr="004010BB">
        <w:rPr>
          <w:rFonts w:cs="David" w:hint="cs"/>
          <w:rtl/>
        </w:rPr>
        <w:t>לאפשרות</w:t>
      </w:r>
      <w:r w:rsidRPr="004010BB">
        <w:rPr>
          <w:rFonts w:cs="David"/>
          <w:rtl/>
        </w:rPr>
        <w:t xml:space="preserve"> </w:t>
      </w:r>
      <w:r w:rsidRPr="004010BB">
        <w:rPr>
          <w:rFonts w:cs="David" w:hint="cs"/>
          <w:rtl/>
        </w:rPr>
        <w:t>גרימת</w:t>
      </w:r>
      <w:r w:rsidRPr="004010BB">
        <w:rPr>
          <w:rFonts w:cs="David"/>
          <w:rtl/>
        </w:rPr>
        <w:t xml:space="preserve"> </w:t>
      </w:r>
      <w:r w:rsidRPr="004010BB">
        <w:rPr>
          <w:rFonts w:cs="David" w:hint="cs"/>
          <w:rtl/>
        </w:rPr>
        <w:t>המוות</w:t>
      </w:r>
      <w:r w:rsidRPr="004010BB">
        <w:rPr>
          <w:rFonts w:cs="David"/>
          <w:rtl/>
        </w:rPr>
        <w:t xml:space="preserve">, </w:t>
      </w:r>
      <w:r w:rsidRPr="004010BB">
        <w:rPr>
          <w:rFonts w:cs="David" w:hint="cs"/>
          <w:rtl/>
        </w:rPr>
        <w:t>מתוך</w:t>
      </w:r>
      <w:r w:rsidRPr="004010BB">
        <w:rPr>
          <w:rFonts w:cs="David"/>
          <w:rtl/>
        </w:rPr>
        <w:t xml:space="preserve"> </w:t>
      </w:r>
      <w:r w:rsidRPr="004010BB">
        <w:rPr>
          <w:rFonts w:cs="David" w:hint="cs"/>
          <w:rtl/>
        </w:rPr>
        <w:t>תקווה</w:t>
      </w:r>
      <w:r w:rsidRPr="004010BB">
        <w:rPr>
          <w:rFonts w:cs="David"/>
          <w:rtl/>
        </w:rPr>
        <w:t xml:space="preserve"> </w:t>
      </w:r>
      <w:r w:rsidRPr="004010BB">
        <w:rPr>
          <w:rFonts w:cs="David" w:hint="cs"/>
          <w:rtl/>
        </w:rPr>
        <w:t>להצליח</w:t>
      </w:r>
      <w:r w:rsidRPr="004010BB">
        <w:rPr>
          <w:rFonts w:cs="David"/>
          <w:rtl/>
        </w:rPr>
        <w:t xml:space="preserve"> </w:t>
      </w:r>
      <w:r w:rsidRPr="004010BB">
        <w:rPr>
          <w:rFonts w:cs="David" w:hint="cs"/>
          <w:rtl/>
        </w:rPr>
        <w:t xml:space="preserve">למנוע אותו </w:t>
      </w:r>
      <w:r w:rsidRPr="004010BB">
        <w:rPr>
          <w:rFonts w:cs="David"/>
          <w:rtl/>
        </w:rPr>
        <w:t>–</w:t>
      </w:r>
      <w:r w:rsidRPr="004010BB">
        <w:rPr>
          <w:rFonts w:cs="David" w:hint="cs"/>
          <w:rtl/>
        </w:rPr>
        <w:t xml:space="preserve"> נמצא ברמה מוסרית אחרת, קלה בהרבה לדעתם, שאינה מצדיקה תיוג של העבריין כ-"רוצח", ואף לא מצדיקה הרשעה בעבירה של הריגה בחומרה המיוחסת לה היום.  ואולם, כמו בכל מנעד, ברור שהאשם של קל-הדעת "הקיצוני", שמתקרב לעתים ליסוד הנפשי של הרשלן, הוא פחות מהאדיש "הקיצוני", שיסוד הנפשי שלו מתקרב למתכוון. פעמים רבות, כאשר המשפט "חותך" מנעד של אפשרויות לקטגוריות שונות, אנשים שנמצאים "בקצה" של אותה קטגוריה עלולים להיות יותר דומים מבחינה מוסרית, למי שנמצא בקטגוריה אחרת, מאשר למי שנכלל באותה קטגוריה עצמה.  </w:t>
      </w:r>
    </w:p>
    <w:p w:rsidR="00324C21" w:rsidRPr="004010BB" w:rsidRDefault="00324C21" w:rsidP="00324C21">
      <w:pPr>
        <w:pStyle w:val="p00"/>
        <w:tabs>
          <w:tab w:val="left" w:pos="9026"/>
        </w:tabs>
        <w:bidi/>
        <w:spacing w:before="120" w:beforeAutospacing="0" w:after="120" w:afterAutospacing="0" w:line="360" w:lineRule="auto"/>
        <w:ind w:left="720"/>
        <w:jc w:val="both"/>
        <w:rPr>
          <w:rFonts w:cs="David"/>
          <w:rtl/>
        </w:rPr>
      </w:pPr>
      <w:r w:rsidRPr="004010BB">
        <w:rPr>
          <w:rFonts w:cs="David" w:hint="cs"/>
          <w:rtl/>
        </w:rPr>
        <w:t>מה עוד שההבחנה בין האדישות לבין קלות הדעת, מבחינת אנליטי</w:t>
      </w:r>
      <w:r w:rsidRPr="004010BB">
        <w:rPr>
          <w:rFonts w:cs="David" w:hint="eastAsia"/>
          <w:rtl/>
        </w:rPr>
        <w:t>ת</w:t>
      </w:r>
      <w:r w:rsidRPr="004010BB">
        <w:rPr>
          <w:rFonts w:cs="David" w:hint="cs"/>
          <w:rtl/>
        </w:rPr>
        <w:t>, אינה פשוטה (וכאמור לעיל, לא התבהרה בפסיקה, שכן לא היה צורך לכך עד כה). פרופ' גור-אריה</w:t>
      </w:r>
      <w:r w:rsidRPr="004010BB">
        <w:rPr>
          <w:rStyle w:val="a6"/>
          <w:rFonts w:cs="David"/>
          <w:rtl/>
        </w:rPr>
        <w:footnoteReference w:id="5"/>
      </w:r>
      <w:r w:rsidRPr="004010BB">
        <w:rPr>
          <w:rFonts w:cs="David" w:hint="cs"/>
          <w:rtl/>
        </w:rPr>
        <w:t xml:space="preserve"> טוענת כי לרוב, גם לאדיש יש "מניע עונשי חזק שלא לגרום להתרחשות התוצאה, הגורם לו לקוות כי התוצאה לא תתרחש". (מבחינה מוסרית, היא מציעה הבחנה אחרת, בין "הפזיז המחושב" שלוקח סיכון בלתי סביר, אף </w:t>
      </w:r>
      <w:r w:rsidRPr="004010BB">
        <w:rPr>
          <w:rFonts w:cs="David" w:hint="cs"/>
          <w:rtl/>
        </w:rPr>
        <w:lastRenderedPageBreak/>
        <w:t xml:space="preserve">בתקווה שהסיכון לא יתממש, לבין "קל הדעת המכחיש" שמאמין ש-"לי זה לא יקרה", למרות שמודע לאפשרות התוצאה.) לכן, לטענתה, אין לייחס חומרה יתרה דווקא ל-"אדיש". </w:t>
      </w:r>
    </w:p>
    <w:p w:rsidR="00324C21" w:rsidRPr="004010BB" w:rsidRDefault="00324C21" w:rsidP="00324C21">
      <w:pPr>
        <w:spacing w:before="120" w:after="0" w:line="360" w:lineRule="auto"/>
        <w:ind w:left="360"/>
        <w:jc w:val="both"/>
        <w:rPr>
          <w:rFonts w:cs="David"/>
          <w:sz w:val="24"/>
          <w:szCs w:val="24"/>
          <w:rtl/>
        </w:rPr>
      </w:pPr>
    </w:p>
    <w:p w:rsidR="00324C21" w:rsidRPr="004010BB" w:rsidRDefault="00324C21" w:rsidP="00324C21">
      <w:pPr>
        <w:pStyle w:val="p00"/>
        <w:tabs>
          <w:tab w:val="left" w:pos="9026"/>
        </w:tabs>
        <w:bidi/>
        <w:spacing w:before="72" w:beforeAutospacing="0" w:after="0" w:afterAutospacing="0" w:line="360" w:lineRule="auto"/>
        <w:jc w:val="both"/>
        <w:rPr>
          <w:rFonts w:cs="David"/>
          <w:b/>
          <w:bCs/>
          <w:u w:val="single"/>
          <w:rtl/>
        </w:rPr>
      </w:pPr>
      <w:r w:rsidRPr="004010BB">
        <w:rPr>
          <w:rFonts w:cs="David" w:hint="cs"/>
          <w:b/>
          <w:bCs/>
          <w:u w:val="single"/>
          <w:rtl/>
        </w:rPr>
        <w:t>הצעות חלופיות:</w:t>
      </w:r>
    </w:p>
    <w:p w:rsidR="00324C21" w:rsidRPr="004010BB" w:rsidRDefault="00324C21" w:rsidP="00324C21">
      <w:pPr>
        <w:pStyle w:val="p00"/>
        <w:tabs>
          <w:tab w:val="left" w:pos="9026"/>
        </w:tabs>
        <w:bidi/>
        <w:spacing w:before="120" w:beforeAutospacing="0" w:after="120" w:afterAutospacing="0" w:line="360" w:lineRule="auto"/>
        <w:jc w:val="both"/>
        <w:rPr>
          <w:rFonts w:cs="David"/>
          <w:rtl/>
        </w:rPr>
      </w:pPr>
      <w:r w:rsidRPr="004010BB">
        <w:rPr>
          <w:rFonts w:cs="David" w:hint="cs"/>
          <w:rtl/>
        </w:rPr>
        <w:t xml:space="preserve">למרות החשש מפיצול היסוד הנפשי של פזיזות, שוכנענו כי יש צורך במתן מענה למקרים של המתה בפזיזות שנדמה שראוי לתייגם כ-"רצח" ולא פחות מזה.  האשם של האדיש אכן יכול להיות בדרגות החמורות ביותר ובמקרים מסוימים חמור ככוונה, ולכך אין מענה בחוק הקיים ויש צורך לשקול כיצד יש לתת לכך ביטוי במדרג החדש (עמדה אחרת מציגה הסנגוריה כפי שיפורט בהמשך). </w:t>
      </w:r>
    </w:p>
    <w:p w:rsidR="00324C21" w:rsidRPr="004010BB" w:rsidRDefault="00324C21" w:rsidP="00324C21">
      <w:pPr>
        <w:pStyle w:val="p00"/>
        <w:tabs>
          <w:tab w:val="left" w:pos="9026"/>
        </w:tabs>
        <w:bidi/>
        <w:spacing w:before="120" w:beforeAutospacing="0" w:after="120" w:afterAutospacing="0" w:line="360" w:lineRule="auto"/>
        <w:jc w:val="both"/>
        <w:rPr>
          <w:rFonts w:cs="David"/>
          <w:rtl/>
        </w:rPr>
      </w:pPr>
      <w:r>
        <w:rPr>
          <w:rFonts w:cs="David" w:hint="cs"/>
          <w:rtl/>
        </w:rPr>
        <w:t>(נצ</w:t>
      </w:r>
      <w:r w:rsidRPr="004010BB">
        <w:rPr>
          <w:rFonts w:cs="David" w:hint="cs"/>
          <w:rtl/>
        </w:rPr>
        <w:t xml:space="preserve">יין כי האשם "המוסרי" של קל הדעת גם הוא </w:t>
      </w:r>
      <w:r>
        <w:rPr>
          <w:rFonts w:cs="David" w:hint="cs"/>
          <w:rtl/>
        </w:rPr>
        <w:t xml:space="preserve">לעיתים </w:t>
      </w:r>
      <w:r w:rsidRPr="004010BB">
        <w:rPr>
          <w:rFonts w:cs="David" w:hint="cs"/>
          <w:rtl/>
        </w:rPr>
        <w:t xml:space="preserve">חמור ביותר. ככל שהאדם שקל את האפשרות שמישהו ימות, והחליט </w:t>
      </w:r>
      <w:r w:rsidRPr="004010BB">
        <w:rPr>
          <w:rFonts w:cs="David" w:hint="cs"/>
          <w:u w:val="single"/>
          <w:rtl/>
        </w:rPr>
        <w:t>בכל זאת</w:t>
      </w:r>
      <w:r w:rsidRPr="004010BB">
        <w:rPr>
          <w:rFonts w:cs="David" w:hint="cs"/>
          <w:rtl/>
        </w:rPr>
        <w:t>, לדוגמא מסיבות כלכליות, לעשות את המעשה הקטלני, מתעוררת השאלה האם התקווה של הממית שהתוצאה לא תתרחש, ממעיטה מהאחריות המוסרית שלו</w:t>
      </w:r>
      <w:r>
        <w:rPr>
          <w:rFonts w:cs="David" w:hint="cs"/>
          <w:rtl/>
        </w:rPr>
        <w:t>)</w:t>
      </w:r>
      <w:r w:rsidRPr="004010BB">
        <w:rPr>
          <w:rFonts w:cs="David" w:hint="cs"/>
          <w:rtl/>
        </w:rPr>
        <w:t xml:space="preserve">. </w:t>
      </w:r>
    </w:p>
    <w:p w:rsidR="00324C21" w:rsidRPr="004010BB" w:rsidRDefault="00324C21" w:rsidP="00324C21">
      <w:pPr>
        <w:pStyle w:val="p00"/>
        <w:tabs>
          <w:tab w:val="left" w:pos="9026"/>
        </w:tabs>
        <w:bidi/>
        <w:spacing w:before="72" w:beforeAutospacing="0" w:after="0" w:afterAutospacing="0" w:line="360" w:lineRule="auto"/>
        <w:ind w:left="720"/>
        <w:jc w:val="both"/>
        <w:rPr>
          <w:rFonts w:cs="David"/>
        </w:rPr>
      </w:pPr>
    </w:p>
    <w:p w:rsidR="00324C21" w:rsidRDefault="00324C21" w:rsidP="00324C21">
      <w:pPr>
        <w:pStyle w:val="p00"/>
        <w:tabs>
          <w:tab w:val="left" w:pos="9026"/>
        </w:tabs>
        <w:bidi/>
        <w:spacing w:before="72" w:beforeAutospacing="0" w:after="0" w:afterAutospacing="0" w:line="360" w:lineRule="auto"/>
        <w:jc w:val="both"/>
        <w:rPr>
          <w:rFonts w:cs="David"/>
          <w:rtl/>
        </w:rPr>
      </w:pPr>
      <w:r>
        <w:rPr>
          <w:rFonts w:cs="David" w:hint="cs"/>
          <w:rtl/>
        </w:rPr>
        <w:t xml:space="preserve">לטעמנו, נוכח הצורך לתת מענה כאמור, ומאידך כדי להימנע מהקשיים הפרקטיים המפורטים לעיל,  ניתן לאפיין מקרים אלו בהם </w:t>
      </w:r>
      <w:r w:rsidRPr="004010BB">
        <w:rPr>
          <w:rFonts w:cs="David" w:hint="cs"/>
          <w:rtl/>
        </w:rPr>
        <w:t>האשם המוסרי הוא גבוה</w:t>
      </w:r>
      <w:r>
        <w:rPr>
          <w:rFonts w:cs="David" w:hint="cs"/>
          <w:rtl/>
        </w:rPr>
        <w:t xml:space="preserve"> לפי היסוד העובדתי שבהם</w:t>
      </w:r>
      <w:r w:rsidRPr="004010BB">
        <w:rPr>
          <w:rFonts w:cs="David" w:hint="cs"/>
          <w:rtl/>
        </w:rPr>
        <w:t xml:space="preserve">: מקרים של אלימות קשה שמסתיימים בהמתה, ומקרים בהם המבצע היה יכול לצפות, כאפשרות קרובה לוודאי, שהתוצאה הקטלנית תתרחש. </w:t>
      </w:r>
      <w:r>
        <w:rPr>
          <w:rFonts w:cs="David" w:hint="cs"/>
          <w:rtl/>
        </w:rPr>
        <w:t xml:space="preserve">להלן </w:t>
      </w:r>
      <w:r w:rsidRPr="004010BB">
        <w:rPr>
          <w:rFonts w:cs="David" w:hint="cs"/>
          <w:rtl/>
        </w:rPr>
        <w:t>שתי חלופות שמתבססות על שני מקרים אלה:</w:t>
      </w:r>
    </w:p>
    <w:p w:rsidR="00324C21" w:rsidRPr="004010BB" w:rsidRDefault="00324C21" w:rsidP="00324C21">
      <w:pPr>
        <w:pStyle w:val="p00"/>
        <w:tabs>
          <w:tab w:val="left" w:pos="9026"/>
        </w:tabs>
        <w:bidi/>
        <w:spacing w:before="72" w:beforeAutospacing="0" w:after="0" w:afterAutospacing="0" w:line="360" w:lineRule="auto"/>
        <w:jc w:val="both"/>
        <w:rPr>
          <w:rFonts w:cs="David"/>
          <w:rtl/>
        </w:rPr>
      </w:pPr>
    </w:p>
    <w:p w:rsidR="00324C21" w:rsidRPr="004010BB" w:rsidRDefault="00324C21" w:rsidP="00324C21">
      <w:pPr>
        <w:pStyle w:val="p00"/>
        <w:tabs>
          <w:tab w:val="left" w:pos="9026"/>
        </w:tabs>
        <w:bidi/>
        <w:spacing w:before="72" w:beforeAutospacing="0" w:after="0" w:afterAutospacing="0" w:line="360" w:lineRule="auto"/>
        <w:jc w:val="both"/>
        <w:rPr>
          <w:rFonts w:cs="David"/>
          <w:b/>
          <w:bCs/>
          <w:u w:val="single"/>
          <w:rtl/>
        </w:rPr>
      </w:pPr>
      <w:r w:rsidRPr="004010BB">
        <w:rPr>
          <w:rFonts w:cs="David" w:hint="cs"/>
          <w:b/>
          <w:bCs/>
          <w:u w:val="single"/>
          <w:rtl/>
        </w:rPr>
        <w:t>חלופה א' -כוונה לחבלה חמורה והלכת הצפיות</w:t>
      </w:r>
    </w:p>
    <w:p w:rsidR="00324C21" w:rsidRPr="004010BB" w:rsidRDefault="00324C21" w:rsidP="00324C21">
      <w:pPr>
        <w:pStyle w:val="TableBlock"/>
        <w:rPr>
          <w:b/>
          <w:bCs/>
          <w:sz w:val="24"/>
          <w:szCs w:val="24"/>
          <w:u w:val="single"/>
          <w:rtl/>
        </w:rPr>
      </w:pPr>
    </w:p>
    <w:p w:rsidR="00324C21" w:rsidRPr="004010BB" w:rsidRDefault="00324C21" w:rsidP="00324C21">
      <w:pPr>
        <w:pStyle w:val="TableBlock"/>
        <w:rPr>
          <w:b/>
          <w:bCs/>
          <w:sz w:val="24"/>
          <w:szCs w:val="24"/>
          <w:rtl/>
        </w:rPr>
      </w:pPr>
      <w:r w:rsidRPr="004010BB">
        <w:rPr>
          <w:rFonts w:hint="cs"/>
          <w:b/>
          <w:bCs/>
          <w:sz w:val="24"/>
          <w:szCs w:val="24"/>
          <w:rtl/>
        </w:rPr>
        <w:t>רצח</w:t>
      </w:r>
    </w:p>
    <w:p w:rsidR="00324C21" w:rsidRPr="004010BB" w:rsidRDefault="00324C21" w:rsidP="00324C21">
      <w:pPr>
        <w:pStyle w:val="TableBlock"/>
        <w:rPr>
          <w:sz w:val="24"/>
          <w:szCs w:val="24"/>
          <w:rtl/>
        </w:rPr>
      </w:pPr>
      <w:r w:rsidRPr="004010BB">
        <w:rPr>
          <w:rFonts w:hint="cs"/>
          <w:sz w:val="24"/>
          <w:szCs w:val="24"/>
          <w:rtl/>
        </w:rPr>
        <w:t xml:space="preserve">"הגורם בכוונה למותו של אדם או הגורם למותו של אדם בכוונה להטיל באדם נכות או מום, או לגרום לו חבלה חמורה [[ובפזיזות לעניין התוצאה]]. </w:t>
      </w:r>
      <w:r w:rsidRPr="004010BB">
        <w:rPr>
          <w:sz w:val="24"/>
          <w:szCs w:val="24"/>
          <w:rtl/>
        </w:rPr>
        <w:t>ל</w:t>
      </w:r>
      <w:r w:rsidRPr="004010BB">
        <w:rPr>
          <w:rFonts w:hint="cs"/>
          <w:sz w:val="24"/>
          <w:szCs w:val="24"/>
          <w:rtl/>
        </w:rPr>
        <w:t>ענ</w:t>
      </w:r>
      <w:r w:rsidRPr="004010BB">
        <w:rPr>
          <w:sz w:val="24"/>
          <w:szCs w:val="24"/>
          <w:rtl/>
        </w:rPr>
        <w:t>י</w:t>
      </w:r>
      <w:r w:rsidRPr="004010BB">
        <w:rPr>
          <w:rFonts w:hint="cs"/>
          <w:sz w:val="24"/>
          <w:szCs w:val="24"/>
          <w:rtl/>
        </w:rPr>
        <w:t>י</w:t>
      </w:r>
      <w:r w:rsidRPr="004010BB">
        <w:rPr>
          <w:sz w:val="24"/>
          <w:szCs w:val="24"/>
          <w:rtl/>
        </w:rPr>
        <w:t>ן</w:t>
      </w:r>
      <w:r w:rsidRPr="004010BB">
        <w:rPr>
          <w:rFonts w:hint="cs"/>
          <w:sz w:val="24"/>
          <w:szCs w:val="24"/>
          <w:rtl/>
        </w:rPr>
        <w:t xml:space="preserve"> זה, ראייה מראש את התרחשות התוצאות, כאפשרות קרובה לוודאי, כמוה כמטרה לגרמן </w:t>
      </w:r>
    </w:p>
    <w:p w:rsidR="00324C21" w:rsidRPr="004010BB" w:rsidRDefault="00324C21" w:rsidP="00324C21">
      <w:pPr>
        <w:pStyle w:val="TableBlock"/>
        <w:rPr>
          <w:sz w:val="22"/>
          <w:szCs w:val="22"/>
          <w:rtl/>
        </w:rPr>
      </w:pPr>
      <w:r w:rsidRPr="004010BB">
        <w:rPr>
          <w:rFonts w:hint="cs"/>
          <w:sz w:val="22"/>
          <w:szCs w:val="22"/>
          <w:rtl/>
        </w:rPr>
        <w:t>*(אם ייקבע כי הלכת הצפיות חלה, נדון בשאלה האם יש צורך לציין זאת במפורש).</w:t>
      </w:r>
    </w:p>
    <w:p w:rsidR="00324C21" w:rsidRPr="004010BB" w:rsidRDefault="00324C21" w:rsidP="00324C21">
      <w:pPr>
        <w:pStyle w:val="TableBlock"/>
        <w:rPr>
          <w:sz w:val="24"/>
          <w:szCs w:val="24"/>
          <w:rtl/>
        </w:rPr>
      </w:pPr>
      <w:r w:rsidRPr="004010BB">
        <w:rPr>
          <w:rFonts w:hint="cs"/>
          <w:b/>
          <w:bCs/>
          <w:sz w:val="24"/>
          <w:szCs w:val="24"/>
          <w:rtl/>
        </w:rPr>
        <w:t>הריגה</w:t>
      </w:r>
    </w:p>
    <w:p w:rsidR="00324C21" w:rsidRPr="004010BB" w:rsidRDefault="00324C21" w:rsidP="00324C21">
      <w:pPr>
        <w:pStyle w:val="TableBlock"/>
        <w:rPr>
          <w:sz w:val="24"/>
          <w:szCs w:val="24"/>
          <w:rtl/>
        </w:rPr>
      </w:pPr>
      <w:r w:rsidRPr="004010BB">
        <w:rPr>
          <w:rFonts w:hint="cs"/>
          <w:sz w:val="24"/>
          <w:szCs w:val="24"/>
          <w:rtl/>
        </w:rPr>
        <w:t>"ה</w:t>
      </w:r>
      <w:r w:rsidRPr="004010BB">
        <w:rPr>
          <w:rFonts w:hint="eastAsia"/>
          <w:sz w:val="24"/>
          <w:szCs w:val="24"/>
          <w:rtl/>
        </w:rPr>
        <w:t>גורם</w:t>
      </w:r>
      <w:r w:rsidRPr="004010BB">
        <w:rPr>
          <w:sz w:val="24"/>
          <w:szCs w:val="24"/>
          <w:rtl/>
        </w:rPr>
        <w:t xml:space="preserve"> </w:t>
      </w:r>
      <w:r w:rsidRPr="004010BB">
        <w:rPr>
          <w:rFonts w:hint="eastAsia"/>
          <w:sz w:val="24"/>
          <w:szCs w:val="24"/>
          <w:rtl/>
        </w:rPr>
        <w:t>למותו</w:t>
      </w:r>
      <w:r w:rsidRPr="004010BB">
        <w:rPr>
          <w:sz w:val="24"/>
          <w:szCs w:val="24"/>
          <w:rtl/>
        </w:rPr>
        <w:t xml:space="preserve"> </w:t>
      </w:r>
      <w:r w:rsidRPr="004010BB">
        <w:rPr>
          <w:rFonts w:hint="eastAsia"/>
          <w:sz w:val="24"/>
          <w:szCs w:val="24"/>
          <w:rtl/>
        </w:rPr>
        <w:t>של</w:t>
      </w:r>
      <w:r w:rsidRPr="004010BB">
        <w:rPr>
          <w:sz w:val="24"/>
          <w:szCs w:val="24"/>
          <w:rtl/>
        </w:rPr>
        <w:t xml:space="preserve"> </w:t>
      </w:r>
      <w:r w:rsidRPr="004010BB">
        <w:rPr>
          <w:rFonts w:hint="eastAsia"/>
          <w:sz w:val="24"/>
          <w:szCs w:val="24"/>
          <w:rtl/>
        </w:rPr>
        <w:t>אדם</w:t>
      </w:r>
      <w:r w:rsidRPr="004010BB">
        <w:rPr>
          <w:sz w:val="24"/>
          <w:szCs w:val="24"/>
          <w:rtl/>
        </w:rPr>
        <w:t xml:space="preserve">, </w:t>
      </w:r>
      <w:r w:rsidRPr="004010BB">
        <w:rPr>
          <w:rFonts w:hint="eastAsia"/>
          <w:sz w:val="24"/>
          <w:szCs w:val="24"/>
          <w:rtl/>
        </w:rPr>
        <w:t>דינו</w:t>
      </w:r>
      <w:r w:rsidRPr="004010BB">
        <w:rPr>
          <w:sz w:val="24"/>
          <w:szCs w:val="24"/>
          <w:rtl/>
        </w:rPr>
        <w:t xml:space="preserve"> – </w:t>
      </w:r>
      <w:r w:rsidRPr="004010BB">
        <w:rPr>
          <w:rFonts w:hint="eastAsia"/>
          <w:sz w:val="24"/>
          <w:szCs w:val="24"/>
          <w:rtl/>
        </w:rPr>
        <w:t>מאסר</w:t>
      </w:r>
      <w:r w:rsidRPr="004010BB">
        <w:rPr>
          <w:sz w:val="24"/>
          <w:szCs w:val="24"/>
          <w:rtl/>
        </w:rPr>
        <w:t xml:space="preserve"> </w:t>
      </w:r>
      <w:r w:rsidRPr="004010BB">
        <w:rPr>
          <w:rFonts w:hint="cs"/>
          <w:sz w:val="24"/>
          <w:szCs w:val="24"/>
          <w:rtl/>
        </w:rPr>
        <w:t xml:space="preserve">עשרים </w:t>
      </w:r>
      <w:r w:rsidRPr="004010BB">
        <w:rPr>
          <w:rFonts w:hint="eastAsia"/>
          <w:sz w:val="24"/>
          <w:szCs w:val="24"/>
          <w:rtl/>
        </w:rPr>
        <w:t>שנים</w:t>
      </w:r>
      <w:r w:rsidRPr="004010BB">
        <w:rPr>
          <w:sz w:val="24"/>
          <w:szCs w:val="24"/>
          <w:rtl/>
        </w:rPr>
        <w:t>.</w:t>
      </w:r>
      <w:r w:rsidRPr="004010BB">
        <w:rPr>
          <w:rFonts w:hint="cs"/>
          <w:sz w:val="24"/>
          <w:szCs w:val="24"/>
          <w:rtl/>
        </w:rPr>
        <w:t>"</w:t>
      </w:r>
    </w:p>
    <w:p w:rsidR="00324C21" w:rsidRDefault="00324C21" w:rsidP="00324C21">
      <w:pPr>
        <w:pStyle w:val="TableBlock"/>
        <w:ind w:left="624"/>
        <w:rPr>
          <w:sz w:val="24"/>
          <w:szCs w:val="24"/>
          <w:rtl/>
        </w:rPr>
      </w:pPr>
    </w:p>
    <w:p w:rsidR="00324C21" w:rsidRPr="004010BB" w:rsidRDefault="00324C21" w:rsidP="00324C21">
      <w:pPr>
        <w:pStyle w:val="p00"/>
        <w:tabs>
          <w:tab w:val="left" w:pos="9026"/>
        </w:tabs>
        <w:bidi/>
        <w:spacing w:before="72" w:beforeAutospacing="0" w:after="0" w:afterAutospacing="0" w:line="360" w:lineRule="auto"/>
        <w:jc w:val="both"/>
        <w:rPr>
          <w:rFonts w:cs="David"/>
          <w:rtl/>
        </w:rPr>
      </w:pPr>
      <w:r w:rsidRPr="004010BB">
        <w:rPr>
          <w:rFonts w:cs="David" w:hint="cs"/>
          <w:rtl/>
        </w:rPr>
        <w:t xml:space="preserve">בהצעת החוק של חה"כ סלומינסקי מוצע לקבוע מדרג דומה, ובו עבירה של רצח מדרגה ראשונה ובה </w:t>
      </w:r>
      <w:r w:rsidRPr="004010BB">
        <w:rPr>
          <w:rFonts w:cs="David" w:hint="cs"/>
          <w:b/>
          <w:bCs/>
          <w:u w:val="single"/>
          <w:rtl/>
        </w:rPr>
        <w:t>יסוד נפשי של כוונה</w:t>
      </w:r>
      <w:r w:rsidRPr="004010BB">
        <w:rPr>
          <w:rFonts w:cs="David" w:hint="cs"/>
          <w:rtl/>
        </w:rPr>
        <w:t xml:space="preserve">, ועבירת רצח מדרגה שנייה הכוללת </w:t>
      </w:r>
      <w:r w:rsidRPr="004010BB">
        <w:rPr>
          <w:rFonts w:cs="David" w:hint="cs"/>
          <w:b/>
          <w:bCs/>
          <w:u w:val="single"/>
          <w:rtl/>
        </w:rPr>
        <w:t>כוונה לחבלה חמורה או צפיית התוצאה כאפשרות קרובה לוודאי</w:t>
      </w:r>
      <w:r w:rsidRPr="004010BB">
        <w:rPr>
          <w:rFonts w:cs="David" w:hint="cs"/>
          <w:rtl/>
        </w:rPr>
        <w:t xml:space="preserve">. </w:t>
      </w:r>
    </w:p>
    <w:p w:rsidR="00324C21" w:rsidRPr="004010BB" w:rsidRDefault="00324C21" w:rsidP="00324C21">
      <w:pPr>
        <w:pStyle w:val="TableBlock"/>
        <w:ind w:left="624"/>
        <w:rPr>
          <w:sz w:val="24"/>
          <w:szCs w:val="24"/>
          <w:rtl/>
        </w:rPr>
      </w:pPr>
    </w:p>
    <w:p w:rsidR="00324C21" w:rsidRPr="004010BB" w:rsidRDefault="00324C21" w:rsidP="00324C21">
      <w:pPr>
        <w:pStyle w:val="p00"/>
        <w:tabs>
          <w:tab w:val="left" w:pos="9026"/>
        </w:tabs>
        <w:bidi/>
        <w:spacing w:before="72" w:beforeAutospacing="0" w:after="0" w:afterAutospacing="0" w:line="360" w:lineRule="auto"/>
        <w:jc w:val="both"/>
        <w:rPr>
          <w:rFonts w:cs="David"/>
          <w:rtl/>
        </w:rPr>
      </w:pPr>
      <w:r w:rsidRPr="004010BB">
        <w:rPr>
          <w:rFonts w:cs="David" w:hint="cs"/>
          <w:rtl/>
        </w:rPr>
        <w:t xml:space="preserve">מוסכם על רבים מהמשתתפים בדיוני הוועדה (ויתכן שעמדה זו משקפת גם את תחושת הציבור) כי המקרים בהם ראוי להרשיע בעבירת הרצח, גם אם לא הייתה כוונה, אלו מקרים המתאפיינים בעבירת אלימות קשה שהסתיימה במוות. ההצדקה המוסרית לכך מתבססת על האשם החמור שבעבירת אלימות חמורה  שמתבצעת תוך צפייה של תוצאת המוות. לפיכך, וכדי להימנע מהצורך להבחין בין אדישות לקלות דעת נוכח </w:t>
      </w:r>
      <w:r w:rsidRPr="004010BB">
        <w:rPr>
          <w:rFonts w:cs="David" w:hint="cs"/>
          <w:rtl/>
        </w:rPr>
        <w:lastRenderedPageBreak/>
        <w:t>ההשלכות והקשיים שהוצגו לעיל, מוצע לקבוע שאותם מקרים שהוצגו בפני הוועדה ייכנסו בגדר עבירת ה"רצח" באופן ברור.</w:t>
      </w:r>
    </w:p>
    <w:p w:rsidR="00324C21" w:rsidRPr="004010BB" w:rsidRDefault="00324C21" w:rsidP="00324C21">
      <w:pPr>
        <w:pStyle w:val="p00"/>
        <w:tabs>
          <w:tab w:val="left" w:pos="9026"/>
        </w:tabs>
        <w:bidi/>
        <w:spacing w:before="72" w:beforeAutospacing="0" w:after="0" w:afterAutospacing="0" w:line="360" w:lineRule="auto"/>
        <w:jc w:val="both"/>
        <w:rPr>
          <w:rFonts w:cs="David"/>
          <w:b/>
          <w:bCs/>
          <w:u w:val="single"/>
          <w:rtl/>
        </w:rPr>
      </w:pPr>
    </w:p>
    <w:p w:rsidR="00324C21" w:rsidRPr="004010BB" w:rsidRDefault="00324C21" w:rsidP="00324C21">
      <w:pPr>
        <w:pStyle w:val="TableBlock"/>
        <w:rPr>
          <w:b/>
          <w:bCs/>
          <w:sz w:val="26"/>
          <w:u w:val="single"/>
          <w:rtl/>
        </w:rPr>
      </w:pPr>
      <w:r w:rsidRPr="004010BB">
        <w:rPr>
          <w:rFonts w:hint="cs"/>
          <w:b/>
          <w:bCs/>
          <w:sz w:val="26"/>
          <w:u w:val="single"/>
          <w:rtl/>
        </w:rPr>
        <w:t>חלופה ב'- הריגה בנסיבות מחמירות</w:t>
      </w:r>
    </w:p>
    <w:p w:rsidR="00324C21" w:rsidRPr="004010BB" w:rsidRDefault="00324C21" w:rsidP="00324C21">
      <w:pPr>
        <w:pStyle w:val="TableBlock"/>
        <w:ind w:left="624"/>
        <w:rPr>
          <w:b/>
          <w:bCs/>
          <w:sz w:val="24"/>
          <w:szCs w:val="24"/>
          <w:rtl/>
        </w:rPr>
      </w:pPr>
      <w:r w:rsidRPr="004010BB">
        <w:rPr>
          <w:rFonts w:hint="cs"/>
          <w:b/>
          <w:bCs/>
          <w:sz w:val="24"/>
          <w:szCs w:val="24"/>
          <w:rtl/>
        </w:rPr>
        <w:t>רצח</w:t>
      </w:r>
    </w:p>
    <w:p w:rsidR="00324C21" w:rsidRPr="004010BB" w:rsidRDefault="00324C21" w:rsidP="00324C21">
      <w:pPr>
        <w:pStyle w:val="TableBlock"/>
        <w:ind w:left="624"/>
        <w:rPr>
          <w:sz w:val="24"/>
          <w:szCs w:val="24"/>
          <w:rtl/>
        </w:rPr>
      </w:pPr>
      <w:r w:rsidRPr="004010BB">
        <w:rPr>
          <w:rFonts w:hint="cs"/>
          <w:sz w:val="24"/>
          <w:szCs w:val="24"/>
          <w:rtl/>
        </w:rPr>
        <w:t xml:space="preserve">"הגורם בכוונה למותו של אדם </w:t>
      </w:r>
      <w:r w:rsidRPr="004010BB">
        <w:rPr>
          <w:sz w:val="24"/>
          <w:szCs w:val="24"/>
          <w:rtl/>
        </w:rPr>
        <w:t>–</w:t>
      </w:r>
      <w:r w:rsidRPr="004010BB">
        <w:rPr>
          <w:rFonts w:hint="cs"/>
          <w:sz w:val="24"/>
          <w:szCs w:val="24"/>
          <w:rtl/>
        </w:rPr>
        <w:t xml:space="preserve"> דינו מאסר עולם."</w:t>
      </w:r>
    </w:p>
    <w:p w:rsidR="00324C21" w:rsidRPr="004010BB" w:rsidRDefault="00324C21" w:rsidP="00324C21">
      <w:pPr>
        <w:pStyle w:val="TableBlock"/>
        <w:ind w:left="624"/>
        <w:rPr>
          <w:b/>
          <w:bCs/>
          <w:sz w:val="24"/>
          <w:szCs w:val="24"/>
          <w:rtl/>
        </w:rPr>
      </w:pPr>
      <w:r w:rsidRPr="004010BB">
        <w:rPr>
          <w:rFonts w:hint="cs"/>
          <w:b/>
          <w:bCs/>
          <w:sz w:val="24"/>
          <w:szCs w:val="24"/>
          <w:rtl/>
        </w:rPr>
        <w:t>הריגה בנסיבות מחמירות</w:t>
      </w:r>
    </w:p>
    <w:p w:rsidR="00324C21" w:rsidRPr="004010BB" w:rsidRDefault="00324C21" w:rsidP="00324C21">
      <w:pPr>
        <w:pStyle w:val="TableBlock"/>
        <w:ind w:left="624"/>
        <w:rPr>
          <w:sz w:val="24"/>
          <w:szCs w:val="24"/>
          <w:rtl/>
        </w:rPr>
      </w:pPr>
      <w:r w:rsidRPr="004010BB">
        <w:rPr>
          <w:rFonts w:hint="cs"/>
          <w:sz w:val="24"/>
          <w:szCs w:val="24"/>
          <w:rtl/>
        </w:rPr>
        <w:t>"הגרום</w:t>
      </w:r>
      <w:r w:rsidRPr="004010BB">
        <w:rPr>
          <w:sz w:val="24"/>
          <w:szCs w:val="24"/>
          <w:rtl/>
        </w:rPr>
        <w:t xml:space="preserve"> </w:t>
      </w:r>
      <w:r w:rsidRPr="004010BB">
        <w:rPr>
          <w:rFonts w:hint="cs"/>
          <w:sz w:val="24"/>
          <w:szCs w:val="24"/>
          <w:rtl/>
        </w:rPr>
        <w:t>למותו</w:t>
      </w:r>
      <w:r w:rsidRPr="004010BB">
        <w:rPr>
          <w:sz w:val="24"/>
          <w:szCs w:val="24"/>
          <w:rtl/>
        </w:rPr>
        <w:t xml:space="preserve"> </w:t>
      </w:r>
      <w:r w:rsidRPr="004010BB">
        <w:rPr>
          <w:rFonts w:hint="cs"/>
          <w:sz w:val="24"/>
          <w:szCs w:val="24"/>
          <w:rtl/>
        </w:rPr>
        <w:t>של</w:t>
      </w:r>
      <w:r w:rsidRPr="004010BB">
        <w:rPr>
          <w:sz w:val="24"/>
          <w:szCs w:val="24"/>
          <w:rtl/>
        </w:rPr>
        <w:t xml:space="preserve"> </w:t>
      </w:r>
      <w:r w:rsidRPr="004010BB">
        <w:rPr>
          <w:rFonts w:hint="cs"/>
          <w:sz w:val="24"/>
          <w:szCs w:val="24"/>
          <w:rtl/>
        </w:rPr>
        <w:t>אדם</w:t>
      </w:r>
      <w:r w:rsidRPr="004010BB">
        <w:rPr>
          <w:sz w:val="24"/>
          <w:szCs w:val="24"/>
          <w:rtl/>
        </w:rPr>
        <w:t xml:space="preserve"> </w:t>
      </w:r>
      <w:r w:rsidRPr="004010BB">
        <w:rPr>
          <w:rFonts w:hint="cs"/>
          <w:sz w:val="24"/>
          <w:szCs w:val="24"/>
          <w:rtl/>
        </w:rPr>
        <w:t>באחת</w:t>
      </w:r>
      <w:r w:rsidRPr="004010BB">
        <w:rPr>
          <w:sz w:val="24"/>
          <w:szCs w:val="24"/>
          <w:rtl/>
        </w:rPr>
        <w:t xml:space="preserve"> </w:t>
      </w:r>
      <w:r w:rsidRPr="004010BB">
        <w:rPr>
          <w:rFonts w:hint="cs"/>
          <w:sz w:val="24"/>
          <w:szCs w:val="24"/>
          <w:rtl/>
        </w:rPr>
        <w:t>מן</w:t>
      </w:r>
      <w:r w:rsidRPr="004010BB">
        <w:rPr>
          <w:sz w:val="24"/>
          <w:szCs w:val="24"/>
          <w:rtl/>
        </w:rPr>
        <w:t xml:space="preserve"> </w:t>
      </w:r>
      <w:r w:rsidRPr="004010BB">
        <w:rPr>
          <w:rFonts w:hint="cs"/>
          <w:sz w:val="24"/>
          <w:szCs w:val="24"/>
          <w:rtl/>
        </w:rPr>
        <w:t>הנסיבות</w:t>
      </w:r>
      <w:r w:rsidRPr="004010BB">
        <w:rPr>
          <w:sz w:val="24"/>
          <w:szCs w:val="24"/>
          <w:rtl/>
        </w:rPr>
        <w:t xml:space="preserve"> </w:t>
      </w:r>
      <w:r w:rsidRPr="004010BB">
        <w:rPr>
          <w:rFonts w:hint="cs"/>
          <w:sz w:val="24"/>
          <w:szCs w:val="24"/>
          <w:rtl/>
        </w:rPr>
        <w:t>המפורטות</w:t>
      </w:r>
      <w:r w:rsidRPr="004010BB">
        <w:rPr>
          <w:sz w:val="24"/>
          <w:szCs w:val="24"/>
          <w:rtl/>
        </w:rPr>
        <w:t xml:space="preserve"> </w:t>
      </w:r>
      <w:r w:rsidRPr="004010BB">
        <w:rPr>
          <w:rFonts w:hint="cs"/>
          <w:sz w:val="24"/>
          <w:szCs w:val="24"/>
          <w:rtl/>
        </w:rPr>
        <w:t>להלן</w:t>
      </w:r>
      <w:r w:rsidRPr="004010BB">
        <w:rPr>
          <w:sz w:val="24"/>
          <w:szCs w:val="24"/>
          <w:rtl/>
        </w:rPr>
        <w:t xml:space="preserve">, </w:t>
      </w:r>
      <w:r w:rsidRPr="004010BB">
        <w:rPr>
          <w:rFonts w:hint="cs"/>
          <w:sz w:val="24"/>
          <w:szCs w:val="24"/>
          <w:rtl/>
        </w:rPr>
        <w:t>דינו</w:t>
      </w:r>
      <w:r w:rsidRPr="004010BB">
        <w:rPr>
          <w:sz w:val="24"/>
          <w:szCs w:val="24"/>
          <w:rtl/>
        </w:rPr>
        <w:t xml:space="preserve"> – </w:t>
      </w:r>
      <w:r w:rsidRPr="004010BB">
        <w:rPr>
          <w:rFonts w:hint="cs"/>
          <w:sz w:val="24"/>
          <w:szCs w:val="24"/>
          <w:rtl/>
        </w:rPr>
        <w:t>מאסר</w:t>
      </w:r>
      <w:r w:rsidRPr="004010BB">
        <w:rPr>
          <w:sz w:val="24"/>
          <w:szCs w:val="24"/>
          <w:rtl/>
        </w:rPr>
        <w:t xml:space="preserve"> </w:t>
      </w:r>
      <w:r w:rsidRPr="004010BB">
        <w:rPr>
          <w:rFonts w:hint="cs"/>
          <w:sz w:val="24"/>
          <w:szCs w:val="24"/>
          <w:rtl/>
        </w:rPr>
        <w:t>עולם</w:t>
      </w:r>
      <w:r w:rsidRPr="004010BB">
        <w:rPr>
          <w:sz w:val="24"/>
          <w:szCs w:val="24"/>
          <w:rtl/>
        </w:rPr>
        <w:t>:</w:t>
      </w:r>
    </w:p>
    <w:p w:rsidR="00324C21" w:rsidRPr="004010BB" w:rsidRDefault="00324C21" w:rsidP="00324C21">
      <w:pPr>
        <w:pStyle w:val="TableBlock"/>
        <w:ind w:left="624"/>
        <w:rPr>
          <w:sz w:val="24"/>
          <w:szCs w:val="24"/>
          <w:rtl/>
        </w:rPr>
      </w:pPr>
      <w:r w:rsidRPr="004010BB">
        <w:rPr>
          <w:rFonts w:hint="cs"/>
          <w:sz w:val="24"/>
          <w:szCs w:val="24"/>
          <w:rtl/>
        </w:rPr>
        <w:t>(</w:t>
      </w:r>
      <w:r w:rsidRPr="004010BB">
        <w:rPr>
          <w:sz w:val="24"/>
          <w:szCs w:val="24"/>
          <w:rtl/>
        </w:rPr>
        <w:t>1)</w:t>
      </w:r>
      <w:r w:rsidRPr="004010BB">
        <w:rPr>
          <w:sz w:val="24"/>
          <w:szCs w:val="24"/>
          <w:rtl/>
        </w:rPr>
        <w:tab/>
      </w:r>
      <w:r w:rsidRPr="004010BB">
        <w:rPr>
          <w:rFonts w:hint="cs"/>
          <w:sz w:val="24"/>
          <w:szCs w:val="24"/>
          <w:rtl/>
        </w:rPr>
        <w:t>המעשה</w:t>
      </w:r>
      <w:r w:rsidRPr="004010BB">
        <w:rPr>
          <w:sz w:val="24"/>
          <w:szCs w:val="24"/>
          <w:rtl/>
        </w:rPr>
        <w:t xml:space="preserve"> </w:t>
      </w:r>
      <w:r w:rsidRPr="004010BB">
        <w:rPr>
          <w:rFonts w:hint="cs"/>
          <w:sz w:val="24"/>
          <w:szCs w:val="24"/>
          <w:rtl/>
        </w:rPr>
        <w:t>נעשה</w:t>
      </w:r>
      <w:r w:rsidRPr="004010BB">
        <w:rPr>
          <w:sz w:val="24"/>
          <w:szCs w:val="24"/>
          <w:rtl/>
        </w:rPr>
        <w:t xml:space="preserve"> </w:t>
      </w:r>
      <w:r w:rsidRPr="004010BB">
        <w:rPr>
          <w:rFonts w:hint="cs"/>
          <w:sz w:val="24"/>
          <w:szCs w:val="24"/>
          <w:rtl/>
        </w:rPr>
        <w:t>בכוונה</w:t>
      </w:r>
      <w:r w:rsidRPr="004010BB">
        <w:rPr>
          <w:sz w:val="24"/>
          <w:szCs w:val="24"/>
          <w:rtl/>
        </w:rPr>
        <w:t xml:space="preserve"> </w:t>
      </w:r>
      <w:r w:rsidRPr="004010BB">
        <w:rPr>
          <w:rFonts w:hint="cs"/>
          <w:sz w:val="24"/>
          <w:szCs w:val="24"/>
          <w:rtl/>
        </w:rPr>
        <w:t>להטיל</w:t>
      </w:r>
      <w:r w:rsidRPr="004010BB">
        <w:rPr>
          <w:sz w:val="24"/>
          <w:szCs w:val="24"/>
          <w:rtl/>
        </w:rPr>
        <w:t xml:space="preserve"> </w:t>
      </w:r>
      <w:r w:rsidRPr="004010BB">
        <w:rPr>
          <w:rFonts w:hint="cs"/>
          <w:sz w:val="24"/>
          <w:szCs w:val="24"/>
          <w:rtl/>
        </w:rPr>
        <w:t>באדם</w:t>
      </w:r>
      <w:r w:rsidRPr="004010BB">
        <w:rPr>
          <w:sz w:val="24"/>
          <w:szCs w:val="24"/>
          <w:rtl/>
        </w:rPr>
        <w:t xml:space="preserve"> </w:t>
      </w:r>
      <w:r w:rsidRPr="004010BB">
        <w:rPr>
          <w:rFonts w:hint="cs"/>
          <w:sz w:val="24"/>
          <w:szCs w:val="24"/>
          <w:rtl/>
        </w:rPr>
        <w:t>נכות</w:t>
      </w:r>
      <w:r w:rsidRPr="004010BB">
        <w:rPr>
          <w:sz w:val="24"/>
          <w:szCs w:val="24"/>
          <w:rtl/>
        </w:rPr>
        <w:t xml:space="preserve"> </w:t>
      </w:r>
      <w:r w:rsidRPr="004010BB">
        <w:rPr>
          <w:rFonts w:hint="cs"/>
          <w:sz w:val="24"/>
          <w:szCs w:val="24"/>
          <w:rtl/>
        </w:rPr>
        <w:t>או</w:t>
      </w:r>
      <w:r w:rsidRPr="004010BB">
        <w:rPr>
          <w:sz w:val="24"/>
          <w:szCs w:val="24"/>
          <w:rtl/>
        </w:rPr>
        <w:t xml:space="preserve"> </w:t>
      </w:r>
      <w:r w:rsidRPr="004010BB">
        <w:rPr>
          <w:rFonts w:hint="cs"/>
          <w:sz w:val="24"/>
          <w:szCs w:val="24"/>
          <w:rtl/>
        </w:rPr>
        <w:t>מום</w:t>
      </w:r>
      <w:r w:rsidRPr="004010BB">
        <w:rPr>
          <w:sz w:val="24"/>
          <w:szCs w:val="24"/>
          <w:rtl/>
        </w:rPr>
        <w:t xml:space="preserve">, </w:t>
      </w:r>
      <w:r w:rsidRPr="004010BB">
        <w:rPr>
          <w:rFonts w:hint="cs"/>
          <w:sz w:val="24"/>
          <w:szCs w:val="24"/>
          <w:rtl/>
        </w:rPr>
        <w:t>או</w:t>
      </w:r>
      <w:r w:rsidRPr="004010BB">
        <w:rPr>
          <w:sz w:val="24"/>
          <w:szCs w:val="24"/>
          <w:rtl/>
        </w:rPr>
        <w:t xml:space="preserve"> </w:t>
      </w:r>
      <w:r w:rsidRPr="004010BB">
        <w:rPr>
          <w:rFonts w:hint="cs"/>
          <w:sz w:val="24"/>
          <w:szCs w:val="24"/>
          <w:rtl/>
        </w:rPr>
        <w:t>לגרום</w:t>
      </w:r>
      <w:r w:rsidRPr="004010BB">
        <w:rPr>
          <w:sz w:val="24"/>
          <w:szCs w:val="24"/>
          <w:rtl/>
        </w:rPr>
        <w:t xml:space="preserve"> </w:t>
      </w:r>
      <w:r w:rsidRPr="004010BB">
        <w:rPr>
          <w:rFonts w:hint="cs"/>
          <w:sz w:val="24"/>
          <w:szCs w:val="24"/>
          <w:rtl/>
        </w:rPr>
        <w:t>לו</w:t>
      </w:r>
      <w:r w:rsidRPr="004010BB">
        <w:rPr>
          <w:sz w:val="24"/>
          <w:szCs w:val="24"/>
          <w:rtl/>
        </w:rPr>
        <w:t xml:space="preserve"> </w:t>
      </w:r>
      <w:r w:rsidRPr="004010BB">
        <w:rPr>
          <w:rFonts w:hint="cs"/>
          <w:sz w:val="24"/>
          <w:szCs w:val="24"/>
          <w:rtl/>
        </w:rPr>
        <w:t>חבלה</w:t>
      </w:r>
      <w:r w:rsidRPr="004010BB">
        <w:rPr>
          <w:sz w:val="24"/>
          <w:szCs w:val="24"/>
          <w:rtl/>
        </w:rPr>
        <w:t xml:space="preserve"> </w:t>
      </w:r>
      <w:r w:rsidRPr="004010BB">
        <w:rPr>
          <w:rFonts w:hint="cs"/>
          <w:sz w:val="24"/>
          <w:szCs w:val="24"/>
          <w:rtl/>
        </w:rPr>
        <w:t>חמורה</w:t>
      </w:r>
      <w:r w:rsidRPr="004010BB">
        <w:rPr>
          <w:sz w:val="24"/>
          <w:szCs w:val="24"/>
          <w:rtl/>
        </w:rPr>
        <w:t>;</w:t>
      </w:r>
    </w:p>
    <w:p w:rsidR="00324C21" w:rsidRPr="004010BB" w:rsidRDefault="00324C21" w:rsidP="00324C21">
      <w:pPr>
        <w:pStyle w:val="TableBlock"/>
        <w:ind w:left="624"/>
        <w:rPr>
          <w:sz w:val="24"/>
          <w:szCs w:val="24"/>
          <w:rtl/>
        </w:rPr>
      </w:pPr>
      <w:r w:rsidRPr="004010BB">
        <w:rPr>
          <w:rFonts w:hint="cs"/>
          <w:sz w:val="24"/>
          <w:szCs w:val="24"/>
          <w:rtl/>
        </w:rPr>
        <w:t>(</w:t>
      </w:r>
      <w:r w:rsidRPr="004010BB">
        <w:rPr>
          <w:sz w:val="24"/>
          <w:szCs w:val="24"/>
          <w:rtl/>
        </w:rPr>
        <w:t>2)</w:t>
      </w:r>
      <w:r w:rsidRPr="004010BB">
        <w:rPr>
          <w:sz w:val="24"/>
          <w:szCs w:val="24"/>
          <w:rtl/>
        </w:rPr>
        <w:tab/>
      </w:r>
      <w:r w:rsidRPr="004010BB">
        <w:rPr>
          <w:rFonts w:hint="cs"/>
          <w:sz w:val="24"/>
          <w:szCs w:val="24"/>
          <w:rtl/>
        </w:rPr>
        <w:t>המעשה</w:t>
      </w:r>
      <w:r w:rsidRPr="004010BB">
        <w:rPr>
          <w:sz w:val="24"/>
          <w:szCs w:val="24"/>
          <w:rtl/>
        </w:rPr>
        <w:t xml:space="preserve"> </w:t>
      </w:r>
      <w:r w:rsidRPr="004010BB">
        <w:rPr>
          <w:rFonts w:hint="cs"/>
          <w:sz w:val="24"/>
          <w:szCs w:val="24"/>
          <w:rtl/>
        </w:rPr>
        <w:t>נעשה</w:t>
      </w:r>
      <w:r w:rsidRPr="004010BB">
        <w:rPr>
          <w:sz w:val="24"/>
          <w:szCs w:val="24"/>
          <w:rtl/>
        </w:rPr>
        <w:t xml:space="preserve"> </w:t>
      </w:r>
      <w:r w:rsidRPr="004010BB">
        <w:rPr>
          <w:rFonts w:hint="cs"/>
          <w:sz w:val="24"/>
          <w:szCs w:val="24"/>
          <w:rtl/>
        </w:rPr>
        <w:t>באכזריות</w:t>
      </w:r>
      <w:r w:rsidRPr="004010BB">
        <w:rPr>
          <w:sz w:val="24"/>
          <w:szCs w:val="24"/>
          <w:rtl/>
        </w:rPr>
        <w:t xml:space="preserve"> </w:t>
      </w:r>
      <w:r w:rsidRPr="004010BB">
        <w:rPr>
          <w:rFonts w:hint="cs"/>
          <w:sz w:val="24"/>
          <w:szCs w:val="24"/>
          <w:rtl/>
        </w:rPr>
        <w:t>מיוחדת</w:t>
      </w:r>
      <w:r w:rsidRPr="004010BB">
        <w:rPr>
          <w:sz w:val="24"/>
          <w:szCs w:val="24"/>
          <w:rtl/>
        </w:rPr>
        <w:t xml:space="preserve"> </w:t>
      </w:r>
      <w:r w:rsidRPr="004010BB">
        <w:rPr>
          <w:rFonts w:hint="cs"/>
          <w:sz w:val="24"/>
          <w:szCs w:val="24"/>
          <w:rtl/>
        </w:rPr>
        <w:t>או</w:t>
      </w:r>
      <w:r w:rsidRPr="004010BB">
        <w:rPr>
          <w:sz w:val="24"/>
          <w:szCs w:val="24"/>
          <w:rtl/>
        </w:rPr>
        <w:t xml:space="preserve"> </w:t>
      </w:r>
      <w:r w:rsidRPr="004010BB">
        <w:rPr>
          <w:rFonts w:hint="cs"/>
          <w:sz w:val="24"/>
          <w:szCs w:val="24"/>
          <w:rtl/>
        </w:rPr>
        <w:t>תוך</w:t>
      </w:r>
      <w:r w:rsidRPr="004010BB">
        <w:rPr>
          <w:sz w:val="24"/>
          <w:szCs w:val="24"/>
          <w:rtl/>
        </w:rPr>
        <w:t xml:space="preserve"> </w:t>
      </w:r>
      <w:r w:rsidRPr="004010BB">
        <w:rPr>
          <w:rFonts w:hint="cs"/>
          <w:sz w:val="24"/>
          <w:szCs w:val="24"/>
          <w:rtl/>
        </w:rPr>
        <w:t>התעללות</w:t>
      </w:r>
      <w:r w:rsidRPr="004010BB">
        <w:rPr>
          <w:sz w:val="24"/>
          <w:szCs w:val="24"/>
          <w:rtl/>
        </w:rPr>
        <w:t xml:space="preserve"> </w:t>
      </w:r>
      <w:r w:rsidRPr="004010BB">
        <w:rPr>
          <w:rFonts w:hint="cs"/>
          <w:sz w:val="24"/>
          <w:szCs w:val="24"/>
          <w:rtl/>
        </w:rPr>
        <w:t>גופנית</w:t>
      </w:r>
      <w:r w:rsidRPr="004010BB">
        <w:rPr>
          <w:sz w:val="24"/>
          <w:szCs w:val="24"/>
          <w:rtl/>
        </w:rPr>
        <w:t xml:space="preserve"> </w:t>
      </w:r>
      <w:r w:rsidRPr="004010BB">
        <w:rPr>
          <w:rFonts w:hint="cs"/>
          <w:sz w:val="24"/>
          <w:szCs w:val="24"/>
          <w:rtl/>
        </w:rPr>
        <w:t>או</w:t>
      </w:r>
      <w:r w:rsidRPr="004010BB">
        <w:rPr>
          <w:sz w:val="24"/>
          <w:szCs w:val="24"/>
          <w:rtl/>
        </w:rPr>
        <w:t xml:space="preserve"> </w:t>
      </w:r>
      <w:r w:rsidRPr="004010BB">
        <w:rPr>
          <w:rFonts w:hint="cs"/>
          <w:sz w:val="24"/>
          <w:szCs w:val="24"/>
          <w:rtl/>
        </w:rPr>
        <w:t>נפשית</w:t>
      </w:r>
      <w:r w:rsidRPr="004010BB">
        <w:rPr>
          <w:sz w:val="24"/>
          <w:szCs w:val="24"/>
          <w:rtl/>
        </w:rPr>
        <w:t xml:space="preserve"> </w:t>
      </w:r>
      <w:r w:rsidRPr="004010BB">
        <w:rPr>
          <w:rFonts w:hint="cs"/>
          <w:sz w:val="24"/>
          <w:szCs w:val="24"/>
          <w:rtl/>
        </w:rPr>
        <w:t>בקורבן</w:t>
      </w:r>
      <w:r w:rsidRPr="004010BB">
        <w:rPr>
          <w:sz w:val="24"/>
          <w:szCs w:val="24"/>
          <w:rtl/>
        </w:rPr>
        <w:t>;</w:t>
      </w:r>
    </w:p>
    <w:p w:rsidR="00324C21" w:rsidRPr="004010BB" w:rsidRDefault="00324C21" w:rsidP="00324C21">
      <w:pPr>
        <w:pStyle w:val="TableBlock"/>
        <w:ind w:left="624"/>
        <w:rPr>
          <w:sz w:val="24"/>
          <w:szCs w:val="24"/>
          <w:rtl/>
        </w:rPr>
      </w:pPr>
      <w:r w:rsidRPr="004010BB">
        <w:rPr>
          <w:rFonts w:hint="cs"/>
          <w:sz w:val="24"/>
          <w:szCs w:val="24"/>
          <w:rtl/>
        </w:rPr>
        <w:t>יצוין</w:t>
      </w:r>
      <w:r w:rsidRPr="004010BB">
        <w:rPr>
          <w:sz w:val="24"/>
          <w:szCs w:val="24"/>
          <w:rtl/>
        </w:rPr>
        <w:t xml:space="preserve"> </w:t>
      </w:r>
      <w:r w:rsidRPr="004010BB">
        <w:rPr>
          <w:rFonts w:hint="cs"/>
          <w:sz w:val="24"/>
          <w:szCs w:val="24"/>
          <w:rtl/>
        </w:rPr>
        <w:t>כי</w:t>
      </w:r>
      <w:r w:rsidRPr="004010BB">
        <w:rPr>
          <w:sz w:val="24"/>
          <w:szCs w:val="24"/>
          <w:rtl/>
        </w:rPr>
        <w:t xml:space="preserve"> </w:t>
      </w:r>
      <w:r w:rsidRPr="004010BB">
        <w:rPr>
          <w:rFonts w:hint="cs"/>
          <w:sz w:val="24"/>
          <w:szCs w:val="24"/>
          <w:rtl/>
        </w:rPr>
        <w:t>פרופ</w:t>
      </w:r>
      <w:r w:rsidRPr="004010BB">
        <w:rPr>
          <w:sz w:val="24"/>
          <w:szCs w:val="24"/>
          <w:rtl/>
        </w:rPr>
        <w:t xml:space="preserve">' </w:t>
      </w:r>
      <w:r w:rsidRPr="004010BB">
        <w:rPr>
          <w:rFonts w:hint="cs"/>
          <w:sz w:val="24"/>
          <w:szCs w:val="24"/>
          <w:rtl/>
        </w:rPr>
        <w:t>גור</w:t>
      </w:r>
      <w:r w:rsidRPr="004010BB">
        <w:rPr>
          <w:sz w:val="24"/>
          <w:szCs w:val="24"/>
          <w:rtl/>
        </w:rPr>
        <w:t>-</w:t>
      </w:r>
      <w:r w:rsidRPr="004010BB">
        <w:rPr>
          <w:rFonts w:hint="cs"/>
          <w:sz w:val="24"/>
          <w:szCs w:val="24"/>
          <w:rtl/>
        </w:rPr>
        <w:t>אריה</w:t>
      </w:r>
      <w:r w:rsidRPr="004010BB">
        <w:rPr>
          <w:sz w:val="24"/>
          <w:szCs w:val="24"/>
          <w:rtl/>
        </w:rPr>
        <w:t xml:space="preserve"> </w:t>
      </w:r>
      <w:r w:rsidRPr="004010BB">
        <w:rPr>
          <w:rFonts w:hint="cs"/>
          <w:sz w:val="24"/>
          <w:szCs w:val="24"/>
          <w:rtl/>
        </w:rPr>
        <w:t>מציעה</w:t>
      </w:r>
      <w:r w:rsidRPr="004010BB">
        <w:rPr>
          <w:sz w:val="24"/>
          <w:szCs w:val="24"/>
          <w:rtl/>
        </w:rPr>
        <w:t xml:space="preserve">  </w:t>
      </w:r>
      <w:r w:rsidRPr="004010BB">
        <w:rPr>
          <w:rFonts w:hint="cs"/>
          <w:sz w:val="24"/>
          <w:szCs w:val="24"/>
          <w:rtl/>
        </w:rPr>
        <w:t>לכלול</w:t>
      </w:r>
      <w:r w:rsidRPr="004010BB">
        <w:rPr>
          <w:sz w:val="24"/>
          <w:szCs w:val="24"/>
          <w:rtl/>
        </w:rPr>
        <w:t xml:space="preserve"> </w:t>
      </w:r>
      <w:r w:rsidRPr="004010BB">
        <w:rPr>
          <w:rFonts w:hint="cs"/>
          <w:sz w:val="24"/>
          <w:szCs w:val="24"/>
          <w:rtl/>
        </w:rPr>
        <w:t>נסיבה</w:t>
      </w:r>
      <w:r w:rsidRPr="004010BB">
        <w:rPr>
          <w:sz w:val="24"/>
          <w:szCs w:val="24"/>
          <w:rtl/>
        </w:rPr>
        <w:t xml:space="preserve"> </w:t>
      </w:r>
      <w:r w:rsidRPr="004010BB">
        <w:rPr>
          <w:rFonts w:hint="cs"/>
          <w:sz w:val="24"/>
          <w:szCs w:val="24"/>
          <w:rtl/>
        </w:rPr>
        <w:t>כדלקמן</w:t>
      </w:r>
      <w:r w:rsidRPr="004010BB">
        <w:rPr>
          <w:sz w:val="24"/>
          <w:szCs w:val="24"/>
          <w:rtl/>
        </w:rPr>
        <w:t>:</w:t>
      </w:r>
    </w:p>
    <w:p w:rsidR="00324C21" w:rsidRPr="004010BB" w:rsidRDefault="00324C21" w:rsidP="00324C21">
      <w:pPr>
        <w:pStyle w:val="TableBlock"/>
        <w:ind w:left="624"/>
        <w:rPr>
          <w:b/>
          <w:bCs/>
          <w:sz w:val="24"/>
          <w:szCs w:val="24"/>
          <w:rtl/>
        </w:rPr>
      </w:pPr>
      <w:r w:rsidRPr="004010BB">
        <w:rPr>
          <w:rFonts w:hint="cs"/>
          <w:sz w:val="24"/>
          <w:szCs w:val="24"/>
          <w:rtl/>
        </w:rPr>
        <w:t>"המעשה</w:t>
      </w:r>
      <w:r w:rsidRPr="004010BB">
        <w:rPr>
          <w:sz w:val="24"/>
          <w:szCs w:val="24"/>
          <w:rtl/>
        </w:rPr>
        <w:t xml:space="preserve"> </w:t>
      </w:r>
      <w:r w:rsidRPr="004010BB">
        <w:rPr>
          <w:rFonts w:hint="cs"/>
          <w:sz w:val="24"/>
          <w:szCs w:val="24"/>
          <w:rtl/>
        </w:rPr>
        <w:t>נעשה</w:t>
      </w:r>
      <w:r w:rsidRPr="004010BB">
        <w:rPr>
          <w:sz w:val="24"/>
          <w:szCs w:val="24"/>
          <w:rtl/>
        </w:rPr>
        <w:t xml:space="preserve"> </w:t>
      </w:r>
      <w:r w:rsidRPr="004010BB">
        <w:rPr>
          <w:rFonts w:hint="cs"/>
          <w:sz w:val="24"/>
          <w:szCs w:val="24"/>
          <w:rtl/>
        </w:rPr>
        <w:t>במטרה</w:t>
      </w:r>
      <w:r w:rsidRPr="004010BB">
        <w:rPr>
          <w:sz w:val="24"/>
          <w:szCs w:val="24"/>
          <w:rtl/>
        </w:rPr>
        <w:t xml:space="preserve"> </w:t>
      </w:r>
      <w:r w:rsidRPr="004010BB">
        <w:rPr>
          <w:rFonts w:hint="cs"/>
          <w:sz w:val="24"/>
          <w:szCs w:val="24"/>
          <w:rtl/>
        </w:rPr>
        <w:t>לאפשר</w:t>
      </w:r>
      <w:r w:rsidRPr="004010BB">
        <w:rPr>
          <w:sz w:val="24"/>
          <w:szCs w:val="24"/>
          <w:rtl/>
        </w:rPr>
        <w:t xml:space="preserve"> </w:t>
      </w:r>
      <w:r w:rsidRPr="004010BB">
        <w:rPr>
          <w:rFonts w:hint="cs"/>
          <w:sz w:val="24"/>
          <w:szCs w:val="24"/>
          <w:rtl/>
        </w:rPr>
        <w:t>ביצוע</w:t>
      </w:r>
      <w:r w:rsidRPr="004010BB">
        <w:rPr>
          <w:sz w:val="24"/>
          <w:szCs w:val="24"/>
          <w:rtl/>
        </w:rPr>
        <w:t xml:space="preserve"> </w:t>
      </w:r>
      <w:r w:rsidRPr="004010BB">
        <w:rPr>
          <w:rFonts w:hint="cs"/>
          <w:sz w:val="24"/>
          <w:szCs w:val="24"/>
          <w:rtl/>
        </w:rPr>
        <w:t>עבירה</w:t>
      </w:r>
      <w:r w:rsidRPr="004010BB">
        <w:rPr>
          <w:sz w:val="24"/>
          <w:szCs w:val="24"/>
          <w:rtl/>
        </w:rPr>
        <w:t xml:space="preserve"> </w:t>
      </w:r>
      <w:r w:rsidRPr="004010BB">
        <w:rPr>
          <w:rFonts w:hint="cs"/>
          <w:sz w:val="24"/>
          <w:szCs w:val="24"/>
          <w:rtl/>
        </w:rPr>
        <w:t>אחרת</w:t>
      </w:r>
      <w:r w:rsidRPr="004010BB">
        <w:rPr>
          <w:sz w:val="24"/>
          <w:szCs w:val="24"/>
          <w:rtl/>
        </w:rPr>
        <w:t xml:space="preserve"> </w:t>
      </w:r>
      <w:r w:rsidRPr="004010BB">
        <w:rPr>
          <w:rFonts w:hint="cs"/>
          <w:sz w:val="24"/>
          <w:szCs w:val="24"/>
          <w:rtl/>
        </w:rPr>
        <w:t>או</w:t>
      </w:r>
      <w:r w:rsidRPr="004010BB">
        <w:rPr>
          <w:sz w:val="24"/>
          <w:szCs w:val="24"/>
          <w:rtl/>
        </w:rPr>
        <w:t xml:space="preserve"> </w:t>
      </w:r>
      <w:r w:rsidRPr="004010BB">
        <w:rPr>
          <w:rFonts w:hint="cs"/>
          <w:sz w:val="24"/>
          <w:szCs w:val="24"/>
          <w:rtl/>
        </w:rPr>
        <w:t>להקל</w:t>
      </w:r>
      <w:r w:rsidRPr="004010BB">
        <w:rPr>
          <w:sz w:val="24"/>
          <w:szCs w:val="24"/>
          <w:rtl/>
        </w:rPr>
        <w:t xml:space="preserve"> </w:t>
      </w:r>
      <w:r w:rsidRPr="004010BB">
        <w:rPr>
          <w:rFonts w:hint="cs"/>
          <w:sz w:val="24"/>
          <w:szCs w:val="24"/>
          <w:rtl/>
        </w:rPr>
        <w:t>על</w:t>
      </w:r>
      <w:r w:rsidRPr="004010BB">
        <w:rPr>
          <w:sz w:val="24"/>
          <w:szCs w:val="24"/>
          <w:rtl/>
        </w:rPr>
        <w:t xml:space="preserve"> </w:t>
      </w:r>
      <w:r w:rsidRPr="004010BB">
        <w:rPr>
          <w:rFonts w:hint="cs"/>
          <w:sz w:val="24"/>
          <w:szCs w:val="24"/>
          <w:rtl/>
        </w:rPr>
        <w:t>ביצועה</w:t>
      </w:r>
      <w:r w:rsidRPr="004010BB">
        <w:rPr>
          <w:sz w:val="24"/>
          <w:szCs w:val="24"/>
          <w:rtl/>
        </w:rPr>
        <w:t xml:space="preserve">, </w:t>
      </w:r>
      <w:r w:rsidRPr="004010BB">
        <w:rPr>
          <w:rFonts w:hint="cs"/>
          <w:sz w:val="24"/>
          <w:szCs w:val="24"/>
          <w:rtl/>
        </w:rPr>
        <w:t>או</w:t>
      </w:r>
      <w:r w:rsidRPr="004010BB">
        <w:rPr>
          <w:sz w:val="24"/>
          <w:szCs w:val="24"/>
          <w:rtl/>
        </w:rPr>
        <w:t xml:space="preserve"> </w:t>
      </w:r>
      <w:r w:rsidRPr="004010BB">
        <w:rPr>
          <w:rFonts w:hint="cs"/>
          <w:sz w:val="24"/>
          <w:szCs w:val="24"/>
          <w:rtl/>
        </w:rPr>
        <w:t>במטרה</w:t>
      </w:r>
      <w:r w:rsidRPr="004010BB">
        <w:rPr>
          <w:sz w:val="24"/>
          <w:szCs w:val="24"/>
          <w:rtl/>
        </w:rPr>
        <w:t xml:space="preserve"> </w:t>
      </w:r>
      <w:r w:rsidRPr="004010BB">
        <w:rPr>
          <w:rFonts w:hint="cs"/>
          <w:sz w:val="24"/>
          <w:szCs w:val="24"/>
          <w:rtl/>
        </w:rPr>
        <w:t>להסתיר</w:t>
      </w:r>
      <w:r w:rsidRPr="004010BB">
        <w:rPr>
          <w:sz w:val="24"/>
          <w:szCs w:val="24"/>
          <w:rtl/>
        </w:rPr>
        <w:t xml:space="preserve"> </w:t>
      </w:r>
      <w:r w:rsidRPr="004010BB">
        <w:rPr>
          <w:rFonts w:hint="cs"/>
          <w:sz w:val="24"/>
          <w:szCs w:val="24"/>
          <w:rtl/>
        </w:rPr>
        <w:t>ביצועה</w:t>
      </w:r>
      <w:r w:rsidRPr="004010BB">
        <w:rPr>
          <w:sz w:val="24"/>
          <w:szCs w:val="24"/>
          <w:rtl/>
        </w:rPr>
        <w:t xml:space="preserve"> </w:t>
      </w:r>
      <w:r w:rsidRPr="004010BB">
        <w:rPr>
          <w:rFonts w:hint="cs"/>
          <w:sz w:val="24"/>
          <w:szCs w:val="24"/>
          <w:rtl/>
        </w:rPr>
        <w:t>של</w:t>
      </w:r>
      <w:r w:rsidRPr="004010BB">
        <w:rPr>
          <w:sz w:val="24"/>
          <w:szCs w:val="24"/>
          <w:rtl/>
        </w:rPr>
        <w:t xml:space="preserve"> </w:t>
      </w:r>
      <w:r w:rsidRPr="004010BB">
        <w:rPr>
          <w:rFonts w:hint="cs"/>
          <w:sz w:val="24"/>
          <w:szCs w:val="24"/>
          <w:rtl/>
        </w:rPr>
        <w:t>עבירה</w:t>
      </w:r>
      <w:r w:rsidRPr="004010BB">
        <w:rPr>
          <w:sz w:val="24"/>
          <w:szCs w:val="24"/>
          <w:rtl/>
        </w:rPr>
        <w:t xml:space="preserve"> </w:t>
      </w:r>
      <w:r w:rsidRPr="004010BB">
        <w:rPr>
          <w:rFonts w:hint="cs"/>
          <w:sz w:val="24"/>
          <w:szCs w:val="24"/>
          <w:rtl/>
        </w:rPr>
        <w:t>אחרת</w:t>
      </w:r>
      <w:r w:rsidRPr="004010BB">
        <w:rPr>
          <w:sz w:val="24"/>
          <w:szCs w:val="24"/>
          <w:rtl/>
        </w:rPr>
        <w:t xml:space="preserve">, </w:t>
      </w:r>
      <w:r w:rsidRPr="004010BB">
        <w:rPr>
          <w:rFonts w:hint="cs"/>
          <w:sz w:val="24"/>
          <w:szCs w:val="24"/>
          <w:rtl/>
        </w:rPr>
        <w:t>או</w:t>
      </w:r>
      <w:r w:rsidRPr="004010BB">
        <w:rPr>
          <w:sz w:val="24"/>
          <w:szCs w:val="24"/>
          <w:rtl/>
        </w:rPr>
        <w:t xml:space="preserve"> </w:t>
      </w:r>
      <w:r w:rsidRPr="004010BB">
        <w:rPr>
          <w:rFonts w:hint="cs"/>
          <w:sz w:val="24"/>
          <w:szCs w:val="24"/>
          <w:rtl/>
        </w:rPr>
        <w:t>לאפשר</w:t>
      </w:r>
      <w:r w:rsidRPr="004010BB">
        <w:rPr>
          <w:sz w:val="24"/>
          <w:szCs w:val="24"/>
          <w:rtl/>
        </w:rPr>
        <w:t xml:space="preserve"> </w:t>
      </w:r>
      <w:r w:rsidRPr="004010BB">
        <w:rPr>
          <w:rFonts w:hint="cs"/>
          <w:sz w:val="24"/>
          <w:szCs w:val="24"/>
          <w:rtl/>
        </w:rPr>
        <w:t>הימלטות</w:t>
      </w:r>
      <w:r w:rsidRPr="004010BB">
        <w:rPr>
          <w:sz w:val="24"/>
          <w:szCs w:val="24"/>
          <w:rtl/>
        </w:rPr>
        <w:t xml:space="preserve"> </w:t>
      </w:r>
      <w:r w:rsidRPr="004010BB">
        <w:rPr>
          <w:rFonts w:hint="cs"/>
          <w:sz w:val="24"/>
          <w:szCs w:val="24"/>
          <w:rtl/>
        </w:rPr>
        <w:t>מן</w:t>
      </w:r>
      <w:r w:rsidRPr="004010BB">
        <w:rPr>
          <w:sz w:val="24"/>
          <w:szCs w:val="24"/>
          <w:rtl/>
        </w:rPr>
        <w:t xml:space="preserve"> </w:t>
      </w:r>
      <w:r w:rsidRPr="004010BB">
        <w:rPr>
          <w:rFonts w:hint="cs"/>
          <w:sz w:val="24"/>
          <w:szCs w:val="24"/>
          <w:rtl/>
        </w:rPr>
        <w:t>הדין</w:t>
      </w:r>
      <w:r w:rsidRPr="004010BB">
        <w:rPr>
          <w:sz w:val="24"/>
          <w:szCs w:val="24"/>
          <w:rtl/>
        </w:rPr>
        <w:t xml:space="preserve"> </w:t>
      </w:r>
      <w:r w:rsidRPr="004010BB">
        <w:rPr>
          <w:rFonts w:hint="cs"/>
          <w:sz w:val="24"/>
          <w:szCs w:val="24"/>
          <w:rtl/>
        </w:rPr>
        <w:t>לאחר</w:t>
      </w:r>
      <w:r w:rsidRPr="004010BB">
        <w:rPr>
          <w:sz w:val="24"/>
          <w:szCs w:val="24"/>
          <w:rtl/>
        </w:rPr>
        <w:t xml:space="preserve"> </w:t>
      </w:r>
      <w:r w:rsidRPr="004010BB">
        <w:rPr>
          <w:rFonts w:hint="cs"/>
          <w:sz w:val="24"/>
          <w:szCs w:val="24"/>
          <w:rtl/>
        </w:rPr>
        <w:t>ביצוע</w:t>
      </w:r>
      <w:r w:rsidRPr="004010BB">
        <w:rPr>
          <w:sz w:val="24"/>
          <w:szCs w:val="24"/>
          <w:rtl/>
        </w:rPr>
        <w:t xml:space="preserve"> </w:t>
      </w:r>
      <w:r w:rsidRPr="004010BB">
        <w:rPr>
          <w:rFonts w:hint="cs"/>
          <w:sz w:val="24"/>
          <w:szCs w:val="24"/>
          <w:rtl/>
        </w:rPr>
        <w:t>העבירה</w:t>
      </w:r>
      <w:r w:rsidRPr="004010BB">
        <w:rPr>
          <w:sz w:val="24"/>
          <w:szCs w:val="24"/>
          <w:rtl/>
        </w:rPr>
        <w:t xml:space="preserve"> </w:t>
      </w:r>
      <w:r w:rsidRPr="004010BB">
        <w:rPr>
          <w:rFonts w:hint="cs"/>
          <w:sz w:val="24"/>
          <w:szCs w:val="24"/>
          <w:rtl/>
        </w:rPr>
        <w:t>האחרת"</w:t>
      </w:r>
    </w:p>
    <w:p w:rsidR="00324C21" w:rsidRPr="004010BB" w:rsidRDefault="00324C21" w:rsidP="00324C21">
      <w:pPr>
        <w:pStyle w:val="TableBlock"/>
        <w:ind w:left="624"/>
        <w:rPr>
          <w:b/>
          <w:bCs/>
          <w:sz w:val="24"/>
          <w:szCs w:val="24"/>
          <w:rtl/>
        </w:rPr>
      </w:pPr>
      <w:r w:rsidRPr="004010BB">
        <w:rPr>
          <w:rFonts w:hint="cs"/>
          <w:b/>
          <w:bCs/>
          <w:sz w:val="24"/>
          <w:szCs w:val="24"/>
          <w:rtl/>
        </w:rPr>
        <w:t>הריגה</w:t>
      </w:r>
    </w:p>
    <w:p w:rsidR="00324C21" w:rsidRPr="004010BB" w:rsidRDefault="00324C21" w:rsidP="00324C21">
      <w:pPr>
        <w:pStyle w:val="TableBlock"/>
        <w:ind w:left="624"/>
        <w:rPr>
          <w:sz w:val="24"/>
          <w:szCs w:val="24"/>
          <w:rtl/>
        </w:rPr>
      </w:pPr>
      <w:r w:rsidRPr="004010BB">
        <w:rPr>
          <w:rFonts w:hint="cs"/>
          <w:sz w:val="24"/>
          <w:szCs w:val="24"/>
          <w:rtl/>
        </w:rPr>
        <w:t>"הגורם למותו של אדם,</w:t>
      </w:r>
      <w:r w:rsidRPr="004010BB">
        <w:rPr>
          <w:rFonts w:hint="eastAsia"/>
          <w:sz w:val="24"/>
          <w:szCs w:val="24"/>
          <w:rtl/>
        </w:rPr>
        <w:t xml:space="preserve"> דינו</w:t>
      </w:r>
      <w:r w:rsidRPr="004010BB">
        <w:rPr>
          <w:sz w:val="24"/>
          <w:szCs w:val="24"/>
          <w:rtl/>
        </w:rPr>
        <w:t xml:space="preserve"> – </w:t>
      </w:r>
      <w:r w:rsidRPr="004010BB">
        <w:rPr>
          <w:rFonts w:hint="eastAsia"/>
          <w:sz w:val="24"/>
          <w:szCs w:val="24"/>
          <w:rtl/>
        </w:rPr>
        <w:t>מאסר</w:t>
      </w:r>
      <w:r w:rsidRPr="004010BB">
        <w:rPr>
          <w:sz w:val="24"/>
          <w:szCs w:val="24"/>
          <w:rtl/>
        </w:rPr>
        <w:t xml:space="preserve"> </w:t>
      </w:r>
      <w:r w:rsidRPr="004010BB">
        <w:rPr>
          <w:rFonts w:hint="cs"/>
          <w:sz w:val="24"/>
          <w:szCs w:val="24"/>
          <w:rtl/>
        </w:rPr>
        <w:t xml:space="preserve">עשרים </w:t>
      </w:r>
      <w:r w:rsidRPr="004010BB">
        <w:rPr>
          <w:rFonts w:hint="eastAsia"/>
          <w:sz w:val="24"/>
          <w:szCs w:val="24"/>
          <w:rtl/>
        </w:rPr>
        <w:t>שנים</w:t>
      </w:r>
      <w:r w:rsidRPr="004010BB">
        <w:rPr>
          <w:sz w:val="24"/>
          <w:szCs w:val="24"/>
          <w:rtl/>
        </w:rPr>
        <w:t>.</w:t>
      </w:r>
      <w:r w:rsidRPr="004010BB">
        <w:rPr>
          <w:rFonts w:hint="cs"/>
          <w:sz w:val="24"/>
          <w:szCs w:val="24"/>
          <w:rtl/>
        </w:rPr>
        <w:t>"</w:t>
      </w:r>
    </w:p>
    <w:p w:rsidR="00324C21" w:rsidRPr="004010BB" w:rsidRDefault="00324C21" w:rsidP="00324C21">
      <w:pPr>
        <w:pStyle w:val="TableBlock"/>
        <w:ind w:left="624"/>
        <w:rPr>
          <w:sz w:val="24"/>
          <w:szCs w:val="24"/>
          <w:rtl/>
        </w:rPr>
      </w:pPr>
    </w:p>
    <w:p w:rsidR="00324C21" w:rsidRPr="004010BB" w:rsidRDefault="00324C21" w:rsidP="00324C21">
      <w:pPr>
        <w:pStyle w:val="TableBlock"/>
        <w:rPr>
          <w:sz w:val="24"/>
          <w:szCs w:val="24"/>
          <w:rtl/>
        </w:rPr>
      </w:pPr>
      <w:r w:rsidRPr="004010BB">
        <w:rPr>
          <w:rFonts w:hint="cs"/>
          <w:sz w:val="24"/>
          <w:szCs w:val="24"/>
          <w:rtl/>
        </w:rPr>
        <w:t xml:space="preserve">חלופה זו דומה לחלופה א' ומתבססת על אותם עקרונות. אולם,  התיוג שונה, שכן בחלופה זו ההרשעה במקרים החמורים ביותר שתוארו לעיל היא בהריגה בנסיבות מחמירות ולא ברצח. יחד עם זאת, העונש המוצע זהה. </w:t>
      </w:r>
    </w:p>
    <w:p w:rsidR="00324C21" w:rsidRPr="004010BB" w:rsidRDefault="00324C21" w:rsidP="00324C21">
      <w:pPr>
        <w:pStyle w:val="TableBlock"/>
        <w:ind w:left="624"/>
        <w:rPr>
          <w:sz w:val="24"/>
          <w:szCs w:val="24"/>
          <w:rtl/>
        </w:rPr>
      </w:pPr>
    </w:p>
    <w:p w:rsidR="00324C21" w:rsidRPr="004010BB" w:rsidRDefault="00324C21" w:rsidP="00324C21">
      <w:pPr>
        <w:pStyle w:val="p00"/>
        <w:tabs>
          <w:tab w:val="left" w:pos="9026"/>
        </w:tabs>
        <w:bidi/>
        <w:spacing w:before="72" w:beforeAutospacing="0" w:after="0" w:afterAutospacing="0" w:line="360" w:lineRule="auto"/>
        <w:jc w:val="both"/>
        <w:rPr>
          <w:rFonts w:cs="David"/>
          <w:b/>
          <w:bCs/>
          <w:u w:val="single"/>
          <w:rtl/>
        </w:rPr>
      </w:pPr>
      <w:r w:rsidRPr="004010BB">
        <w:rPr>
          <w:rFonts w:cs="David" w:hint="cs"/>
          <w:b/>
          <w:bCs/>
          <w:u w:val="single"/>
          <w:rtl/>
        </w:rPr>
        <w:t>הסנגוריה הציבורית</w:t>
      </w:r>
    </w:p>
    <w:p w:rsidR="00324C21" w:rsidRPr="004010BB" w:rsidRDefault="00324C21" w:rsidP="00324C21">
      <w:pPr>
        <w:pStyle w:val="p00"/>
        <w:tabs>
          <w:tab w:val="left" w:pos="9026"/>
        </w:tabs>
        <w:bidi/>
        <w:spacing w:before="72" w:beforeAutospacing="0" w:after="0" w:afterAutospacing="0" w:line="360" w:lineRule="auto"/>
        <w:jc w:val="both"/>
        <w:rPr>
          <w:rFonts w:cs="David"/>
          <w:rtl/>
        </w:rPr>
      </w:pPr>
      <w:r w:rsidRPr="004010BB">
        <w:rPr>
          <w:rFonts w:cs="David" w:hint="cs"/>
          <w:rtl/>
        </w:rPr>
        <w:t>עמדת המיעוט של הסנגוריה הציבורית בוועדת קרמניצר, ושהוצגה בנייר עמדה שנשלח לוועדה, מקבלת את ההבחנה המוצעת בין אדישות לקלות דעת, אך מתנגדת להצעה להשוות בין יסוד נפשי של כוונה ליסוד נפשי של אדישות, במיוחד בעבירות ההמתה.  לכן, הצעת הסנגוריה היא לקבוע כי עבירת הרצח תכלול המתה בכוונה, ולקבוע עבירה חדשה, קלה יותר, להמתה באדישות:</w:t>
      </w:r>
    </w:p>
    <w:p w:rsidR="00324C21" w:rsidRPr="004010BB" w:rsidRDefault="00324C21" w:rsidP="00324C21">
      <w:pPr>
        <w:pStyle w:val="TableBlock"/>
        <w:ind w:left="624"/>
        <w:rPr>
          <w:b/>
          <w:bCs/>
          <w:sz w:val="24"/>
          <w:szCs w:val="24"/>
          <w:rtl/>
        </w:rPr>
      </w:pPr>
      <w:r w:rsidRPr="004010BB">
        <w:rPr>
          <w:rFonts w:hint="cs"/>
          <w:b/>
          <w:bCs/>
          <w:sz w:val="24"/>
          <w:szCs w:val="24"/>
          <w:rtl/>
        </w:rPr>
        <w:t>רצח</w:t>
      </w:r>
    </w:p>
    <w:p w:rsidR="00324C21" w:rsidRPr="004010BB" w:rsidRDefault="00324C21" w:rsidP="00324C21">
      <w:pPr>
        <w:pStyle w:val="TableBlock"/>
        <w:ind w:left="624"/>
        <w:rPr>
          <w:sz w:val="24"/>
          <w:szCs w:val="24"/>
          <w:rtl/>
        </w:rPr>
      </w:pPr>
      <w:r w:rsidRPr="004010BB">
        <w:rPr>
          <w:rFonts w:hint="cs"/>
          <w:sz w:val="24"/>
          <w:szCs w:val="24"/>
          <w:rtl/>
        </w:rPr>
        <w:t>"הגורם בכוונה למותו של אדם</w:t>
      </w:r>
      <w:r w:rsidRPr="004010BB">
        <w:rPr>
          <w:sz w:val="24"/>
          <w:szCs w:val="24"/>
          <w:rtl/>
        </w:rPr>
        <w:softHyphen/>
      </w:r>
      <w:r w:rsidRPr="004010BB">
        <w:rPr>
          <w:rFonts w:hint="cs"/>
          <w:sz w:val="24"/>
          <w:szCs w:val="24"/>
          <w:rtl/>
        </w:rPr>
        <w:t xml:space="preserve"> וסעיף 20(ב) (הלכת הצפיות) לא יחול"</w:t>
      </w:r>
      <w:r>
        <w:rPr>
          <w:rFonts w:hint="cs"/>
          <w:sz w:val="24"/>
          <w:szCs w:val="24"/>
          <w:rtl/>
        </w:rPr>
        <w:t>.</w:t>
      </w:r>
      <w:r w:rsidRPr="004010BB">
        <w:rPr>
          <w:rFonts w:hint="cs"/>
          <w:sz w:val="24"/>
          <w:szCs w:val="24"/>
          <w:rtl/>
        </w:rPr>
        <w:t xml:space="preserve"> </w:t>
      </w:r>
    </w:p>
    <w:p w:rsidR="00324C21" w:rsidRPr="004010BB" w:rsidRDefault="00324C21" w:rsidP="00324C21">
      <w:pPr>
        <w:pStyle w:val="TableBlock"/>
        <w:ind w:left="624"/>
        <w:rPr>
          <w:b/>
          <w:bCs/>
          <w:sz w:val="24"/>
          <w:szCs w:val="24"/>
          <w:rtl/>
        </w:rPr>
      </w:pPr>
      <w:r w:rsidRPr="004010BB">
        <w:rPr>
          <w:rFonts w:hint="cs"/>
          <w:b/>
          <w:bCs/>
          <w:sz w:val="24"/>
          <w:szCs w:val="24"/>
          <w:rtl/>
        </w:rPr>
        <w:t>הריגה</w:t>
      </w:r>
    </w:p>
    <w:p w:rsidR="00324C21" w:rsidRPr="004010BB" w:rsidRDefault="00324C21" w:rsidP="00324C21">
      <w:pPr>
        <w:pStyle w:val="TableBlock"/>
        <w:ind w:left="624"/>
        <w:rPr>
          <w:sz w:val="24"/>
          <w:szCs w:val="24"/>
          <w:rtl/>
        </w:rPr>
      </w:pPr>
      <w:r w:rsidRPr="004010BB">
        <w:rPr>
          <w:rFonts w:hint="cs"/>
          <w:sz w:val="24"/>
          <w:szCs w:val="24"/>
          <w:rtl/>
        </w:rPr>
        <w:t xml:space="preserve">"הגורם למותו של אדם באדישות, דינו </w:t>
      </w:r>
      <w:r w:rsidRPr="004010BB">
        <w:rPr>
          <w:sz w:val="24"/>
          <w:szCs w:val="24"/>
          <w:rtl/>
        </w:rPr>
        <w:t>–</w:t>
      </w:r>
      <w:r w:rsidRPr="004010BB">
        <w:rPr>
          <w:rFonts w:hint="cs"/>
          <w:sz w:val="24"/>
          <w:szCs w:val="24"/>
          <w:rtl/>
        </w:rPr>
        <w:t xml:space="preserve"> מאסר עשרים שנים". </w:t>
      </w:r>
      <w:r>
        <w:rPr>
          <w:rFonts w:hint="cs"/>
          <w:sz w:val="24"/>
          <w:szCs w:val="24"/>
          <w:rtl/>
        </w:rPr>
        <w:t>(בנוסף, מוצע לקבוע עבירה קלה יותר של המתה בקלות דעת).</w:t>
      </w:r>
    </w:p>
    <w:p w:rsidR="00324C21" w:rsidRPr="004010BB" w:rsidRDefault="00324C21" w:rsidP="00324C21">
      <w:pPr>
        <w:pStyle w:val="p00"/>
        <w:tabs>
          <w:tab w:val="left" w:pos="9026"/>
        </w:tabs>
        <w:bidi/>
        <w:spacing w:before="72" w:beforeAutospacing="0" w:after="0" w:afterAutospacing="0" w:line="360" w:lineRule="auto"/>
        <w:jc w:val="both"/>
        <w:rPr>
          <w:rFonts w:cs="David"/>
          <w:rtl/>
        </w:rPr>
      </w:pPr>
      <w:r w:rsidRPr="004010BB">
        <w:rPr>
          <w:rFonts w:cs="David" w:hint="cs"/>
          <w:rtl/>
        </w:rPr>
        <w:t xml:space="preserve"> לכל הפחות, מוצע שאם עבירת הרצח תכלול המתה באדישות, לא תתאפשר הרשעה </w:t>
      </w:r>
      <w:r w:rsidRPr="004010BB">
        <w:rPr>
          <w:rFonts w:cs="David" w:hint="cs"/>
          <w:b/>
          <w:bCs/>
          <w:rtl/>
        </w:rPr>
        <w:t xml:space="preserve">ברצח בנסיבות מחמירות </w:t>
      </w:r>
      <w:r w:rsidRPr="004010BB">
        <w:rPr>
          <w:rFonts w:cs="David" w:hint="cs"/>
          <w:b/>
          <w:rtl/>
        </w:rPr>
        <w:t xml:space="preserve">ביסוד נפשי של אדישות. </w:t>
      </w:r>
      <w:r w:rsidRPr="004010BB">
        <w:rPr>
          <w:rFonts w:cs="David" w:hint="cs"/>
          <w:rtl/>
        </w:rPr>
        <w:t xml:space="preserve"> (ור' נייר עמדה של הסנגוריה שפורש את ההצעה).</w:t>
      </w:r>
    </w:p>
    <w:p w:rsidR="0062112B" w:rsidRDefault="00324C21" w:rsidP="00324C21">
      <w:pPr>
        <w:pStyle w:val="p00"/>
        <w:tabs>
          <w:tab w:val="left" w:pos="9026"/>
        </w:tabs>
        <w:bidi/>
        <w:spacing w:before="72" w:beforeAutospacing="0" w:after="0" w:afterAutospacing="0" w:line="360" w:lineRule="auto"/>
        <w:jc w:val="both"/>
      </w:pPr>
      <w:r w:rsidRPr="004010BB">
        <w:rPr>
          <w:rFonts w:cs="David" w:hint="cs"/>
          <w:rtl/>
        </w:rPr>
        <w:t>הקושי בהצעה זו זהה לקושי שהצגנו לעיל לעניין ההבחנה בין אדישות לקלות דעת, בעיקר ברמה הפרקטית. בנוסף, יצוין כי אפשר לחלוק על העמדה כי בהכרח אדישות חמורה פחות מכוונה, במיוחד כאשר מדובר בעבירות אלימות חמורות שהסתיימו במוות גם אם לא הייתה כוונה לכך (ראו למשל מקרה אריק קרפ ז"ל</w:t>
      </w:r>
      <w:r>
        <w:rPr>
          <w:rFonts w:cs="David" w:hint="cs"/>
          <w:rtl/>
        </w:rPr>
        <w:t>, בו הקורבן ספג מכות "רצח"</w:t>
      </w:r>
      <w:r w:rsidRPr="004010BB">
        <w:rPr>
          <w:rFonts w:cs="David" w:hint="cs"/>
          <w:rtl/>
        </w:rPr>
        <w:t>, שגם לדעת בית המשפט לא התגבשה אצ</w:t>
      </w:r>
      <w:r>
        <w:rPr>
          <w:rFonts w:cs="David" w:hint="cs"/>
          <w:rtl/>
        </w:rPr>
        <w:t>ל המבצעי</w:t>
      </w:r>
      <w:r w:rsidRPr="004010BB">
        <w:rPr>
          <w:rFonts w:cs="David" w:hint="cs"/>
          <w:rtl/>
        </w:rPr>
        <w:t>ם כוונה להמית את המנוח</w:t>
      </w:r>
      <w:r w:rsidRPr="004010BB">
        <w:rPr>
          <w:rStyle w:val="a6"/>
          <w:rFonts w:cs="David"/>
          <w:rtl/>
        </w:rPr>
        <w:footnoteReference w:id="6"/>
      </w:r>
      <w:r w:rsidRPr="004010BB">
        <w:rPr>
          <w:rFonts w:cs="David" w:hint="cs"/>
          <w:rtl/>
        </w:rPr>
        <w:t>).</w:t>
      </w:r>
    </w:p>
    <w:sectPr w:rsidR="0062112B" w:rsidSect="00FD0DA3">
      <w:footerReference w:type="default" r:id="rId7"/>
      <w:pgSz w:w="11906" w:h="16838"/>
      <w:pgMar w:top="1440" w:right="1440" w:bottom="1440" w:left="144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24C21" w:rsidRDefault="00324C21" w:rsidP="00324C21">
      <w:pPr>
        <w:spacing w:after="0" w:line="240" w:lineRule="auto"/>
      </w:pPr>
      <w:r>
        <w:separator/>
      </w:r>
    </w:p>
  </w:endnote>
  <w:endnote w:type="continuationSeparator" w:id="0">
    <w:p w:rsidR="00324C21" w:rsidRDefault="00324C21" w:rsidP="00324C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 New Roman">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2014211615"/>
      <w:docPartObj>
        <w:docPartGallery w:val="Page Numbers (Bottom of Page)"/>
        <w:docPartUnique/>
      </w:docPartObj>
    </w:sdtPr>
    <w:sdtEndPr>
      <w:rPr>
        <w:cs/>
      </w:rPr>
    </w:sdtEndPr>
    <w:sdtContent>
      <w:p w:rsidR="00CF10A4" w:rsidRDefault="00324C21">
        <w:pPr>
          <w:pStyle w:val="a7"/>
          <w:jc w:val="right"/>
          <w:rPr>
            <w:rtl/>
            <w:cs/>
          </w:rPr>
        </w:pPr>
        <w:r>
          <w:fldChar w:fldCharType="begin"/>
        </w:r>
        <w:r>
          <w:rPr>
            <w:rtl/>
            <w:cs/>
          </w:rPr>
          <w:instrText xml:space="preserve">PAGE   </w:instrText>
        </w:r>
        <w:r>
          <w:rPr>
            <w:cs/>
          </w:rPr>
          <w:instrText>\</w:instrText>
        </w:r>
        <w:r>
          <w:rPr>
            <w:rtl/>
            <w:cs/>
          </w:rPr>
          <w:instrText xml:space="preserve">* </w:instrText>
        </w:r>
        <w:r>
          <w:rPr>
            <w:cs/>
          </w:rPr>
          <w:instrText>MERGEFORMAT</w:instrText>
        </w:r>
        <w:r>
          <w:fldChar w:fldCharType="separate"/>
        </w:r>
        <w:r w:rsidR="00B22104" w:rsidRPr="00B22104">
          <w:rPr>
            <w:noProof/>
            <w:rtl/>
            <w:lang w:val="he-IL"/>
          </w:rPr>
          <w:t>1</w:t>
        </w:r>
        <w:r>
          <w:fldChar w:fldCharType="end"/>
        </w:r>
      </w:p>
    </w:sdtContent>
  </w:sdt>
  <w:p w:rsidR="00CF10A4" w:rsidRDefault="00B22104">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24C21" w:rsidRDefault="00324C21" w:rsidP="00324C21">
      <w:pPr>
        <w:spacing w:after="0" w:line="240" w:lineRule="auto"/>
      </w:pPr>
      <w:r>
        <w:separator/>
      </w:r>
    </w:p>
  </w:footnote>
  <w:footnote w:type="continuationSeparator" w:id="0">
    <w:p w:rsidR="00324C21" w:rsidRDefault="00324C21" w:rsidP="00324C21">
      <w:pPr>
        <w:spacing w:after="0" w:line="240" w:lineRule="auto"/>
      </w:pPr>
      <w:r>
        <w:continuationSeparator/>
      </w:r>
    </w:p>
  </w:footnote>
  <w:footnote w:id="1">
    <w:p w:rsidR="00324C21" w:rsidRPr="00CE3410" w:rsidRDefault="00324C21" w:rsidP="00324C21">
      <w:pPr>
        <w:pStyle w:val="p00"/>
        <w:bidi/>
        <w:spacing w:before="0" w:beforeAutospacing="0" w:after="0" w:afterAutospacing="0"/>
        <w:ind w:right="1134"/>
        <w:rPr>
          <w:rFonts w:cs="David"/>
          <w:color w:val="000000" w:themeColor="text1"/>
          <w:sz w:val="20"/>
          <w:szCs w:val="20"/>
          <w:rtl/>
        </w:rPr>
      </w:pPr>
      <w:r w:rsidRPr="00CE3410">
        <w:rPr>
          <w:rStyle w:val="a6"/>
          <w:rFonts w:cs="David"/>
          <w:color w:val="000000" w:themeColor="text1"/>
          <w:sz w:val="20"/>
          <w:szCs w:val="20"/>
        </w:rPr>
        <w:footnoteRef/>
      </w:r>
      <w:r w:rsidRPr="00CE3410">
        <w:rPr>
          <w:rFonts w:cs="David"/>
          <w:color w:val="000000" w:themeColor="text1"/>
          <w:sz w:val="20"/>
          <w:szCs w:val="20"/>
          <w:rtl/>
        </w:rPr>
        <w:t xml:space="preserve"> </w:t>
      </w:r>
      <w:r w:rsidRPr="00CE3410">
        <w:rPr>
          <w:rFonts w:cs="David" w:hint="cs"/>
          <w:color w:val="000000" w:themeColor="text1"/>
          <w:sz w:val="20"/>
          <w:szCs w:val="20"/>
          <w:rtl/>
        </w:rPr>
        <w:t>סעיפים 19 עד 20 לחוק העונשין, התשל"ז</w:t>
      </w:r>
      <w:r w:rsidRPr="00CE3410">
        <w:rPr>
          <w:rFonts w:cs="David" w:hint="eastAsia"/>
          <w:color w:val="000000" w:themeColor="text1"/>
          <w:sz w:val="20"/>
          <w:szCs w:val="20"/>
          <w:rtl/>
        </w:rPr>
        <w:t>–</w:t>
      </w:r>
      <w:r w:rsidRPr="00CE3410">
        <w:rPr>
          <w:rFonts w:cs="David" w:hint="cs"/>
          <w:color w:val="000000" w:themeColor="text1"/>
          <w:sz w:val="20"/>
          <w:szCs w:val="20"/>
          <w:rtl/>
        </w:rPr>
        <w:t>1977:</w:t>
      </w:r>
    </w:p>
    <w:p w:rsidR="00324C21" w:rsidRPr="00CE3410" w:rsidRDefault="00324C21" w:rsidP="00324C21">
      <w:pPr>
        <w:pStyle w:val="p00"/>
        <w:bidi/>
        <w:spacing w:before="0" w:beforeAutospacing="0" w:after="0" w:afterAutospacing="0"/>
        <w:ind w:right="1134"/>
        <w:rPr>
          <w:rFonts w:cs="David"/>
          <w:color w:val="000000" w:themeColor="text1"/>
          <w:sz w:val="20"/>
          <w:szCs w:val="20"/>
          <w:rtl/>
        </w:rPr>
      </w:pPr>
      <w:r w:rsidRPr="00CE3410">
        <w:rPr>
          <w:rStyle w:val="big-number"/>
          <w:rFonts w:ascii="Time New Roman" w:hAnsi="Time New Roman" w:cs="David" w:hint="cs"/>
          <w:b/>
          <w:bCs/>
          <w:color w:val="000000" w:themeColor="text1"/>
          <w:sz w:val="20"/>
          <w:szCs w:val="20"/>
          <w:rtl/>
        </w:rPr>
        <w:t>"</w:t>
      </w:r>
      <w:r w:rsidRPr="00CE3410">
        <w:rPr>
          <w:rStyle w:val="big-number"/>
          <w:rFonts w:ascii="Time New Roman" w:hAnsi="Time New Roman" w:cs="David"/>
          <w:b/>
          <w:bCs/>
          <w:color w:val="000000" w:themeColor="text1"/>
          <w:sz w:val="20"/>
          <w:szCs w:val="20"/>
          <w:rtl/>
        </w:rPr>
        <w:t xml:space="preserve">דרישת מחשבה פלילית </w:t>
      </w:r>
    </w:p>
    <w:p w:rsidR="00324C21" w:rsidRPr="00CE3410" w:rsidRDefault="00324C21" w:rsidP="00324C21">
      <w:pPr>
        <w:pStyle w:val="p00"/>
        <w:bidi/>
        <w:spacing w:before="0" w:beforeAutospacing="0" w:after="0" w:afterAutospacing="0"/>
        <w:ind w:right="1134"/>
        <w:jc w:val="both"/>
        <w:rPr>
          <w:rFonts w:cs="David"/>
          <w:color w:val="000000" w:themeColor="text1"/>
          <w:sz w:val="20"/>
          <w:szCs w:val="20"/>
          <w:rtl/>
        </w:rPr>
      </w:pPr>
      <w:r w:rsidRPr="00CE3410">
        <w:rPr>
          <w:rStyle w:val="big-number"/>
          <w:rFonts w:cs="David" w:hint="cs"/>
          <w:color w:val="000000" w:themeColor="text1"/>
          <w:sz w:val="20"/>
          <w:szCs w:val="20"/>
          <w:rtl/>
        </w:rPr>
        <w:t>19. </w:t>
      </w:r>
      <w:r w:rsidRPr="00CE3410">
        <w:rPr>
          <w:rStyle w:val="apple-converted-space"/>
          <w:rFonts w:cs="David" w:hint="cs"/>
          <w:color w:val="000000" w:themeColor="text1"/>
          <w:sz w:val="20"/>
          <w:szCs w:val="20"/>
          <w:rtl/>
        </w:rPr>
        <w:t> </w:t>
      </w:r>
      <w:r w:rsidRPr="00CE3410">
        <w:rPr>
          <w:rStyle w:val="default"/>
          <w:rFonts w:cs="David" w:hint="cs"/>
          <w:color w:val="000000" w:themeColor="text1"/>
          <w:sz w:val="20"/>
          <w:szCs w:val="20"/>
          <w:rtl/>
        </w:rPr>
        <w:t>אדם מבצע עבירה רק אם עשאה במחשבה פלילית, זולת אם –</w:t>
      </w:r>
    </w:p>
    <w:p w:rsidR="00324C21" w:rsidRPr="00CE3410" w:rsidRDefault="00324C21" w:rsidP="00324C21">
      <w:pPr>
        <w:pStyle w:val="p22"/>
        <w:bidi/>
        <w:spacing w:before="0" w:beforeAutospacing="0" w:after="0" w:afterAutospacing="0"/>
        <w:ind w:left="1021" w:right="1134"/>
        <w:jc w:val="both"/>
        <w:rPr>
          <w:rFonts w:cs="David"/>
          <w:color w:val="000000" w:themeColor="text1"/>
          <w:sz w:val="20"/>
          <w:szCs w:val="20"/>
          <w:rtl/>
        </w:rPr>
      </w:pPr>
      <w:r w:rsidRPr="00CE3410">
        <w:rPr>
          <w:rStyle w:val="default"/>
          <w:rFonts w:cs="David" w:hint="cs"/>
          <w:color w:val="000000" w:themeColor="text1"/>
          <w:sz w:val="20"/>
          <w:szCs w:val="20"/>
          <w:rtl/>
        </w:rPr>
        <w:t>(1)  </w:t>
      </w:r>
      <w:r w:rsidRPr="00CE3410">
        <w:rPr>
          <w:rStyle w:val="apple-converted-space"/>
          <w:rFonts w:cs="David" w:hint="cs"/>
          <w:color w:val="000000" w:themeColor="text1"/>
          <w:sz w:val="20"/>
          <w:szCs w:val="20"/>
          <w:rtl/>
        </w:rPr>
        <w:t> </w:t>
      </w:r>
      <w:r w:rsidRPr="00CE3410">
        <w:rPr>
          <w:rStyle w:val="default"/>
          <w:rFonts w:cs="David" w:hint="cs"/>
          <w:color w:val="000000" w:themeColor="text1"/>
          <w:sz w:val="20"/>
          <w:szCs w:val="20"/>
          <w:rtl/>
        </w:rPr>
        <w:t>נקבע בהגדרת העבירה כי רשלנות היא היסוד הנפשי הדרוש לשם התהוותה; או</w:t>
      </w:r>
    </w:p>
    <w:p w:rsidR="00324C21" w:rsidRPr="00CE3410" w:rsidRDefault="00324C21" w:rsidP="00324C21">
      <w:pPr>
        <w:pStyle w:val="p22"/>
        <w:bidi/>
        <w:spacing w:before="0" w:beforeAutospacing="0" w:after="0" w:afterAutospacing="0"/>
        <w:ind w:left="1021" w:right="1134"/>
        <w:jc w:val="both"/>
        <w:rPr>
          <w:rFonts w:cs="David"/>
          <w:color w:val="000000" w:themeColor="text1"/>
          <w:sz w:val="20"/>
          <w:szCs w:val="20"/>
          <w:rtl/>
        </w:rPr>
      </w:pPr>
      <w:r w:rsidRPr="00CE3410">
        <w:rPr>
          <w:rStyle w:val="default"/>
          <w:rFonts w:cs="David" w:hint="cs"/>
          <w:color w:val="000000" w:themeColor="text1"/>
          <w:sz w:val="20"/>
          <w:szCs w:val="20"/>
          <w:rtl/>
        </w:rPr>
        <w:t>(2)  </w:t>
      </w:r>
      <w:r w:rsidRPr="00CE3410">
        <w:rPr>
          <w:rStyle w:val="apple-converted-space"/>
          <w:rFonts w:cs="David" w:hint="cs"/>
          <w:color w:val="000000" w:themeColor="text1"/>
          <w:sz w:val="20"/>
          <w:szCs w:val="20"/>
          <w:rtl/>
        </w:rPr>
        <w:t> </w:t>
      </w:r>
      <w:r w:rsidRPr="00CE3410">
        <w:rPr>
          <w:rStyle w:val="default"/>
          <w:rFonts w:cs="David" w:hint="cs"/>
          <w:color w:val="000000" w:themeColor="text1"/>
          <w:sz w:val="20"/>
          <w:szCs w:val="20"/>
          <w:rtl/>
        </w:rPr>
        <w:t>העבירה היא מסוג העבירות של אחריות קפידה.</w:t>
      </w:r>
    </w:p>
    <w:p w:rsidR="00324C21" w:rsidRPr="00CE3410" w:rsidRDefault="00324C21" w:rsidP="00324C21">
      <w:pPr>
        <w:pStyle w:val="p00"/>
        <w:bidi/>
        <w:spacing w:before="0" w:beforeAutospacing="0" w:after="0" w:afterAutospacing="0"/>
        <w:ind w:right="1134"/>
        <w:rPr>
          <w:rFonts w:cs="David"/>
          <w:color w:val="000000" w:themeColor="text1"/>
          <w:sz w:val="20"/>
          <w:szCs w:val="20"/>
          <w:rtl/>
        </w:rPr>
      </w:pPr>
      <w:bookmarkStart w:id="1" w:name="Rov902"/>
      <w:bookmarkStart w:id="2" w:name="Seif13"/>
      <w:bookmarkEnd w:id="1"/>
      <w:bookmarkEnd w:id="2"/>
      <w:r w:rsidRPr="00CE3410">
        <w:rPr>
          <w:rStyle w:val="big-number"/>
          <w:rFonts w:ascii="Time New Roman" w:hAnsi="Time New Roman" w:cs="David"/>
          <w:b/>
          <w:bCs/>
          <w:color w:val="000000" w:themeColor="text1"/>
          <w:sz w:val="20"/>
          <w:szCs w:val="20"/>
          <w:rtl/>
        </w:rPr>
        <w:t xml:space="preserve">מחשבה פלילית </w:t>
      </w:r>
    </w:p>
    <w:p w:rsidR="00324C21" w:rsidRPr="00CE3410" w:rsidRDefault="00324C21" w:rsidP="00324C21">
      <w:pPr>
        <w:pStyle w:val="p00"/>
        <w:bidi/>
        <w:spacing w:before="0" w:beforeAutospacing="0" w:after="0" w:afterAutospacing="0"/>
        <w:ind w:right="1134"/>
        <w:jc w:val="both"/>
        <w:rPr>
          <w:rFonts w:cs="David"/>
          <w:color w:val="000000" w:themeColor="text1"/>
          <w:sz w:val="20"/>
          <w:szCs w:val="20"/>
          <w:rtl/>
        </w:rPr>
      </w:pPr>
      <w:r w:rsidRPr="00CE3410">
        <w:rPr>
          <w:rStyle w:val="big-number"/>
          <w:rFonts w:cs="David" w:hint="cs"/>
          <w:color w:val="000000" w:themeColor="text1"/>
          <w:sz w:val="20"/>
          <w:szCs w:val="20"/>
          <w:rtl/>
        </w:rPr>
        <w:t>20. </w:t>
      </w:r>
      <w:r w:rsidRPr="00CE3410">
        <w:rPr>
          <w:rStyle w:val="apple-converted-space"/>
          <w:rFonts w:cs="David" w:hint="cs"/>
          <w:color w:val="000000" w:themeColor="text1"/>
          <w:sz w:val="20"/>
          <w:szCs w:val="20"/>
          <w:rtl/>
        </w:rPr>
        <w:t> </w:t>
      </w:r>
      <w:r w:rsidRPr="00CE3410">
        <w:rPr>
          <w:rStyle w:val="default"/>
          <w:rFonts w:cs="David" w:hint="cs"/>
          <w:color w:val="000000" w:themeColor="text1"/>
          <w:sz w:val="20"/>
          <w:szCs w:val="20"/>
          <w:rtl/>
        </w:rPr>
        <w:t>(א) </w:t>
      </w:r>
      <w:r w:rsidRPr="00CE3410">
        <w:rPr>
          <w:rStyle w:val="apple-converted-space"/>
          <w:rFonts w:cs="David" w:hint="cs"/>
          <w:color w:val="000000" w:themeColor="text1"/>
          <w:sz w:val="20"/>
          <w:szCs w:val="20"/>
          <w:rtl/>
        </w:rPr>
        <w:t> </w:t>
      </w:r>
      <w:r w:rsidRPr="00CE3410">
        <w:rPr>
          <w:rStyle w:val="default"/>
          <w:rFonts w:cs="David" w:hint="cs"/>
          <w:color w:val="000000" w:themeColor="text1"/>
          <w:sz w:val="20"/>
          <w:szCs w:val="20"/>
          <w:rtl/>
        </w:rPr>
        <w:t>מחשבה פלילית - מודעות לטיב המעשה, לקיום הנסיבות ולאפשרות הגרימה לתוצאות המעשה, הנמנים עם פרטי העבירה, ולענין התוצאות גם אחת מאלה:</w:t>
      </w:r>
    </w:p>
    <w:p w:rsidR="00324C21" w:rsidRPr="00CE3410" w:rsidRDefault="00324C21" w:rsidP="00324C21">
      <w:pPr>
        <w:pStyle w:val="p22"/>
        <w:bidi/>
        <w:spacing w:before="0" w:beforeAutospacing="0" w:after="0" w:afterAutospacing="0"/>
        <w:ind w:left="1021" w:right="1134"/>
        <w:jc w:val="both"/>
        <w:rPr>
          <w:rFonts w:cs="David"/>
          <w:color w:val="000000" w:themeColor="text1"/>
          <w:sz w:val="20"/>
          <w:szCs w:val="20"/>
          <w:rtl/>
        </w:rPr>
      </w:pPr>
      <w:r w:rsidRPr="00CE3410">
        <w:rPr>
          <w:rStyle w:val="default"/>
          <w:rFonts w:cs="David" w:hint="cs"/>
          <w:color w:val="000000" w:themeColor="text1"/>
          <w:sz w:val="20"/>
          <w:szCs w:val="20"/>
          <w:rtl/>
        </w:rPr>
        <w:t>(1)  </w:t>
      </w:r>
      <w:r w:rsidRPr="00CE3410">
        <w:rPr>
          <w:rStyle w:val="apple-converted-space"/>
          <w:rFonts w:cs="David" w:hint="cs"/>
          <w:color w:val="000000" w:themeColor="text1"/>
          <w:sz w:val="20"/>
          <w:szCs w:val="20"/>
          <w:rtl/>
        </w:rPr>
        <w:t> </w:t>
      </w:r>
      <w:r w:rsidRPr="00CE3410">
        <w:rPr>
          <w:rStyle w:val="default"/>
          <w:rFonts w:cs="David" w:hint="cs"/>
          <w:color w:val="000000" w:themeColor="text1"/>
          <w:sz w:val="20"/>
          <w:szCs w:val="20"/>
          <w:rtl/>
        </w:rPr>
        <w:t>כוונה - במטרה לגרום לאותן תוצאות;</w:t>
      </w:r>
    </w:p>
    <w:p w:rsidR="00324C21" w:rsidRPr="00CE3410" w:rsidRDefault="00324C21" w:rsidP="00324C21">
      <w:pPr>
        <w:pStyle w:val="p22"/>
        <w:bidi/>
        <w:spacing w:before="0" w:beforeAutospacing="0" w:after="0" w:afterAutospacing="0"/>
        <w:ind w:left="1021" w:right="1134"/>
        <w:jc w:val="both"/>
        <w:rPr>
          <w:rFonts w:cs="David"/>
          <w:color w:val="000000" w:themeColor="text1"/>
          <w:sz w:val="20"/>
          <w:szCs w:val="20"/>
          <w:rtl/>
        </w:rPr>
      </w:pPr>
      <w:r w:rsidRPr="00CE3410">
        <w:rPr>
          <w:rStyle w:val="default"/>
          <w:rFonts w:cs="David" w:hint="cs"/>
          <w:color w:val="000000" w:themeColor="text1"/>
          <w:sz w:val="20"/>
          <w:szCs w:val="20"/>
          <w:rtl/>
        </w:rPr>
        <w:t>(2)  </w:t>
      </w:r>
      <w:r w:rsidRPr="00CE3410">
        <w:rPr>
          <w:rStyle w:val="apple-converted-space"/>
          <w:rFonts w:cs="David" w:hint="cs"/>
          <w:color w:val="000000" w:themeColor="text1"/>
          <w:sz w:val="20"/>
          <w:szCs w:val="20"/>
          <w:rtl/>
        </w:rPr>
        <w:t> </w:t>
      </w:r>
      <w:r w:rsidRPr="00CE3410">
        <w:rPr>
          <w:rStyle w:val="default"/>
          <w:rFonts w:cs="David" w:hint="cs"/>
          <w:color w:val="000000" w:themeColor="text1"/>
          <w:sz w:val="20"/>
          <w:szCs w:val="20"/>
          <w:rtl/>
        </w:rPr>
        <w:t>פזיזות שבאחת מאלה:</w:t>
      </w:r>
    </w:p>
    <w:p w:rsidR="00324C21" w:rsidRPr="00CE3410" w:rsidRDefault="00324C21" w:rsidP="00324C21">
      <w:pPr>
        <w:pStyle w:val="p33"/>
        <w:bidi/>
        <w:spacing w:before="0" w:beforeAutospacing="0" w:after="0" w:afterAutospacing="0"/>
        <w:ind w:left="1474" w:right="1134"/>
        <w:jc w:val="both"/>
        <w:rPr>
          <w:rFonts w:cs="David"/>
          <w:color w:val="000000" w:themeColor="text1"/>
          <w:sz w:val="20"/>
          <w:szCs w:val="20"/>
          <w:rtl/>
        </w:rPr>
      </w:pPr>
      <w:r w:rsidRPr="00CE3410">
        <w:rPr>
          <w:rStyle w:val="default"/>
          <w:rFonts w:cs="David" w:hint="cs"/>
          <w:color w:val="000000" w:themeColor="text1"/>
          <w:sz w:val="20"/>
          <w:szCs w:val="20"/>
          <w:rtl/>
        </w:rPr>
        <w:t>(א)  </w:t>
      </w:r>
      <w:r w:rsidRPr="00CE3410">
        <w:rPr>
          <w:rStyle w:val="apple-converted-space"/>
          <w:rFonts w:cs="David" w:hint="cs"/>
          <w:color w:val="000000" w:themeColor="text1"/>
          <w:sz w:val="20"/>
          <w:szCs w:val="20"/>
          <w:rtl/>
        </w:rPr>
        <w:t> </w:t>
      </w:r>
      <w:r w:rsidRPr="00CE3410">
        <w:rPr>
          <w:rStyle w:val="default"/>
          <w:rFonts w:cs="David" w:hint="cs"/>
          <w:color w:val="000000" w:themeColor="text1"/>
          <w:sz w:val="20"/>
          <w:szCs w:val="20"/>
          <w:rtl/>
        </w:rPr>
        <w:t>אדישות - בשוויון נפש לאפשרות גרימת התוצאות האמורות;</w:t>
      </w:r>
    </w:p>
    <w:p w:rsidR="00324C21" w:rsidRPr="00CE3410" w:rsidRDefault="00324C21" w:rsidP="00324C21">
      <w:pPr>
        <w:pStyle w:val="p33"/>
        <w:bidi/>
        <w:spacing w:before="0" w:beforeAutospacing="0" w:after="0" w:afterAutospacing="0"/>
        <w:ind w:left="1474" w:right="1134"/>
        <w:jc w:val="both"/>
        <w:rPr>
          <w:rFonts w:cs="David"/>
          <w:color w:val="000000" w:themeColor="text1"/>
          <w:sz w:val="20"/>
          <w:szCs w:val="20"/>
          <w:rtl/>
        </w:rPr>
      </w:pPr>
      <w:r w:rsidRPr="00CE3410">
        <w:rPr>
          <w:rStyle w:val="default"/>
          <w:rFonts w:cs="David" w:hint="cs"/>
          <w:color w:val="000000" w:themeColor="text1"/>
          <w:sz w:val="20"/>
          <w:szCs w:val="20"/>
          <w:rtl/>
        </w:rPr>
        <w:t>(ב)  </w:t>
      </w:r>
      <w:r w:rsidRPr="00CE3410">
        <w:rPr>
          <w:rStyle w:val="apple-converted-space"/>
          <w:rFonts w:cs="David" w:hint="cs"/>
          <w:color w:val="000000" w:themeColor="text1"/>
          <w:sz w:val="20"/>
          <w:szCs w:val="20"/>
          <w:rtl/>
        </w:rPr>
        <w:t> </w:t>
      </w:r>
      <w:r w:rsidRPr="00CE3410">
        <w:rPr>
          <w:rStyle w:val="default"/>
          <w:rFonts w:cs="David" w:hint="cs"/>
          <w:color w:val="000000" w:themeColor="text1"/>
          <w:sz w:val="20"/>
          <w:szCs w:val="20"/>
          <w:rtl/>
        </w:rPr>
        <w:t>קלות דעת - בנטילת סיכון בלתי סביר לאפשרות גרימת התוצאות האמורות, מתוך תקווה להצליח למנען.</w:t>
      </w:r>
    </w:p>
    <w:p w:rsidR="00324C21" w:rsidRPr="00CE3410" w:rsidRDefault="00324C21" w:rsidP="00324C21">
      <w:pPr>
        <w:pStyle w:val="p00"/>
        <w:bidi/>
        <w:spacing w:before="0" w:beforeAutospacing="0" w:after="0" w:afterAutospacing="0"/>
        <w:ind w:right="1134"/>
        <w:jc w:val="both"/>
        <w:rPr>
          <w:rFonts w:cs="David"/>
          <w:color w:val="000000" w:themeColor="text1"/>
          <w:sz w:val="20"/>
          <w:szCs w:val="20"/>
          <w:rtl/>
        </w:rPr>
      </w:pPr>
      <w:r w:rsidRPr="00CE3410">
        <w:rPr>
          <w:rFonts w:cs="David" w:hint="cs"/>
          <w:color w:val="000000" w:themeColor="text1"/>
          <w:sz w:val="20"/>
          <w:szCs w:val="20"/>
          <w:rtl/>
        </w:rPr>
        <w:t>         </w:t>
      </w:r>
      <w:r w:rsidRPr="00CE3410">
        <w:rPr>
          <w:rStyle w:val="apple-converted-space"/>
          <w:rFonts w:cs="David" w:hint="cs"/>
          <w:color w:val="000000" w:themeColor="text1"/>
          <w:sz w:val="20"/>
          <w:szCs w:val="20"/>
          <w:rtl/>
        </w:rPr>
        <w:t> </w:t>
      </w:r>
      <w:r w:rsidRPr="00CE3410">
        <w:rPr>
          <w:rStyle w:val="default"/>
          <w:rFonts w:cs="David" w:hint="cs"/>
          <w:color w:val="000000" w:themeColor="text1"/>
          <w:sz w:val="20"/>
          <w:szCs w:val="20"/>
          <w:rtl/>
        </w:rPr>
        <w:t>(ב) </w:t>
      </w:r>
      <w:r w:rsidRPr="00CE3410">
        <w:rPr>
          <w:rStyle w:val="apple-converted-space"/>
          <w:rFonts w:cs="David" w:hint="cs"/>
          <w:color w:val="000000" w:themeColor="text1"/>
          <w:sz w:val="20"/>
          <w:szCs w:val="20"/>
          <w:rtl/>
        </w:rPr>
        <w:t> </w:t>
      </w:r>
      <w:r w:rsidRPr="00CE3410">
        <w:rPr>
          <w:rStyle w:val="default"/>
          <w:rFonts w:cs="David" w:hint="cs"/>
          <w:color w:val="000000" w:themeColor="text1"/>
          <w:sz w:val="20"/>
          <w:szCs w:val="20"/>
          <w:rtl/>
        </w:rPr>
        <w:t>לענין כוונה, ראייה מראש את התרחשות התוצאות, כאפשרות קרובה לוודאי, כמוה כמטרה לגרמן.</w:t>
      </w:r>
    </w:p>
    <w:p w:rsidR="00324C21" w:rsidRPr="00CE3410" w:rsidRDefault="00324C21" w:rsidP="00324C21">
      <w:pPr>
        <w:pStyle w:val="p00"/>
        <w:bidi/>
        <w:spacing w:before="0" w:beforeAutospacing="0" w:after="0" w:afterAutospacing="0"/>
        <w:ind w:right="1134"/>
        <w:jc w:val="both"/>
        <w:rPr>
          <w:rFonts w:cs="David"/>
          <w:color w:val="000000" w:themeColor="text1"/>
          <w:sz w:val="20"/>
          <w:szCs w:val="20"/>
          <w:rtl/>
        </w:rPr>
      </w:pPr>
      <w:r w:rsidRPr="00CE3410">
        <w:rPr>
          <w:rFonts w:cs="David" w:hint="cs"/>
          <w:color w:val="000000" w:themeColor="text1"/>
          <w:sz w:val="20"/>
          <w:szCs w:val="20"/>
          <w:rtl/>
        </w:rPr>
        <w:t>         </w:t>
      </w:r>
      <w:r w:rsidRPr="00CE3410">
        <w:rPr>
          <w:rStyle w:val="apple-converted-space"/>
          <w:rFonts w:cs="David" w:hint="cs"/>
          <w:color w:val="000000" w:themeColor="text1"/>
          <w:sz w:val="20"/>
          <w:szCs w:val="20"/>
          <w:rtl/>
        </w:rPr>
        <w:t> </w:t>
      </w:r>
      <w:r w:rsidRPr="00CE3410">
        <w:rPr>
          <w:rStyle w:val="default"/>
          <w:rFonts w:cs="David" w:hint="cs"/>
          <w:color w:val="000000" w:themeColor="text1"/>
          <w:sz w:val="20"/>
          <w:szCs w:val="20"/>
          <w:rtl/>
        </w:rPr>
        <w:t>(ג)  </w:t>
      </w:r>
      <w:r w:rsidRPr="00CE3410">
        <w:rPr>
          <w:rStyle w:val="apple-converted-space"/>
          <w:rFonts w:cs="David" w:hint="cs"/>
          <w:color w:val="000000" w:themeColor="text1"/>
          <w:sz w:val="20"/>
          <w:szCs w:val="20"/>
          <w:rtl/>
        </w:rPr>
        <w:t> </w:t>
      </w:r>
      <w:r w:rsidRPr="00CE3410">
        <w:rPr>
          <w:rStyle w:val="default"/>
          <w:rFonts w:cs="David" w:hint="cs"/>
          <w:color w:val="000000" w:themeColor="text1"/>
          <w:sz w:val="20"/>
          <w:szCs w:val="20"/>
          <w:rtl/>
        </w:rPr>
        <w:t>לענין סעיף זה –</w:t>
      </w:r>
    </w:p>
    <w:p w:rsidR="00324C21" w:rsidRPr="00CE3410" w:rsidRDefault="00324C21" w:rsidP="00324C21">
      <w:pPr>
        <w:pStyle w:val="p22"/>
        <w:bidi/>
        <w:spacing w:before="0" w:beforeAutospacing="0" w:after="0" w:afterAutospacing="0"/>
        <w:ind w:left="1021" w:right="1134"/>
        <w:jc w:val="both"/>
        <w:rPr>
          <w:rFonts w:cs="David"/>
          <w:color w:val="000000" w:themeColor="text1"/>
          <w:sz w:val="20"/>
          <w:szCs w:val="20"/>
          <w:rtl/>
        </w:rPr>
      </w:pPr>
      <w:r w:rsidRPr="00CE3410">
        <w:rPr>
          <w:rStyle w:val="default"/>
          <w:rFonts w:cs="David" w:hint="cs"/>
          <w:color w:val="000000" w:themeColor="text1"/>
          <w:sz w:val="20"/>
          <w:szCs w:val="20"/>
          <w:rtl/>
        </w:rPr>
        <w:t>(1)  </w:t>
      </w:r>
      <w:r w:rsidRPr="00CE3410">
        <w:rPr>
          <w:rStyle w:val="apple-converted-space"/>
          <w:rFonts w:cs="David" w:hint="cs"/>
          <w:color w:val="000000" w:themeColor="text1"/>
          <w:sz w:val="20"/>
          <w:szCs w:val="20"/>
          <w:rtl/>
        </w:rPr>
        <w:t> </w:t>
      </w:r>
      <w:r w:rsidRPr="00CE3410">
        <w:rPr>
          <w:rStyle w:val="default"/>
          <w:rFonts w:cs="David" w:hint="cs"/>
          <w:color w:val="000000" w:themeColor="text1"/>
          <w:sz w:val="20"/>
          <w:szCs w:val="20"/>
          <w:rtl/>
        </w:rPr>
        <w:t>רואים אדם שחשד בדבר טיב ההתנהגות או בדבר אפשרות קיום הנסיבות כמי שהיה מודע להם, אם נמנע</w:t>
      </w:r>
      <w:r w:rsidRPr="00CE3410">
        <w:rPr>
          <w:rFonts w:cs="David" w:hint="cs"/>
          <w:color w:val="000000" w:themeColor="text1"/>
          <w:sz w:val="20"/>
          <w:szCs w:val="20"/>
          <w:rtl/>
        </w:rPr>
        <w:t> </w:t>
      </w:r>
      <w:r w:rsidRPr="00CE3410">
        <w:rPr>
          <w:rStyle w:val="apple-converted-space"/>
          <w:rFonts w:cs="David" w:hint="cs"/>
          <w:color w:val="000000" w:themeColor="text1"/>
          <w:sz w:val="20"/>
          <w:szCs w:val="20"/>
          <w:rtl/>
        </w:rPr>
        <w:t> </w:t>
      </w:r>
      <w:r w:rsidRPr="00CE3410">
        <w:rPr>
          <w:rStyle w:val="default"/>
          <w:rFonts w:cs="David" w:hint="cs"/>
          <w:color w:val="000000" w:themeColor="text1"/>
          <w:sz w:val="20"/>
          <w:szCs w:val="20"/>
          <w:rtl/>
        </w:rPr>
        <w:t>מלבררם;</w:t>
      </w:r>
    </w:p>
    <w:p w:rsidR="00324C21" w:rsidRPr="00CE3410" w:rsidRDefault="00324C21" w:rsidP="00324C21">
      <w:pPr>
        <w:pStyle w:val="p22"/>
        <w:bidi/>
        <w:spacing w:before="0" w:beforeAutospacing="0" w:after="0" w:afterAutospacing="0"/>
        <w:ind w:left="1021" w:right="1134"/>
        <w:jc w:val="both"/>
        <w:rPr>
          <w:rFonts w:cs="David"/>
          <w:color w:val="000000" w:themeColor="text1"/>
          <w:sz w:val="20"/>
          <w:szCs w:val="20"/>
          <w:rtl/>
        </w:rPr>
      </w:pPr>
      <w:r w:rsidRPr="00CE3410">
        <w:rPr>
          <w:rStyle w:val="default"/>
          <w:rFonts w:cs="David" w:hint="cs"/>
          <w:color w:val="000000" w:themeColor="text1"/>
          <w:sz w:val="20"/>
          <w:szCs w:val="20"/>
          <w:rtl/>
        </w:rPr>
        <w:t>(2)  </w:t>
      </w:r>
      <w:r w:rsidRPr="00CE3410">
        <w:rPr>
          <w:rStyle w:val="apple-converted-space"/>
          <w:rFonts w:cs="David" w:hint="cs"/>
          <w:color w:val="000000" w:themeColor="text1"/>
          <w:sz w:val="20"/>
          <w:szCs w:val="20"/>
          <w:rtl/>
        </w:rPr>
        <w:t> </w:t>
      </w:r>
      <w:r w:rsidRPr="00CE3410">
        <w:rPr>
          <w:rStyle w:val="default"/>
          <w:rFonts w:cs="David" w:hint="cs"/>
          <w:color w:val="000000" w:themeColor="text1"/>
          <w:sz w:val="20"/>
          <w:szCs w:val="20"/>
          <w:rtl/>
        </w:rPr>
        <w:t>אין נפקה מינה אם נעשה המעשה באדם אחר או בנכס אחר, מזה שלגביו אמור היה המעשה להיעשות.</w:t>
      </w:r>
    </w:p>
    <w:p w:rsidR="00324C21" w:rsidRPr="00CE3410" w:rsidRDefault="00324C21" w:rsidP="00324C21">
      <w:pPr>
        <w:pStyle w:val="a4"/>
        <w:rPr>
          <w:rFonts w:cs="David"/>
          <w:color w:val="000000" w:themeColor="text1"/>
        </w:rPr>
      </w:pPr>
      <w:bookmarkStart w:id="3" w:name="Rov903"/>
      <w:bookmarkStart w:id="4" w:name="Seif14"/>
      <w:bookmarkEnd w:id="3"/>
      <w:bookmarkEnd w:id="4"/>
    </w:p>
  </w:footnote>
  <w:footnote w:id="2">
    <w:p w:rsidR="00324C21" w:rsidRPr="00CE3410" w:rsidRDefault="00324C21" w:rsidP="00324C21">
      <w:pPr>
        <w:pStyle w:val="p00"/>
        <w:bidi/>
        <w:spacing w:before="0" w:beforeAutospacing="0" w:after="0" w:afterAutospacing="0"/>
        <w:ind w:right="1134"/>
        <w:rPr>
          <w:rStyle w:val="big-number"/>
          <w:rFonts w:ascii="Time New Roman" w:hAnsi="Time New Roman" w:cs="David"/>
          <w:b/>
          <w:bCs/>
          <w:color w:val="000000" w:themeColor="text1"/>
          <w:sz w:val="20"/>
          <w:szCs w:val="20"/>
          <w:rtl/>
        </w:rPr>
      </w:pPr>
      <w:r w:rsidRPr="00CE3410">
        <w:rPr>
          <w:rStyle w:val="a6"/>
          <w:rFonts w:cs="David"/>
        </w:rPr>
        <w:footnoteRef/>
      </w:r>
      <w:r w:rsidRPr="00CE3410">
        <w:rPr>
          <w:rFonts w:cs="David"/>
          <w:rtl/>
        </w:rPr>
        <w:t xml:space="preserve"> </w:t>
      </w:r>
      <w:r w:rsidRPr="00CE3410">
        <w:rPr>
          <w:rFonts w:cs="David" w:hint="cs"/>
          <w:color w:val="000000" w:themeColor="text1"/>
          <w:sz w:val="20"/>
          <w:szCs w:val="20"/>
          <w:rtl/>
        </w:rPr>
        <w:t>סעיף 21 לחוק העונשין</w:t>
      </w:r>
      <w:r w:rsidRPr="00CE3410">
        <w:rPr>
          <w:rStyle w:val="big-number"/>
          <w:rFonts w:ascii="Time New Roman" w:hAnsi="Time New Roman" w:cs="David" w:hint="cs"/>
          <w:b/>
          <w:bCs/>
          <w:color w:val="000000" w:themeColor="text1"/>
          <w:sz w:val="20"/>
          <w:szCs w:val="20"/>
          <w:rtl/>
        </w:rPr>
        <w:t>:</w:t>
      </w:r>
    </w:p>
    <w:p w:rsidR="00324C21" w:rsidRPr="00CE3410" w:rsidRDefault="00324C21" w:rsidP="00324C21">
      <w:pPr>
        <w:pStyle w:val="p00"/>
        <w:bidi/>
        <w:spacing w:before="0" w:beforeAutospacing="0" w:after="0" w:afterAutospacing="0"/>
        <w:ind w:right="1134"/>
        <w:rPr>
          <w:rFonts w:cs="David"/>
          <w:color w:val="000000" w:themeColor="text1"/>
          <w:sz w:val="20"/>
          <w:szCs w:val="20"/>
          <w:rtl/>
        </w:rPr>
      </w:pPr>
      <w:r w:rsidRPr="00CE3410">
        <w:rPr>
          <w:rStyle w:val="big-number"/>
          <w:rFonts w:ascii="Time New Roman" w:hAnsi="Time New Roman" w:cs="David" w:hint="cs"/>
          <w:b/>
          <w:bCs/>
          <w:color w:val="000000" w:themeColor="text1"/>
          <w:sz w:val="20"/>
          <w:szCs w:val="20"/>
          <w:rtl/>
        </w:rPr>
        <w:t>"</w:t>
      </w:r>
      <w:r w:rsidRPr="00CE3410">
        <w:rPr>
          <w:rStyle w:val="big-number"/>
          <w:rFonts w:ascii="Time New Roman" w:hAnsi="Time New Roman" w:cs="David"/>
          <w:b/>
          <w:bCs/>
          <w:color w:val="000000" w:themeColor="text1"/>
          <w:sz w:val="20"/>
          <w:szCs w:val="20"/>
          <w:rtl/>
        </w:rPr>
        <w:t xml:space="preserve">רשלנות </w:t>
      </w:r>
    </w:p>
    <w:p w:rsidR="00324C21" w:rsidRPr="00CE3410" w:rsidRDefault="00324C21" w:rsidP="00324C21">
      <w:pPr>
        <w:pStyle w:val="p00"/>
        <w:bidi/>
        <w:spacing w:before="0" w:beforeAutospacing="0" w:after="0" w:afterAutospacing="0"/>
        <w:ind w:right="1134"/>
        <w:jc w:val="both"/>
        <w:rPr>
          <w:rFonts w:cs="David"/>
          <w:color w:val="000000" w:themeColor="text1"/>
          <w:sz w:val="20"/>
          <w:szCs w:val="20"/>
          <w:rtl/>
        </w:rPr>
      </w:pPr>
      <w:r w:rsidRPr="00CE3410">
        <w:rPr>
          <w:rStyle w:val="big-number"/>
          <w:rFonts w:cs="David" w:hint="cs"/>
          <w:color w:val="000000" w:themeColor="text1"/>
          <w:sz w:val="20"/>
          <w:szCs w:val="20"/>
          <w:rtl/>
        </w:rPr>
        <w:t>21. </w:t>
      </w:r>
      <w:r w:rsidRPr="00CE3410">
        <w:rPr>
          <w:rStyle w:val="apple-converted-space"/>
          <w:rFonts w:cs="David" w:hint="cs"/>
          <w:color w:val="000000" w:themeColor="text1"/>
          <w:sz w:val="20"/>
          <w:szCs w:val="20"/>
          <w:rtl/>
        </w:rPr>
        <w:t> </w:t>
      </w:r>
      <w:r w:rsidRPr="00CE3410">
        <w:rPr>
          <w:rStyle w:val="default"/>
          <w:rFonts w:cs="David" w:hint="cs"/>
          <w:color w:val="000000" w:themeColor="text1"/>
          <w:sz w:val="20"/>
          <w:szCs w:val="20"/>
          <w:rtl/>
        </w:rPr>
        <w:t>(א) </w:t>
      </w:r>
      <w:r w:rsidRPr="00CE3410">
        <w:rPr>
          <w:rStyle w:val="apple-converted-space"/>
          <w:rFonts w:cs="David" w:hint="cs"/>
          <w:color w:val="000000" w:themeColor="text1"/>
          <w:sz w:val="20"/>
          <w:szCs w:val="20"/>
          <w:rtl/>
        </w:rPr>
        <w:t> </w:t>
      </w:r>
      <w:r w:rsidRPr="00CE3410">
        <w:rPr>
          <w:rStyle w:val="default"/>
          <w:rFonts w:cs="David" w:hint="cs"/>
          <w:color w:val="000000" w:themeColor="text1"/>
          <w:sz w:val="20"/>
          <w:szCs w:val="20"/>
          <w:rtl/>
        </w:rPr>
        <w:t>רשלנות – אי מודעות לטיב המעשה, לקיום הנסיבות או לאפשרות הגרימה לתוצאות המעשה, הנמנים עם פרטי העבירה, כשאדם מן היישוב יכול היה, בנסיבות הענין, להיות מודע לאותו פרט, ובלבד –</w:t>
      </w:r>
    </w:p>
    <w:p w:rsidR="00324C21" w:rsidRPr="00CE3410" w:rsidRDefault="00324C21" w:rsidP="00324C21">
      <w:pPr>
        <w:pStyle w:val="p22"/>
        <w:bidi/>
        <w:spacing w:before="0" w:beforeAutospacing="0" w:after="0" w:afterAutospacing="0"/>
        <w:ind w:left="1021" w:right="1134"/>
        <w:jc w:val="both"/>
        <w:rPr>
          <w:rFonts w:cs="David"/>
          <w:color w:val="000000" w:themeColor="text1"/>
          <w:sz w:val="20"/>
          <w:szCs w:val="20"/>
          <w:rtl/>
        </w:rPr>
      </w:pPr>
      <w:r w:rsidRPr="00CE3410">
        <w:rPr>
          <w:rStyle w:val="default"/>
          <w:rFonts w:cs="David" w:hint="cs"/>
          <w:color w:val="000000" w:themeColor="text1"/>
          <w:sz w:val="20"/>
          <w:szCs w:val="20"/>
          <w:rtl/>
        </w:rPr>
        <w:t>(1)  </w:t>
      </w:r>
      <w:r w:rsidRPr="00CE3410">
        <w:rPr>
          <w:rStyle w:val="apple-converted-space"/>
          <w:rFonts w:cs="David" w:hint="cs"/>
          <w:color w:val="000000" w:themeColor="text1"/>
          <w:sz w:val="20"/>
          <w:szCs w:val="20"/>
          <w:rtl/>
        </w:rPr>
        <w:t> </w:t>
      </w:r>
      <w:r w:rsidRPr="00CE3410">
        <w:rPr>
          <w:rStyle w:val="default"/>
          <w:rFonts w:cs="David" w:hint="cs"/>
          <w:color w:val="000000" w:themeColor="text1"/>
          <w:sz w:val="20"/>
          <w:szCs w:val="20"/>
          <w:rtl/>
        </w:rPr>
        <w:t>שלענין הפרטים הנותרים היתה לפחות רשלנות כאמור;</w:t>
      </w:r>
    </w:p>
    <w:p w:rsidR="00324C21" w:rsidRPr="00CE3410" w:rsidRDefault="00324C21" w:rsidP="00324C21">
      <w:pPr>
        <w:pStyle w:val="p22"/>
        <w:bidi/>
        <w:spacing w:before="0" w:beforeAutospacing="0" w:after="0" w:afterAutospacing="0"/>
        <w:ind w:left="1021" w:right="1134"/>
        <w:jc w:val="both"/>
        <w:rPr>
          <w:rFonts w:cs="David"/>
          <w:color w:val="000000" w:themeColor="text1"/>
          <w:sz w:val="20"/>
          <w:szCs w:val="20"/>
          <w:rtl/>
        </w:rPr>
      </w:pPr>
      <w:r w:rsidRPr="00CE3410">
        <w:rPr>
          <w:rStyle w:val="default"/>
          <w:rFonts w:cs="David" w:hint="cs"/>
          <w:color w:val="000000" w:themeColor="text1"/>
          <w:sz w:val="20"/>
          <w:szCs w:val="20"/>
          <w:rtl/>
        </w:rPr>
        <w:t>(2)  </w:t>
      </w:r>
      <w:r w:rsidRPr="00CE3410">
        <w:rPr>
          <w:rStyle w:val="apple-converted-space"/>
          <w:rFonts w:cs="David" w:hint="cs"/>
          <w:color w:val="000000" w:themeColor="text1"/>
          <w:sz w:val="20"/>
          <w:szCs w:val="20"/>
          <w:rtl/>
        </w:rPr>
        <w:t> </w:t>
      </w:r>
      <w:r w:rsidRPr="00CE3410">
        <w:rPr>
          <w:rStyle w:val="default"/>
          <w:rFonts w:cs="David" w:hint="cs"/>
          <w:color w:val="000000" w:themeColor="text1"/>
          <w:sz w:val="20"/>
          <w:szCs w:val="20"/>
          <w:rtl/>
        </w:rPr>
        <w:t>שבעבירה שעם פרטיה נמנית תוצאה שנגרמה על ידי המעשה או סכנה העלולה להיגרם בשלו – העושה נטל סיכון בלתי סביר להתרחשות התוצאה או לגרימת הסכנה כאמור.</w:t>
      </w:r>
    </w:p>
    <w:p w:rsidR="00324C21" w:rsidRPr="00CE3410" w:rsidRDefault="00324C21" w:rsidP="00324C21">
      <w:pPr>
        <w:pStyle w:val="p00"/>
        <w:bidi/>
        <w:spacing w:before="0" w:beforeAutospacing="0" w:after="0" w:afterAutospacing="0"/>
        <w:ind w:right="1134"/>
        <w:jc w:val="both"/>
        <w:rPr>
          <w:rFonts w:cs="David"/>
          <w:color w:val="000000" w:themeColor="text1"/>
          <w:sz w:val="20"/>
          <w:szCs w:val="20"/>
          <w:rtl/>
        </w:rPr>
      </w:pPr>
      <w:r w:rsidRPr="00CE3410">
        <w:rPr>
          <w:rFonts w:cs="David" w:hint="cs"/>
          <w:color w:val="000000" w:themeColor="text1"/>
          <w:sz w:val="20"/>
          <w:szCs w:val="20"/>
          <w:rtl/>
        </w:rPr>
        <w:t>         </w:t>
      </w:r>
      <w:r w:rsidRPr="00CE3410">
        <w:rPr>
          <w:rStyle w:val="apple-converted-space"/>
          <w:rFonts w:cs="David" w:hint="cs"/>
          <w:color w:val="000000" w:themeColor="text1"/>
          <w:sz w:val="20"/>
          <w:szCs w:val="20"/>
          <w:rtl/>
        </w:rPr>
        <w:t> </w:t>
      </w:r>
      <w:r w:rsidRPr="00CE3410">
        <w:rPr>
          <w:rStyle w:val="default"/>
          <w:rFonts w:cs="David" w:hint="cs"/>
          <w:color w:val="000000" w:themeColor="text1"/>
          <w:sz w:val="20"/>
          <w:szCs w:val="20"/>
          <w:rtl/>
        </w:rPr>
        <w:t>(ב) </w:t>
      </w:r>
      <w:r w:rsidRPr="00CE3410">
        <w:rPr>
          <w:rStyle w:val="apple-converted-space"/>
          <w:rFonts w:cs="David" w:hint="cs"/>
          <w:color w:val="000000" w:themeColor="text1"/>
          <w:sz w:val="20"/>
          <w:szCs w:val="20"/>
          <w:rtl/>
        </w:rPr>
        <w:t> </w:t>
      </w:r>
      <w:r w:rsidRPr="00CE3410">
        <w:rPr>
          <w:rStyle w:val="default"/>
          <w:rFonts w:cs="David" w:hint="cs"/>
          <w:color w:val="000000" w:themeColor="text1"/>
          <w:sz w:val="20"/>
          <w:szCs w:val="20"/>
          <w:rtl/>
        </w:rPr>
        <w:t>רשלנות יכול שתיקבע כיסוד נפשי מספיק רק לעבירה שאיננה מסוג פשע.</w:t>
      </w:r>
      <w:r w:rsidRPr="00CE3410">
        <w:rPr>
          <w:rFonts w:cs="David" w:hint="cs"/>
          <w:color w:val="000000" w:themeColor="text1"/>
          <w:sz w:val="20"/>
          <w:szCs w:val="20"/>
          <w:rtl/>
        </w:rPr>
        <w:t>"</w:t>
      </w:r>
    </w:p>
    <w:p w:rsidR="00324C21" w:rsidRPr="00CE3410" w:rsidRDefault="00324C21" w:rsidP="00324C21">
      <w:pPr>
        <w:pStyle w:val="a4"/>
        <w:rPr>
          <w:rFonts w:cs="David"/>
          <w:rtl/>
        </w:rPr>
      </w:pPr>
    </w:p>
  </w:footnote>
  <w:footnote w:id="3">
    <w:p w:rsidR="00324C21" w:rsidRPr="00CE3410" w:rsidRDefault="00324C21" w:rsidP="00324C21">
      <w:pPr>
        <w:pStyle w:val="a4"/>
        <w:rPr>
          <w:rFonts w:ascii="Courier New" w:hAnsi="Courier New" w:cs="David"/>
          <w:rtl/>
        </w:rPr>
      </w:pPr>
      <w:r w:rsidRPr="00CE3410">
        <w:rPr>
          <w:rStyle w:val="a6"/>
          <w:rFonts w:cs="David"/>
        </w:rPr>
        <w:footnoteRef/>
      </w:r>
      <w:r w:rsidRPr="00CE3410">
        <w:rPr>
          <w:rFonts w:cs="David"/>
          <w:rtl/>
        </w:rPr>
        <w:t xml:space="preserve"> </w:t>
      </w:r>
      <w:r w:rsidRPr="00CE3410">
        <w:rPr>
          <w:rFonts w:cs="David" w:hint="cs"/>
          <w:rtl/>
        </w:rPr>
        <w:t xml:space="preserve">ור' לעניין השימוש במונח אדישות גם את מאמרו של יצחק קוגלר, "שני מושגים של אדישות" </w:t>
      </w:r>
      <w:r w:rsidRPr="00CE3410">
        <w:rPr>
          <w:rFonts w:cs="David" w:hint="cs"/>
          <w:b/>
          <w:bCs/>
          <w:rtl/>
        </w:rPr>
        <w:t xml:space="preserve">עלי משפט ה', </w:t>
      </w:r>
      <w:r w:rsidRPr="00CE3410">
        <w:rPr>
          <w:rFonts w:cs="David" w:hint="cs"/>
          <w:rtl/>
        </w:rPr>
        <w:t>התשס"ו, בו הוא טוען כי לעתים המונח אדישות אף משמש לתיאור של מצב משפטי אמתי של רשלנות.</w:t>
      </w:r>
    </w:p>
  </w:footnote>
  <w:footnote w:id="4">
    <w:p w:rsidR="00324C21" w:rsidRPr="00CE3410" w:rsidRDefault="00324C21" w:rsidP="00324C21">
      <w:pPr>
        <w:pStyle w:val="a4"/>
        <w:rPr>
          <w:rFonts w:cs="David"/>
          <w:rtl/>
        </w:rPr>
      </w:pPr>
      <w:r w:rsidRPr="00CE3410">
        <w:rPr>
          <w:rStyle w:val="a6"/>
          <w:rFonts w:cs="David"/>
        </w:rPr>
        <w:footnoteRef/>
      </w:r>
      <w:r w:rsidRPr="00CE3410">
        <w:rPr>
          <w:rFonts w:cs="David"/>
          <w:rtl/>
        </w:rPr>
        <w:t xml:space="preserve"> </w:t>
      </w:r>
      <w:r w:rsidRPr="00CE3410">
        <w:rPr>
          <w:rFonts w:cs="David" w:hint="cs"/>
          <w:rtl/>
        </w:rPr>
        <w:t>בנוסף,</w:t>
      </w:r>
      <w:r w:rsidRPr="00CE3410">
        <w:rPr>
          <w:rFonts w:cs="David"/>
          <w:rtl/>
        </w:rPr>
        <w:t xml:space="preserve"> </w:t>
      </w:r>
      <w:r w:rsidRPr="00CE3410">
        <w:rPr>
          <w:rFonts w:cs="David" w:hint="cs"/>
          <w:rtl/>
        </w:rPr>
        <w:t>ככל</w:t>
      </w:r>
      <w:r w:rsidRPr="00CE3410">
        <w:rPr>
          <w:rFonts w:cs="David"/>
          <w:rtl/>
        </w:rPr>
        <w:t xml:space="preserve"> </w:t>
      </w:r>
      <w:r w:rsidRPr="00CE3410">
        <w:rPr>
          <w:rFonts w:cs="David" w:hint="cs"/>
          <w:rtl/>
        </w:rPr>
        <w:t>שמייצרים</w:t>
      </w:r>
      <w:r w:rsidRPr="00CE3410">
        <w:rPr>
          <w:rFonts w:cs="David"/>
          <w:rtl/>
        </w:rPr>
        <w:t xml:space="preserve"> </w:t>
      </w:r>
      <w:r w:rsidRPr="00CE3410">
        <w:rPr>
          <w:rFonts w:cs="David" w:hint="cs"/>
          <w:rtl/>
        </w:rPr>
        <w:t>את</w:t>
      </w:r>
      <w:r w:rsidRPr="00CE3410">
        <w:rPr>
          <w:rFonts w:cs="David"/>
          <w:rtl/>
        </w:rPr>
        <w:t xml:space="preserve"> </w:t>
      </w:r>
      <w:r w:rsidRPr="00CE3410">
        <w:rPr>
          <w:rFonts w:cs="David" w:hint="cs"/>
          <w:rtl/>
        </w:rPr>
        <w:t>ההבחנה</w:t>
      </w:r>
      <w:r w:rsidRPr="00CE3410">
        <w:rPr>
          <w:rFonts w:cs="David"/>
          <w:rtl/>
        </w:rPr>
        <w:t xml:space="preserve"> </w:t>
      </w:r>
      <w:r w:rsidRPr="00CE3410">
        <w:rPr>
          <w:rFonts w:cs="David" w:hint="cs"/>
          <w:rtl/>
        </w:rPr>
        <w:t>רק</w:t>
      </w:r>
      <w:r w:rsidRPr="00CE3410">
        <w:rPr>
          <w:rFonts w:cs="David"/>
          <w:rtl/>
        </w:rPr>
        <w:t xml:space="preserve"> </w:t>
      </w:r>
      <w:r w:rsidRPr="00CE3410">
        <w:rPr>
          <w:rFonts w:cs="David" w:hint="cs"/>
          <w:rtl/>
        </w:rPr>
        <w:t>בעבירות</w:t>
      </w:r>
      <w:r w:rsidRPr="00CE3410">
        <w:rPr>
          <w:rFonts w:cs="David"/>
          <w:rtl/>
        </w:rPr>
        <w:t xml:space="preserve"> </w:t>
      </w:r>
      <w:r w:rsidRPr="00CE3410">
        <w:rPr>
          <w:rFonts w:cs="David" w:hint="cs"/>
          <w:rtl/>
        </w:rPr>
        <w:t>ההמתה</w:t>
      </w:r>
      <w:r w:rsidRPr="00CE3410">
        <w:rPr>
          <w:rFonts w:cs="David"/>
          <w:rtl/>
        </w:rPr>
        <w:t xml:space="preserve">, </w:t>
      </w:r>
      <w:r w:rsidRPr="00CE3410">
        <w:rPr>
          <w:rFonts w:cs="David" w:hint="cs"/>
          <w:rtl/>
        </w:rPr>
        <w:t>הפסיקה</w:t>
      </w:r>
      <w:r w:rsidRPr="00CE3410">
        <w:rPr>
          <w:rFonts w:cs="David"/>
          <w:rtl/>
        </w:rPr>
        <w:t xml:space="preserve"> </w:t>
      </w:r>
      <w:r w:rsidRPr="00CE3410">
        <w:rPr>
          <w:rFonts w:cs="David" w:hint="cs"/>
          <w:rtl/>
        </w:rPr>
        <w:t>על</w:t>
      </w:r>
      <w:r w:rsidRPr="00CE3410">
        <w:rPr>
          <w:rFonts w:cs="David"/>
          <w:rtl/>
        </w:rPr>
        <w:t xml:space="preserve"> </w:t>
      </w:r>
      <w:r w:rsidRPr="00CE3410">
        <w:rPr>
          <w:rFonts w:cs="David" w:hint="cs"/>
          <w:rtl/>
        </w:rPr>
        <w:t>ההבדל</w:t>
      </w:r>
      <w:r w:rsidRPr="00CE3410">
        <w:rPr>
          <w:rFonts w:cs="David"/>
          <w:rtl/>
        </w:rPr>
        <w:t xml:space="preserve"> </w:t>
      </w:r>
      <w:r w:rsidRPr="00CE3410">
        <w:rPr>
          <w:rFonts w:cs="David" w:hint="cs"/>
          <w:rtl/>
        </w:rPr>
        <w:t>בין</w:t>
      </w:r>
      <w:r w:rsidRPr="00CE3410">
        <w:rPr>
          <w:rFonts w:cs="David"/>
          <w:rtl/>
        </w:rPr>
        <w:t xml:space="preserve"> </w:t>
      </w:r>
      <w:r w:rsidRPr="00CE3410">
        <w:rPr>
          <w:rFonts w:cs="David" w:hint="cs"/>
          <w:rtl/>
        </w:rPr>
        <w:t>האדיש</w:t>
      </w:r>
      <w:r w:rsidRPr="00CE3410">
        <w:rPr>
          <w:rFonts w:cs="David"/>
          <w:rtl/>
        </w:rPr>
        <w:t xml:space="preserve"> </w:t>
      </w:r>
      <w:r w:rsidRPr="00CE3410">
        <w:rPr>
          <w:rFonts w:cs="David" w:hint="cs"/>
          <w:rtl/>
        </w:rPr>
        <w:t>לבין</w:t>
      </w:r>
      <w:r w:rsidRPr="00CE3410">
        <w:rPr>
          <w:rFonts w:cs="David"/>
          <w:rtl/>
        </w:rPr>
        <w:t xml:space="preserve"> </w:t>
      </w:r>
      <w:r w:rsidRPr="00CE3410">
        <w:rPr>
          <w:rFonts w:cs="David" w:hint="cs"/>
          <w:rtl/>
        </w:rPr>
        <w:t>הקל</w:t>
      </w:r>
      <w:r w:rsidRPr="00CE3410">
        <w:rPr>
          <w:rFonts w:cs="David"/>
          <w:rtl/>
        </w:rPr>
        <w:t>-</w:t>
      </w:r>
      <w:r w:rsidRPr="00CE3410">
        <w:rPr>
          <w:rFonts w:cs="David" w:hint="cs"/>
          <w:rtl/>
        </w:rPr>
        <w:t>דעת</w:t>
      </w:r>
      <w:r w:rsidRPr="00CE3410">
        <w:rPr>
          <w:rFonts w:cs="David"/>
          <w:rtl/>
        </w:rPr>
        <w:t xml:space="preserve"> </w:t>
      </w:r>
      <w:r w:rsidRPr="00CE3410">
        <w:rPr>
          <w:rFonts w:cs="David" w:hint="cs"/>
          <w:rtl/>
        </w:rPr>
        <w:t>תתפתח</w:t>
      </w:r>
      <w:r w:rsidRPr="00CE3410">
        <w:rPr>
          <w:rFonts w:cs="David"/>
          <w:rtl/>
        </w:rPr>
        <w:t xml:space="preserve"> </w:t>
      </w:r>
      <w:r w:rsidRPr="00CE3410">
        <w:rPr>
          <w:rFonts w:cs="David" w:hint="cs"/>
          <w:rtl/>
        </w:rPr>
        <w:t>דווקא</w:t>
      </w:r>
      <w:r w:rsidRPr="00CE3410">
        <w:rPr>
          <w:rFonts w:cs="David"/>
          <w:rtl/>
        </w:rPr>
        <w:t xml:space="preserve"> </w:t>
      </w:r>
      <w:r w:rsidRPr="00CE3410">
        <w:rPr>
          <w:rFonts w:cs="David" w:hint="cs"/>
          <w:rtl/>
        </w:rPr>
        <w:t>בתחום</w:t>
      </w:r>
      <w:r w:rsidRPr="00CE3410">
        <w:rPr>
          <w:rFonts w:cs="David"/>
          <w:rtl/>
        </w:rPr>
        <w:t xml:space="preserve"> </w:t>
      </w:r>
      <w:r w:rsidRPr="00CE3410">
        <w:rPr>
          <w:rFonts w:cs="David" w:hint="cs"/>
          <w:rtl/>
        </w:rPr>
        <w:t>ההמתה</w:t>
      </w:r>
      <w:r w:rsidRPr="00CE3410">
        <w:rPr>
          <w:rFonts w:cs="David"/>
          <w:rtl/>
        </w:rPr>
        <w:t xml:space="preserve">. </w:t>
      </w:r>
      <w:r w:rsidRPr="00CE3410">
        <w:rPr>
          <w:rFonts w:cs="David" w:hint="cs"/>
          <w:rtl/>
        </w:rPr>
        <w:t>יש</w:t>
      </w:r>
      <w:r w:rsidRPr="00CE3410">
        <w:rPr>
          <w:rFonts w:cs="David"/>
          <w:rtl/>
        </w:rPr>
        <w:t xml:space="preserve"> </w:t>
      </w:r>
      <w:r w:rsidRPr="00CE3410">
        <w:rPr>
          <w:rFonts w:cs="David" w:hint="cs"/>
          <w:rtl/>
        </w:rPr>
        <w:t>לחשוש</w:t>
      </w:r>
      <w:r w:rsidRPr="00CE3410">
        <w:rPr>
          <w:rFonts w:cs="David"/>
          <w:rtl/>
        </w:rPr>
        <w:t xml:space="preserve"> </w:t>
      </w:r>
      <w:r w:rsidRPr="00CE3410">
        <w:rPr>
          <w:rFonts w:cs="David" w:hint="cs"/>
          <w:rtl/>
        </w:rPr>
        <w:t>שבעבירות</w:t>
      </w:r>
      <w:r w:rsidRPr="00CE3410">
        <w:rPr>
          <w:rFonts w:cs="David"/>
          <w:rtl/>
        </w:rPr>
        <w:t xml:space="preserve"> </w:t>
      </w:r>
      <w:r w:rsidRPr="00CE3410">
        <w:rPr>
          <w:rFonts w:cs="David" w:hint="cs"/>
          <w:rtl/>
        </w:rPr>
        <w:t>ההמתה</w:t>
      </w:r>
      <w:r w:rsidRPr="00CE3410">
        <w:rPr>
          <w:rFonts w:cs="David"/>
          <w:rtl/>
        </w:rPr>
        <w:t xml:space="preserve">, </w:t>
      </w:r>
      <w:r w:rsidRPr="00CE3410">
        <w:rPr>
          <w:rFonts w:cs="David" w:hint="cs"/>
          <w:rtl/>
        </w:rPr>
        <w:t>לעתים</w:t>
      </w:r>
      <w:r w:rsidRPr="00CE3410">
        <w:rPr>
          <w:rFonts w:cs="David"/>
          <w:rtl/>
        </w:rPr>
        <w:t xml:space="preserve"> </w:t>
      </w:r>
      <w:r w:rsidRPr="00CE3410">
        <w:rPr>
          <w:rFonts w:cs="David" w:hint="cs"/>
          <w:rtl/>
        </w:rPr>
        <w:t>הרצון</w:t>
      </w:r>
      <w:r w:rsidRPr="00CE3410">
        <w:rPr>
          <w:rFonts w:cs="David"/>
          <w:rtl/>
        </w:rPr>
        <w:t xml:space="preserve"> </w:t>
      </w:r>
      <w:r w:rsidRPr="00CE3410">
        <w:rPr>
          <w:rFonts w:cs="David" w:hint="cs"/>
          <w:rtl/>
        </w:rPr>
        <w:t>להגיע</w:t>
      </w:r>
      <w:r w:rsidRPr="00CE3410">
        <w:rPr>
          <w:rFonts w:cs="David"/>
          <w:rtl/>
        </w:rPr>
        <w:t xml:space="preserve"> </w:t>
      </w:r>
      <w:r w:rsidRPr="00CE3410">
        <w:rPr>
          <w:rFonts w:cs="David" w:hint="cs"/>
          <w:rtl/>
        </w:rPr>
        <w:t>לתוצאה</w:t>
      </w:r>
      <w:r w:rsidRPr="00CE3410">
        <w:rPr>
          <w:rFonts w:cs="David"/>
          <w:rtl/>
        </w:rPr>
        <w:t xml:space="preserve"> </w:t>
      </w:r>
      <w:r w:rsidRPr="00CE3410">
        <w:rPr>
          <w:rFonts w:cs="David" w:hint="cs"/>
          <w:rtl/>
        </w:rPr>
        <w:t>מסוימת</w:t>
      </w:r>
      <w:r w:rsidRPr="00CE3410">
        <w:rPr>
          <w:rFonts w:cs="David"/>
          <w:rtl/>
        </w:rPr>
        <w:t xml:space="preserve"> </w:t>
      </w:r>
      <w:r w:rsidRPr="00CE3410">
        <w:rPr>
          <w:rFonts w:cs="David" w:hint="cs"/>
          <w:rtl/>
        </w:rPr>
        <w:t>הוא</w:t>
      </w:r>
      <w:r w:rsidRPr="00CE3410">
        <w:rPr>
          <w:rFonts w:cs="David"/>
          <w:rtl/>
        </w:rPr>
        <w:t xml:space="preserve"> </w:t>
      </w:r>
      <w:r w:rsidRPr="00CE3410">
        <w:rPr>
          <w:rFonts w:cs="David" w:hint="cs"/>
          <w:rtl/>
        </w:rPr>
        <w:t>חזק</w:t>
      </w:r>
      <w:r w:rsidRPr="00CE3410">
        <w:rPr>
          <w:rFonts w:cs="David"/>
          <w:rtl/>
        </w:rPr>
        <w:t xml:space="preserve"> </w:t>
      </w:r>
      <w:r w:rsidRPr="00CE3410">
        <w:rPr>
          <w:rFonts w:cs="David" w:hint="cs"/>
          <w:rtl/>
        </w:rPr>
        <w:t>במיוחד</w:t>
      </w:r>
      <w:r w:rsidRPr="00CE3410">
        <w:rPr>
          <w:rFonts w:cs="David"/>
          <w:rtl/>
        </w:rPr>
        <w:t xml:space="preserve">, </w:t>
      </w:r>
      <w:r w:rsidRPr="00CE3410">
        <w:rPr>
          <w:rFonts w:cs="David" w:hint="cs"/>
          <w:rtl/>
        </w:rPr>
        <w:t>כדי</w:t>
      </w:r>
      <w:r w:rsidRPr="00CE3410">
        <w:rPr>
          <w:rFonts w:cs="David"/>
          <w:rtl/>
        </w:rPr>
        <w:t xml:space="preserve"> </w:t>
      </w:r>
      <w:r w:rsidRPr="00CE3410">
        <w:rPr>
          <w:rFonts w:cs="David" w:hint="cs"/>
          <w:rtl/>
        </w:rPr>
        <w:t>להתאים</w:t>
      </w:r>
      <w:r w:rsidRPr="00CE3410">
        <w:rPr>
          <w:rFonts w:cs="David"/>
          <w:rtl/>
        </w:rPr>
        <w:t xml:space="preserve"> </w:t>
      </w:r>
      <w:r w:rsidRPr="00CE3410">
        <w:rPr>
          <w:rFonts w:cs="David" w:hint="cs"/>
          <w:rtl/>
        </w:rPr>
        <w:t>את</w:t>
      </w:r>
      <w:r w:rsidRPr="00CE3410">
        <w:rPr>
          <w:rFonts w:cs="David"/>
          <w:rtl/>
        </w:rPr>
        <w:t xml:space="preserve"> </w:t>
      </w:r>
      <w:r w:rsidRPr="00CE3410">
        <w:rPr>
          <w:rFonts w:cs="David" w:hint="cs"/>
          <w:rtl/>
        </w:rPr>
        <w:t>התיוג</w:t>
      </w:r>
      <w:r w:rsidRPr="00CE3410">
        <w:rPr>
          <w:rFonts w:cs="David"/>
          <w:rtl/>
        </w:rPr>
        <w:t xml:space="preserve"> </w:t>
      </w:r>
      <w:r w:rsidRPr="00CE3410">
        <w:rPr>
          <w:rFonts w:cs="David" w:hint="cs"/>
          <w:rtl/>
        </w:rPr>
        <w:t>והסטיגמה</w:t>
      </w:r>
      <w:r w:rsidRPr="00CE3410">
        <w:rPr>
          <w:rFonts w:cs="David"/>
          <w:rtl/>
        </w:rPr>
        <w:t xml:space="preserve"> </w:t>
      </w:r>
      <w:r w:rsidRPr="00CE3410">
        <w:rPr>
          <w:rFonts w:cs="David" w:hint="cs"/>
          <w:rtl/>
        </w:rPr>
        <w:t>המשפטית</w:t>
      </w:r>
      <w:r w:rsidRPr="00CE3410">
        <w:rPr>
          <w:rFonts w:cs="David"/>
          <w:rtl/>
        </w:rPr>
        <w:t xml:space="preserve"> </w:t>
      </w:r>
      <w:r w:rsidRPr="00CE3410">
        <w:rPr>
          <w:rFonts w:cs="David" w:hint="cs"/>
          <w:rtl/>
        </w:rPr>
        <w:t>למעשה</w:t>
      </w:r>
      <w:r w:rsidRPr="00CE3410">
        <w:rPr>
          <w:rFonts w:cs="David"/>
          <w:rtl/>
        </w:rPr>
        <w:t xml:space="preserve"> </w:t>
      </w:r>
      <w:r w:rsidRPr="00CE3410">
        <w:rPr>
          <w:rFonts w:cs="David" w:hint="cs"/>
          <w:rtl/>
        </w:rPr>
        <w:t>ולאשם</w:t>
      </w:r>
      <w:r w:rsidRPr="00CE3410">
        <w:rPr>
          <w:rFonts w:cs="David"/>
          <w:rtl/>
        </w:rPr>
        <w:t xml:space="preserve"> </w:t>
      </w:r>
      <w:r w:rsidRPr="00CE3410">
        <w:rPr>
          <w:rFonts w:cs="David" w:hint="cs"/>
          <w:rtl/>
        </w:rPr>
        <w:t>המוסרי</w:t>
      </w:r>
      <w:r w:rsidRPr="00CE3410">
        <w:rPr>
          <w:rFonts w:cs="David"/>
          <w:rtl/>
        </w:rPr>
        <w:t xml:space="preserve">, </w:t>
      </w:r>
      <w:r w:rsidRPr="00CE3410">
        <w:rPr>
          <w:rFonts w:cs="David" w:hint="cs"/>
          <w:rtl/>
        </w:rPr>
        <w:t>ולכן</w:t>
      </w:r>
      <w:r w:rsidRPr="00CE3410">
        <w:rPr>
          <w:rFonts w:cs="David"/>
          <w:rtl/>
        </w:rPr>
        <w:t xml:space="preserve"> </w:t>
      </w:r>
      <w:r w:rsidRPr="00CE3410">
        <w:rPr>
          <w:rFonts w:cs="David" w:hint="cs"/>
          <w:rtl/>
        </w:rPr>
        <w:t>יתקבעו</w:t>
      </w:r>
      <w:r w:rsidRPr="00CE3410">
        <w:rPr>
          <w:rFonts w:cs="David"/>
          <w:rtl/>
        </w:rPr>
        <w:t xml:space="preserve"> </w:t>
      </w:r>
      <w:r w:rsidRPr="00CE3410">
        <w:rPr>
          <w:rFonts w:cs="David" w:hint="cs"/>
          <w:rtl/>
        </w:rPr>
        <w:t>הכרעות</w:t>
      </w:r>
      <w:r w:rsidRPr="00CE3410">
        <w:rPr>
          <w:rFonts w:cs="David"/>
          <w:rtl/>
        </w:rPr>
        <w:t xml:space="preserve"> </w:t>
      </w:r>
      <w:r w:rsidRPr="00CE3410">
        <w:rPr>
          <w:rFonts w:cs="David" w:hint="cs"/>
          <w:rtl/>
        </w:rPr>
        <w:t>בנושא</w:t>
      </w:r>
      <w:r w:rsidRPr="00CE3410">
        <w:rPr>
          <w:rFonts w:cs="David"/>
          <w:rtl/>
        </w:rPr>
        <w:t xml:space="preserve"> </w:t>
      </w:r>
      <w:r w:rsidRPr="00CE3410">
        <w:rPr>
          <w:rFonts w:cs="David" w:hint="cs"/>
          <w:rtl/>
        </w:rPr>
        <w:t>שמתאימות</w:t>
      </w:r>
      <w:r w:rsidRPr="00CE3410">
        <w:rPr>
          <w:rFonts w:cs="David"/>
          <w:rtl/>
        </w:rPr>
        <w:t xml:space="preserve"> </w:t>
      </w:r>
      <w:r w:rsidRPr="00CE3410">
        <w:rPr>
          <w:rFonts w:cs="David" w:hint="cs"/>
          <w:rtl/>
        </w:rPr>
        <w:t>לעבירות</w:t>
      </w:r>
      <w:r w:rsidRPr="00CE3410">
        <w:rPr>
          <w:rFonts w:cs="David"/>
          <w:rtl/>
        </w:rPr>
        <w:t xml:space="preserve"> </w:t>
      </w:r>
      <w:r w:rsidRPr="00CE3410">
        <w:rPr>
          <w:rFonts w:cs="David" w:hint="cs"/>
          <w:rtl/>
        </w:rPr>
        <w:t>ההמתה</w:t>
      </w:r>
      <w:r w:rsidRPr="00CE3410">
        <w:rPr>
          <w:rFonts w:cs="David"/>
          <w:rtl/>
        </w:rPr>
        <w:t xml:space="preserve">, </w:t>
      </w:r>
      <w:r w:rsidRPr="00CE3410">
        <w:rPr>
          <w:rFonts w:cs="David" w:hint="cs"/>
          <w:rtl/>
        </w:rPr>
        <w:t>אך</w:t>
      </w:r>
      <w:r w:rsidRPr="00CE3410">
        <w:rPr>
          <w:rFonts w:cs="David"/>
          <w:rtl/>
        </w:rPr>
        <w:t xml:space="preserve"> </w:t>
      </w:r>
      <w:r w:rsidRPr="00CE3410">
        <w:rPr>
          <w:rFonts w:cs="David" w:hint="cs"/>
          <w:rtl/>
        </w:rPr>
        <w:t>לא</w:t>
      </w:r>
      <w:r w:rsidRPr="00CE3410">
        <w:rPr>
          <w:rFonts w:cs="David"/>
          <w:rtl/>
        </w:rPr>
        <w:t xml:space="preserve"> </w:t>
      </w:r>
      <w:r w:rsidRPr="00CE3410">
        <w:rPr>
          <w:rFonts w:cs="David" w:hint="cs"/>
          <w:rtl/>
        </w:rPr>
        <w:t>בהכרח</w:t>
      </w:r>
      <w:r w:rsidRPr="00CE3410">
        <w:rPr>
          <w:rFonts w:cs="David"/>
          <w:rtl/>
        </w:rPr>
        <w:t xml:space="preserve"> </w:t>
      </w:r>
      <w:r w:rsidRPr="00CE3410">
        <w:rPr>
          <w:rFonts w:cs="David" w:hint="cs"/>
          <w:rtl/>
        </w:rPr>
        <w:t>לעבירות</w:t>
      </w:r>
      <w:r w:rsidRPr="00CE3410">
        <w:rPr>
          <w:rFonts w:cs="David"/>
          <w:rtl/>
        </w:rPr>
        <w:t xml:space="preserve"> </w:t>
      </w:r>
      <w:r w:rsidRPr="00CE3410">
        <w:rPr>
          <w:rFonts w:cs="David" w:hint="cs"/>
          <w:rtl/>
        </w:rPr>
        <w:t>אחרות</w:t>
      </w:r>
      <w:r w:rsidRPr="00CE3410">
        <w:rPr>
          <w:rFonts w:cs="David"/>
          <w:rtl/>
        </w:rPr>
        <w:t xml:space="preserve">.  </w:t>
      </w:r>
    </w:p>
  </w:footnote>
  <w:footnote w:id="5">
    <w:p w:rsidR="00324C21" w:rsidRPr="00CE3410" w:rsidRDefault="00324C21" w:rsidP="00324C21">
      <w:pPr>
        <w:pStyle w:val="a4"/>
        <w:rPr>
          <w:rFonts w:cs="David"/>
          <w:rtl/>
        </w:rPr>
      </w:pPr>
      <w:r w:rsidRPr="00CE3410">
        <w:rPr>
          <w:rStyle w:val="a6"/>
          <w:rFonts w:cs="David"/>
        </w:rPr>
        <w:footnoteRef/>
      </w:r>
      <w:r w:rsidRPr="00CE3410">
        <w:rPr>
          <w:rFonts w:cs="David"/>
          <w:rtl/>
        </w:rPr>
        <w:t xml:space="preserve"> </w:t>
      </w:r>
      <w:r w:rsidRPr="00CE3410">
        <w:rPr>
          <w:rFonts w:cs="David" w:hint="cs"/>
          <w:rtl/>
        </w:rPr>
        <w:t xml:space="preserve">במאמרה "הרפורמה המוצעת לעבירות ההמתה במשפט הישראלי לאור עקרון האשמה", </w:t>
      </w:r>
      <w:r w:rsidRPr="00CE3410">
        <w:rPr>
          <w:rFonts w:cs="David" w:hint="cs"/>
          <w:b/>
          <w:bCs/>
          <w:rtl/>
        </w:rPr>
        <w:t>משפטים</w:t>
      </w:r>
      <w:r>
        <w:rPr>
          <w:rFonts w:cs="David" w:hint="cs"/>
          <w:b/>
          <w:bCs/>
          <w:rtl/>
        </w:rPr>
        <w:t xml:space="preserve"> על אתר</w:t>
      </w:r>
      <w:r w:rsidRPr="00CE3410">
        <w:rPr>
          <w:rFonts w:cs="David" w:hint="cs"/>
          <w:rtl/>
        </w:rPr>
        <w:t>, התשע"ג.</w:t>
      </w:r>
    </w:p>
  </w:footnote>
  <w:footnote w:id="6">
    <w:p w:rsidR="00324C21" w:rsidRPr="00CE3410" w:rsidRDefault="00324C21" w:rsidP="00324C21">
      <w:pPr>
        <w:pStyle w:val="a4"/>
        <w:rPr>
          <w:rFonts w:cs="David"/>
          <w:rtl/>
        </w:rPr>
      </w:pPr>
      <w:r w:rsidRPr="00CE3410">
        <w:rPr>
          <w:rStyle w:val="a6"/>
          <w:rFonts w:cs="David"/>
        </w:rPr>
        <w:footnoteRef/>
      </w:r>
      <w:r w:rsidRPr="00CE3410">
        <w:rPr>
          <w:rFonts w:cs="David"/>
          <w:rtl/>
        </w:rPr>
        <w:t xml:space="preserve"> </w:t>
      </w:r>
      <w:bookmarkStart w:id="5" w:name="casename_body"/>
      <w:r w:rsidRPr="00CE3410">
        <w:rPr>
          <w:rFonts w:cs="David"/>
          <w:rtl/>
        </w:rPr>
        <w:t>ע"פ  6294/11</w:t>
      </w:r>
      <w:bookmarkEnd w:id="5"/>
      <w:r w:rsidRPr="00CE3410">
        <w:rPr>
          <w:rFonts w:cs="David" w:hint="cs"/>
          <w:rtl/>
        </w:rPr>
        <w:t xml:space="preserve"> </w:t>
      </w:r>
      <w:r w:rsidRPr="00CE3410">
        <w:rPr>
          <w:rFonts w:cs="David" w:hint="cs"/>
          <w:b/>
          <w:bCs/>
          <w:rtl/>
        </w:rPr>
        <w:t>פלוני נגד מדינת ישראל</w:t>
      </w:r>
      <w:r w:rsidRPr="00CE3410">
        <w:rPr>
          <w:rFonts w:cs="David" w:hint="cs"/>
          <w:rtl/>
        </w:rPr>
        <w:t xml:space="preserve"> (ניתן ביום 20.2.14).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1A24BA"/>
    <w:multiLevelType w:val="hybridMultilevel"/>
    <w:tmpl w:val="59AEC72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42987333"/>
    <w:multiLevelType w:val="hybridMultilevel"/>
    <w:tmpl w:val="FFFA9E68"/>
    <w:lvl w:ilvl="0" w:tplc="D5000F1C">
      <w:start w:val="1"/>
      <w:numFmt w:val="decimal"/>
      <w:lvlText w:val="(%1)"/>
      <w:lvlJc w:val="left"/>
      <w:pPr>
        <w:ind w:left="1471" w:hanging="450"/>
      </w:pPr>
      <w:rPr>
        <w:rFonts w:hint="default"/>
      </w:rPr>
    </w:lvl>
    <w:lvl w:ilvl="1" w:tplc="04090019" w:tentative="1">
      <w:start w:val="1"/>
      <w:numFmt w:val="lowerLetter"/>
      <w:lvlText w:val="%2."/>
      <w:lvlJc w:val="left"/>
      <w:pPr>
        <w:ind w:left="2101" w:hanging="360"/>
      </w:pPr>
    </w:lvl>
    <w:lvl w:ilvl="2" w:tplc="0409001B" w:tentative="1">
      <w:start w:val="1"/>
      <w:numFmt w:val="lowerRoman"/>
      <w:lvlText w:val="%3."/>
      <w:lvlJc w:val="right"/>
      <w:pPr>
        <w:ind w:left="2821" w:hanging="180"/>
      </w:pPr>
    </w:lvl>
    <w:lvl w:ilvl="3" w:tplc="0409000F" w:tentative="1">
      <w:start w:val="1"/>
      <w:numFmt w:val="decimal"/>
      <w:lvlText w:val="%4."/>
      <w:lvlJc w:val="left"/>
      <w:pPr>
        <w:ind w:left="3541" w:hanging="360"/>
      </w:pPr>
    </w:lvl>
    <w:lvl w:ilvl="4" w:tplc="04090019" w:tentative="1">
      <w:start w:val="1"/>
      <w:numFmt w:val="lowerLetter"/>
      <w:lvlText w:val="%5."/>
      <w:lvlJc w:val="left"/>
      <w:pPr>
        <w:ind w:left="4261" w:hanging="360"/>
      </w:pPr>
    </w:lvl>
    <w:lvl w:ilvl="5" w:tplc="0409001B" w:tentative="1">
      <w:start w:val="1"/>
      <w:numFmt w:val="lowerRoman"/>
      <w:lvlText w:val="%6."/>
      <w:lvlJc w:val="right"/>
      <w:pPr>
        <w:ind w:left="4981" w:hanging="180"/>
      </w:pPr>
    </w:lvl>
    <w:lvl w:ilvl="6" w:tplc="0409000F" w:tentative="1">
      <w:start w:val="1"/>
      <w:numFmt w:val="decimal"/>
      <w:lvlText w:val="%7."/>
      <w:lvlJc w:val="left"/>
      <w:pPr>
        <w:ind w:left="5701" w:hanging="360"/>
      </w:pPr>
    </w:lvl>
    <w:lvl w:ilvl="7" w:tplc="04090019" w:tentative="1">
      <w:start w:val="1"/>
      <w:numFmt w:val="lowerLetter"/>
      <w:lvlText w:val="%8."/>
      <w:lvlJc w:val="left"/>
      <w:pPr>
        <w:ind w:left="6421" w:hanging="360"/>
      </w:pPr>
    </w:lvl>
    <w:lvl w:ilvl="8" w:tplc="0409001B" w:tentative="1">
      <w:start w:val="1"/>
      <w:numFmt w:val="lowerRoman"/>
      <w:lvlText w:val="%9."/>
      <w:lvlJc w:val="right"/>
      <w:pPr>
        <w:ind w:left="7141" w:hanging="180"/>
      </w:pPr>
    </w:lvl>
  </w:abstractNum>
  <w:abstractNum w:abstractNumId="2" w15:restartNumberingAfterBreak="0">
    <w:nsid w:val="51CB128D"/>
    <w:multiLevelType w:val="hybridMultilevel"/>
    <w:tmpl w:val="E3862540"/>
    <w:lvl w:ilvl="0" w:tplc="272C360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8140824"/>
    <w:multiLevelType w:val="hybridMultilevel"/>
    <w:tmpl w:val="4D46D9C8"/>
    <w:lvl w:ilvl="0" w:tplc="25CC68C2">
      <w:start w:val="1"/>
      <w:numFmt w:val="bullet"/>
      <w:lvlText w:val="-"/>
      <w:lvlJc w:val="left"/>
      <w:pPr>
        <w:ind w:left="720" w:hanging="360"/>
      </w:pPr>
      <w:rPr>
        <w:rFonts w:ascii="Times New Roman" w:eastAsia="Times New Roman" w:hAnsi="Times New Roman"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34C3"/>
    <w:rsid w:val="00324C21"/>
    <w:rsid w:val="005534C3"/>
    <w:rsid w:val="0062112B"/>
    <w:rsid w:val="00B22104"/>
    <w:rsid w:val="00FD3A5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CE5614D-E630-4D3A-8017-4852892310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24C21"/>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24C21"/>
    <w:pPr>
      <w:ind w:left="720"/>
      <w:contextualSpacing/>
    </w:pPr>
  </w:style>
  <w:style w:type="paragraph" w:customStyle="1" w:styleId="p00">
    <w:name w:val="p00"/>
    <w:basedOn w:val="a"/>
    <w:rsid w:val="00324C21"/>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ig-number">
    <w:name w:val="big-number"/>
    <w:basedOn w:val="a0"/>
    <w:rsid w:val="00324C21"/>
  </w:style>
  <w:style w:type="character" w:customStyle="1" w:styleId="apple-converted-space">
    <w:name w:val="apple-converted-space"/>
    <w:basedOn w:val="a0"/>
    <w:rsid w:val="00324C21"/>
  </w:style>
  <w:style w:type="character" w:customStyle="1" w:styleId="default">
    <w:name w:val="default"/>
    <w:basedOn w:val="a0"/>
    <w:rsid w:val="00324C21"/>
  </w:style>
  <w:style w:type="paragraph" w:customStyle="1" w:styleId="p22">
    <w:name w:val="p22"/>
    <w:basedOn w:val="a"/>
    <w:rsid w:val="00324C21"/>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3">
    <w:name w:val="p33"/>
    <w:basedOn w:val="a"/>
    <w:rsid w:val="00324C21"/>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a4">
    <w:name w:val="footnote text"/>
    <w:basedOn w:val="a"/>
    <w:link w:val="a5"/>
    <w:uiPriority w:val="99"/>
    <w:semiHidden/>
    <w:unhideWhenUsed/>
    <w:rsid w:val="00324C21"/>
    <w:pPr>
      <w:spacing w:after="0" w:line="240" w:lineRule="auto"/>
    </w:pPr>
    <w:rPr>
      <w:sz w:val="20"/>
      <w:szCs w:val="20"/>
    </w:rPr>
  </w:style>
  <w:style w:type="character" w:customStyle="1" w:styleId="a5">
    <w:name w:val="טקסט הערת שוליים תו"/>
    <w:basedOn w:val="a0"/>
    <w:link w:val="a4"/>
    <w:uiPriority w:val="99"/>
    <w:semiHidden/>
    <w:rsid w:val="00324C21"/>
    <w:rPr>
      <w:sz w:val="20"/>
      <w:szCs w:val="20"/>
    </w:rPr>
  </w:style>
  <w:style w:type="character" w:styleId="a6">
    <w:name w:val="footnote reference"/>
    <w:basedOn w:val="a0"/>
    <w:uiPriority w:val="99"/>
    <w:semiHidden/>
    <w:unhideWhenUsed/>
    <w:rsid w:val="00324C21"/>
    <w:rPr>
      <w:vertAlign w:val="superscript"/>
    </w:rPr>
  </w:style>
  <w:style w:type="paragraph" w:customStyle="1" w:styleId="TableBlock">
    <w:name w:val="Table Block"/>
    <w:basedOn w:val="a"/>
    <w:rsid w:val="00324C21"/>
    <w:pPr>
      <w:keepLines/>
      <w:widowControl w:val="0"/>
      <w:tabs>
        <w:tab w:val="left" w:pos="624"/>
        <w:tab w:val="left" w:pos="1247"/>
      </w:tabs>
      <w:autoSpaceDE w:val="0"/>
      <w:autoSpaceDN w:val="0"/>
      <w:adjustRightInd w:val="0"/>
      <w:snapToGrid w:val="0"/>
      <w:spacing w:after="0" w:line="360" w:lineRule="auto"/>
      <w:jc w:val="both"/>
      <w:textAlignment w:val="center"/>
    </w:pPr>
    <w:rPr>
      <w:rFonts w:ascii="Arial" w:eastAsia="Arial Unicode MS" w:hAnsi="Arial" w:cs="David"/>
      <w:snapToGrid w:val="0"/>
      <w:color w:val="000000"/>
      <w:sz w:val="20"/>
      <w:szCs w:val="26"/>
      <w:lang w:eastAsia="ja-JP"/>
    </w:rPr>
  </w:style>
  <w:style w:type="paragraph" w:customStyle="1" w:styleId="P220">
    <w:name w:val="P22"/>
    <w:basedOn w:val="a"/>
    <w:rsid w:val="00324C21"/>
    <w:pPr>
      <w:widowControl w:val="0"/>
      <w:tabs>
        <w:tab w:val="left" w:pos="1474"/>
        <w:tab w:val="left" w:pos="1928"/>
        <w:tab w:val="left" w:pos="2381"/>
        <w:tab w:val="left" w:pos="2835"/>
        <w:tab w:val="right" w:leader="dot" w:pos="6259"/>
      </w:tabs>
      <w:suppressAutoHyphens/>
      <w:autoSpaceDE w:val="0"/>
      <w:autoSpaceDN w:val="0"/>
      <w:spacing w:before="60" w:after="0" w:line="240" w:lineRule="auto"/>
      <w:ind w:left="2835" w:right="1021"/>
      <w:jc w:val="both"/>
    </w:pPr>
    <w:rPr>
      <w:rFonts w:ascii="Times New Roman" w:eastAsia="Times New Roman" w:hAnsi="Times New Roman" w:cs="Times New Roman"/>
      <w:noProof/>
      <w:sz w:val="20"/>
      <w:szCs w:val="26"/>
      <w:lang w:eastAsia="he-IL"/>
    </w:rPr>
  </w:style>
  <w:style w:type="paragraph" w:styleId="a7">
    <w:name w:val="footer"/>
    <w:basedOn w:val="a"/>
    <w:link w:val="a8"/>
    <w:uiPriority w:val="99"/>
    <w:unhideWhenUsed/>
    <w:rsid w:val="00324C21"/>
    <w:pPr>
      <w:tabs>
        <w:tab w:val="center" w:pos="4153"/>
        <w:tab w:val="right" w:pos="8306"/>
      </w:tabs>
      <w:spacing w:after="0" w:line="240" w:lineRule="auto"/>
    </w:pPr>
  </w:style>
  <w:style w:type="character" w:customStyle="1" w:styleId="a8">
    <w:name w:val="כותרת תחתונה תו"/>
    <w:basedOn w:val="a0"/>
    <w:link w:val="a7"/>
    <w:uiPriority w:val="99"/>
    <w:rsid w:val="00324C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22B7DB0-3A04-4C2A-B35F-F7FC48510F09}"/>
</file>

<file path=customXml/itemProps2.xml><?xml version="1.0" encoding="utf-8"?>
<ds:datastoreItem xmlns:ds="http://schemas.openxmlformats.org/officeDocument/2006/customXml" ds:itemID="{FDD126BE-9116-4395-A880-70D42563EAA9}"/>
</file>

<file path=customXml/itemProps3.xml><?xml version="1.0" encoding="utf-8"?>
<ds:datastoreItem xmlns:ds="http://schemas.openxmlformats.org/officeDocument/2006/customXml" ds:itemID="{47D59731-CBBD-4636-B866-A97233AFC2E2}"/>
</file>

<file path=docProps/app.xml><?xml version="1.0" encoding="utf-8"?>
<Properties xmlns="http://schemas.openxmlformats.org/officeDocument/2006/extended-properties" xmlns:vt="http://schemas.openxmlformats.org/officeDocument/2006/docPropsVTypes">
  <Template>Normal</Template>
  <TotalTime>1</TotalTime>
  <Pages>7</Pages>
  <Words>2202</Words>
  <Characters>11012</Characters>
  <Application>Microsoft Office Word</Application>
  <DocSecurity>4</DocSecurity>
  <Lines>91</Lines>
  <Paragraphs>26</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13188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נועה ברודסקי לוי</dc:creator>
  <cp:keywords/>
  <dc:description/>
  <cp:lastModifiedBy>חופית עלפי</cp:lastModifiedBy>
  <cp:revision>2</cp:revision>
  <dcterms:created xsi:type="dcterms:W3CDTF">2016-11-06T11:20:00Z</dcterms:created>
  <dcterms:modified xsi:type="dcterms:W3CDTF">2016-11-06T11:20:00Z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2007511</vt:r8>
  </property>
</Properties>
</file>