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92F" w:rsidRPr="004010BB" w:rsidRDefault="006B592F" w:rsidP="006B592F">
      <w:pPr>
        <w:spacing w:before="0" w:line="240" w:lineRule="auto"/>
        <w:ind w:left="5040" w:firstLine="720"/>
        <w:jc w:val="center"/>
        <w:rPr>
          <w:rFonts w:cs="David"/>
          <w:sz w:val="24"/>
          <w:szCs w:val="24"/>
          <w:rtl/>
        </w:rPr>
      </w:pPr>
      <w:r w:rsidRPr="004010BB">
        <w:rPr>
          <w:rFonts w:cs="David" w:hint="cs"/>
          <w:sz w:val="24"/>
          <w:szCs w:val="24"/>
          <w:rtl/>
        </w:rPr>
        <w:t xml:space="preserve">ה' בחשון  </w:t>
      </w:r>
      <w:proofErr w:type="spellStart"/>
      <w:r w:rsidRPr="004010BB">
        <w:rPr>
          <w:rFonts w:cs="David" w:hint="cs"/>
          <w:sz w:val="24"/>
          <w:szCs w:val="24"/>
          <w:rtl/>
        </w:rPr>
        <w:t>התשע"ז</w:t>
      </w:r>
      <w:proofErr w:type="spellEnd"/>
    </w:p>
    <w:p w:rsidR="006B592F" w:rsidRPr="004010BB" w:rsidRDefault="006B592F" w:rsidP="006B592F">
      <w:pPr>
        <w:spacing w:before="0" w:line="240" w:lineRule="auto"/>
        <w:rPr>
          <w:rFonts w:cs="David"/>
          <w:sz w:val="24"/>
          <w:szCs w:val="24"/>
          <w:rtl/>
        </w:rPr>
      </w:pPr>
      <w:r w:rsidRPr="004010BB">
        <w:rPr>
          <w:rFonts w:cs="David" w:hint="cs"/>
          <w:sz w:val="24"/>
          <w:szCs w:val="24"/>
          <w:rtl/>
        </w:rPr>
        <w:t xml:space="preserve">   </w:t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>
        <w:rPr>
          <w:rFonts w:cs="David" w:hint="cs"/>
          <w:sz w:val="24"/>
          <w:szCs w:val="24"/>
          <w:rtl/>
        </w:rPr>
        <w:t xml:space="preserve">   </w:t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</w:r>
      <w:r w:rsidRPr="004010BB">
        <w:rPr>
          <w:rFonts w:cs="David" w:hint="cs"/>
          <w:sz w:val="24"/>
          <w:szCs w:val="24"/>
          <w:rtl/>
        </w:rPr>
        <w:tab/>
        <w:t xml:space="preserve">  </w:t>
      </w:r>
      <w:r>
        <w:rPr>
          <w:rFonts w:cs="David" w:hint="cs"/>
          <w:sz w:val="24"/>
          <w:szCs w:val="24"/>
          <w:rtl/>
        </w:rPr>
        <w:t xml:space="preserve">      </w:t>
      </w:r>
      <w:r w:rsidRPr="004010BB">
        <w:rPr>
          <w:rFonts w:cs="David" w:hint="cs"/>
          <w:sz w:val="24"/>
          <w:szCs w:val="24"/>
          <w:rtl/>
        </w:rPr>
        <w:t>6    בנובמבר   2016</w:t>
      </w:r>
    </w:p>
    <w:p w:rsidR="006B592F" w:rsidRPr="004010BB" w:rsidRDefault="006B592F" w:rsidP="006B592F">
      <w:pPr>
        <w:spacing w:before="0" w:line="240" w:lineRule="auto"/>
        <w:rPr>
          <w:rFonts w:cs="David"/>
          <w:sz w:val="24"/>
          <w:szCs w:val="24"/>
          <w:rtl/>
        </w:rPr>
      </w:pPr>
      <w:r w:rsidRPr="004010BB">
        <w:rPr>
          <w:rFonts w:cs="David" w:hint="cs"/>
          <w:sz w:val="24"/>
          <w:szCs w:val="24"/>
          <w:rtl/>
        </w:rPr>
        <w:t>אל: ועדת החוקה חוק ומשפט</w:t>
      </w:r>
    </w:p>
    <w:p w:rsidR="006B592F" w:rsidRPr="004010BB" w:rsidRDefault="006B592F" w:rsidP="006B592F">
      <w:pPr>
        <w:spacing w:before="0" w:line="240" w:lineRule="auto"/>
        <w:rPr>
          <w:rFonts w:cs="David"/>
          <w:sz w:val="24"/>
          <w:szCs w:val="24"/>
          <w:rtl/>
        </w:rPr>
      </w:pPr>
      <w:r w:rsidRPr="004010BB">
        <w:rPr>
          <w:rFonts w:cs="David" w:hint="cs"/>
          <w:sz w:val="24"/>
          <w:szCs w:val="24"/>
          <w:rtl/>
        </w:rPr>
        <w:t>מאת: הייעוץ המשפטי לוועדה</w:t>
      </w:r>
    </w:p>
    <w:p w:rsidR="006B592F" w:rsidRPr="004010BB" w:rsidRDefault="006B592F" w:rsidP="006B592F">
      <w:pPr>
        <w:spacing w:before="0" w:line="240" w:lineRule="auto"/>
        <w:rPr>
          <w:rFonts w:cs="David"/>
          <w:sz w:val="24"/>
          <w:szCs w:val="24"/>
          <w:rtl/>
        </w:rPr>
      </w:pPr>
    </w:p>
    <w:p w:rsidR="006B592F" w:rsidRPr="004010BB" w:rsidRDefault="006B592F" w:rsidP="006B592F">
      <w:pPr>
        <w:spacing w:before="0" w:line="240" w:lineRule="auto"/>
        <w:jc w:val="center"/>
        <w:rPr>
          <w:rFonts w:cs="David"/>
          <w:b/>
          <w:bCs/>
          <w:sz w:val="24"/>
          <w:szCs w:val="24"/>
          <w:u w:val="single"/>
          <w:rtl/>
        </w:rPr>
      </w:pPr>
    </w:p>
    <w:p w:rsidR="001E6676" w:rsidRDefault="001E6676" w:rsidP="001E6676">
      <w:pPr>
        <w:pStyle w:val="TableBlock"/>
        <w:jc w:val="center"/>
        <w:rPr>
          <w:b/>
          <w:bCs/>
          <w:sz w:val="26"/>
          <w:u w:val="single"/>
          <w:rtl/>
        </w:rPr>
      </w:pPr>
      <w:r>
        <w:rPr>
          <w:rFonts w:hint="cs"/>
          <w:b/>
          <w:bCs/>
          <w:sz w:val="26"/>
          <w:u w:val="single"/>
          <w:rtl/>
        </w:rPr>
        <w:t>יסוד נפשי בעבירות ההמתה- נוסחים לדיון</w:t>
      </w:r>
    </w:p>
    <w:p w:rsidR="00250015" w:rsidRPr="00044600" w:rsidRDefault="00250015" w:rsidP="00250015">
      <w:pPr>
        <w:pStyle w:val="TableBlock"/>
        <w:rPr>
          <w:b/>
          <w:bCs/>
          <w:sz w:val="26"/>
          <w:u w:val="single"/>
          <w:rtl/>
        </w:rPr>
      </w:pPr>
      <w:r w:rsidRPr="00044600">
        <w:rPr>
          <w:rFonts w:hint="cs"/>
          <w:b/>
          <w:bCs/>
          <w:sz w:val="26"/>
          <w:u w:val="single"/>
          <w:rtl/>
        </w:rPr>
        <w:t>הצעת החוק הממשלתית:</w:t>
      </w:r>
    </w:p>
    <w:p w:rsidR="00250015" w:rsidRDefault="00250015" w:rsidP="00250015">
      <w:pPr>
        <w:pStyle w:val="TableBlock"/>
        <w:rPr>
          <w:rtl/>
        </w:rPr>
      </w:pPr>
      <w:r w:rsidRPr="00044600">
        <w:rPr>
          <w:rFonts w:hint="cs"/>
          <w:b/>
          <w:bCs/>
          <w:rtl/>
        </w:rPr>
        <w:t>רצח</w:t>
      </w:r>
    </w:p>
    <w:p w:rsidR="00250015" w:rsidRPr="00044600" w:rsidRDefault="00250015" w:rsidP="00250015">
      <w:pPr>
        <w:pStyle w:val="TableBlock"/>
        <w:rPr>
          <w:rtl/>
        </w:rPr>
      </w:pPr>
      <w:r>
        <w:rPr>
          <w:rFonts w:hint="cs"/>
          <w:rtl/>
        </w:rPr>
        <w:t>"ה</w:t>
      </w:r>
      <w:r w:rsidRPr="00194267">
        <w:rPr>
          <w:rFonts w:hint="eastAsia"/>
          <w:rtl/>
        </w:rPr>
        <w:t>גורם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בכוונה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או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באדישות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למותו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של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אדם</w:t>
      </w:r>
      <w:r w:rsidRPr="00044600">
        <w:rPr>
          <w:rtl/>
        </w:rPr>
        <w:t xml:space="preserve">, </w:t>
      </w:r>
      <w:r w:rsidRPr="00194267">
        <w:rPr>
          <w:rFonts w:hint="eastAsia"/>
          <w:rtl/>
        </w:rPr>
        <w:t>דינו</w:t>
      </w:r>
      <w:r w:rsidRPr="00044600">
        <w:rPr>
          <w:rtl/>
        </w:rPr>
        <w:t xml:space="preserve"> – </w:t>
      </w:r>
      <w:r w:rsidRPr="00194267">
        <w:rPr>
          <w:rFonts w:hint="eastAsia"/>
          <w:rtl/>
        </w:rPr>
        <w:t>מא</w:t>
      </w:r>
      <w:bookmarkStart w:id="0" w:name="_GoBack"/>
      <w:bookmarkEnd w:id="0"/>
      <w:r w:rsidRPr="00194267">
        <w:rPr>
          <w:rFonts w:hint="eastAsia"/>
          <w:rtl/>
        </w:rPr>
        <w:t>סר</w:t>
      </w:r>
      <w:r w:rsidRPr="00044600">
        <w:rPr>
          <w:rtl/>
        </w:rPr>
        <w:t xml:space="preserve"> </w:t>
      </w:r>
      <w:r w:rsidRPr="00194267">
        <w:rPr>
          <w:rFonts w:hint="eastAsia"/>
          <w:rtl/>
        </w:rPr>
        <w:t>עולם</w:t>
      </w:r>
      <w:r w:rsidRPr="00044600">
        <w:rPr>
          <w:rtl/>
        </w:rPr>
        <w:t>."</w:t>
      </w:r>
    </w:p>
    <w:p w:rsidR="00250015" w:rsidRPr="00044600" w:rsidRDefault="00250015" w:rsidP="00250015">
      <w:pPr>
        <w:pStyle w:val="TableBlock"/>
        <w:rPr>
          <w:rtl/>
        </w:rPr>
      </w:pPr>
      <w:r w:rsidRPr="00044600">
        <w:rPr>
          <w:rFonts w:hint="cs"/>
          <w:b/>
          <w:bCs/>
          <w:rtl/>
        </w:rPr>
        <w:t>המתה בקלות דעת</w:t>
      </w:r>
    </w:p>
    <w:p w:rsidR="00250015" w:rsidRDefault="00250015" w:rsidP="00250015">
      <w:pPr>
        <w:pStyle w:val="TableBlock"/>
        <w:rPr>
          <w:rtl/>
        </w:rPr>
      </w:pPr>
      <w:r>
        <w:rPr>
          <w:rFonts w:hint="cs"/>
          <w:rtl/>
        </w:rPr>
        <w:t>"</w:t>
      </w:r>
      <w:r w:rsidRPr="00194267">
        <w:rPr>
          <w:rFonts w:hint="eastAsia"/>
          <w:rtl/>
        </w:rPr>
        <w:t>הגורם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למותו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של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אדם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בקלות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דעת</w:t>
      </w:r>
      <w:r w:rsidRPr="00194267">
        <w:rPr>
          <w:szCs w:val="24"/>
          <w:rtl/>
        </w:rPr>
        <w:t xml:space="preserve">, </w:t>
      </w:r>
      <w:r w:rsidRPr="00194267">
        <w:rPr>
          <w:rFonts w:hint="eastAsia"/>
          <w:rtl/>
        </w:rPr>
        <w:t>דינו</w:t>
      </w:r>
      <w:r w:rsidRPr="00194267">
        <w:rPr>
          <w:szCs w:val="24"/>
          <w:rtl/>
        </w:rPr>
        <w:t xml:space="preserve"> </w:t>
      </w:r>
      <w:r>
        <w:rPr>
          <w:szCs w:val="24"/>
          <w:rtl/>
        </w:rPr>
        <w:t>–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מאסר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שתיים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עשרה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שנים</w:t>
      </w:r>
      <w:r w:rsidRPr="00194267">
        <w:rPr>
          <w:szCs w:val="24"/>
          <w:rtl/>
        </w:rPr>
        <w:t>.</w:t>
      </w:r>
      <w:r>
        <w:rPr>
          <w:rFonts w:hint="cs"/>
          <w:szCs w:val="24"/>
          <w:rtl/>
        </w:rPr>
        <w:t>"</w:t>
      </w:r>
    </w:p>
    <w:p w:rsidR="00250015" w:rsidRDefault="00250015" w:rsidP="00250015">
      <w:pPr>
        <w:pStyle w:val="TableBlock"/>
        <w:rPr>
          <w:szCs w:val="24"/>
          <w:rtl/>
        </w:rPr>
      </w:pPr>
    </w:p>
    <w:p w:rsidR="00250015" w:rsidRPr="00044600" w:rsidRDefault="00A25026" w:rsidP="00A25026">
      <w:pPr>
        <w:pStyle w:val="TableBlock"/>
        <w:rPr>
          <w:b/>
          <w:bCs/>
          <w:sz w:val="26"/>
          <w:u w:val="single"/>
          <w:rtl/>
        </w:rPr>
      </w:pPr>
      <w:r>
        <w:rPr>
          <w:rFonts w:hint="cs"/>
          <w:b/>
          <w:bCs/>
          <w:sz w:val="26"/>
          <w:u w:val="single"/>
          <w:rtl/>
        </w:rPr>
        <w:t>חלופה ב'</w:t>
      </w:r>
      <w:r w:rsidR="00250015" w:rsidRPr="00044600">
        <w:rPr>
          <w:rFonts w:hint="cs"/>
          <w:b/>
          <w:bCs/>
          <w:sz w:val="26"/>
          <w:u w:val="single"/>
          <w:rtl/>
        </w:rPr>
        <w:t>: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רצח</w:t>
      </w:r>
    </w:p>
    <w:p w:rsidR="00250015" w:rsidRPr="003C7E32" w:rsidRDefault="00250015" w:rsidP="00250015">
      <w:pPr>
        <w:pStyle w:val="TableBlock"/>
        <w:rPr>
          <w:sz w:val="26"/>
          <w:rtl/>
        </w:rPr>
      </w:pPr>
      <w:r>
        <w:rPr>
          <w:rFonts w:hint="cs"/>
          <w:sz w:val="26"/>
          <w:rtl/>
        </w:rPr>
        <w:t xml:space="preserve">" </w:t>
      </w:r>
      <w:r w:rsidRPr="003C7E32">
        <w:rPr>
          <w:rFonts w:hint="cs"/>
          <w:sz w:val="26"/>
          <w:rtl/>
        </w:rPr>
        <w:t xml:space="preserve">הגורם בכוונה למותו של אדם או הגורם למותו של אדם בכוונה להטיל באדם נכות או מום, או לגרום לו חבלה חמורה [[ובפזיזות לעניין התוצאה]]. </w:t>
      </w:r>
      <w:r w:rsidRPr="003C7E32">
        <w:rPr>
          <w:sz w:val="26"/>
          <w:rtl/>
        </w:rPr>
        <w:t>ל</w:t>
      </w:r>
      <w:r w:rsidRPr="003C7E32">
        <w:rPr>
          <w:rFonts w:hint="cs"/>
          <w:sz w:val="26"/>
          <w:rtl/>
        </w:rPr>
        <w:t>ענ</w:t>
      </w:r>
      <w:r w:rsidRPr="003C7E32">
        <w:rPr>
          <w:sz w:val="26"/>
          <w:rtl/>
        </w:rPr>
        <w:t>י</w:t>
      </w:r>
      <w:r w:rsidRPr="003C7E32">
        <w:rPr>
          <w:rFonts w:hint="cs"/>
          <w:sz w:val="26"/>
          <w:rtl/>
        </w:rPr>
        <w:t>י</w:t>
      </w:r>
      <w:r w:rsidRPr="003C7E32">
        <w:rPr>
          <w:sz w:val="26"/>
          <w:rtl/>
        </w:rPr>
        <w:t>ן</w:t>
      </w:r>
      <w:r w:rsidRPr="003C7E32">
        <w:rPr>
          <w:rFonts w:hint="cs"/>
          <w:sz w:val="26"/>
          <w:rtl/>
        </w:rPr>
        <w:t xml:space="preserve"> זה, ראייה מראש את התרחשות התוצאות, כאפשרות קרובה לוודאי, כמוה כמטרה לגרמן. </w:t>
      </w:r>
    </w:p>
    <w:p w:rsidR="00250015" w:rsidRDefault="00250015" w:rsidP="00250015">
      <w:pPr>
        <w:pStyle w:val="TableBlock"/>
        <w:rPr>
          <w:sz w:val="24"/>
          <w:szCs w:val="24"/>
          <w:rtl/>
        </w:rPr>
      </w:pPr>
      <w:r w:rsidRPr="003C7E32">
        <w:rPr>
          <w:rFonts w:hint="cs"/>
          <w:sz w:val="24"/>
          <w:szCs w:val="24"/>
          <w:rtl/>
        </w:rPr>
        <w:t>חלופה זו כמעט זהה להצעת החוק של חה"כ סלומינסקי בדבר רצח מדרגה שנייה- "גורם למותו של אדם בכוונה לגרום לו חבלה חמורה או תוך שראה מראש את גרימת המוות כאפשרות קרובה לוודאי.")</w:t>
      </w:r>
    </w:p>
    <w:p w:rsidR="00250015" w:rsidRDefault="00250015" w:rsidP="00250015">
      <w:pPr>
        <w:pStyle w:val="TableBlock"/>
        <w:rPr>
          <w:rtl/>
        </w:rPr>
      </w:pPr>
      <w:r w:rsidRPr="00044600">
        <w:rPr>
          <w:rFonts w:hint="cs"/>
          <w:b/>
          <w:bCs/>
          <w:rtl/>
        </w:rPr>
        <w:t>הריגה</w:t>
      </w:r>
    </w:p>
    <w:p w:rsidR="00250015" w:rsidRDefault="00250015" w:rsidP="00250015">
      <w:pPr>
        <w:pStyle w:val="TableBlock"/>
        <w:rPr>
          <w:sz w:val="24"/>
          <w:szCs w:val="24"/>
          <w:rtl/>
        </w:rPr>
      </w:pPr>
      <w:r>
        <w:rPr>
          <w:rFonts w:hint="cs"/>
          <w:rtl/>
        </w:rPr>
        <w:t>"ה</w:t>
      </w:r>
      <w:r w:rsidRPr="00194267">
        <w:rPr>
          <w:rFonts w:hint="eastAsia"/>
          <w:rtl/>
        </w:rPr>
        <w:t>גורם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למותו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של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אדם</w:t>
      </w:r>
      <w:r w:rsidRPr="00194267">
        <w:rPr>
          <w:szCs w:val="24"/>
          <w:rtl/>
        </w:rPr>
        <w:t xml:space="preserve">, </w:t>
      </w:r>
      <w:r w:rsidRPr="00194267">
        <w:rPr>
          <w:rFonts w:hint="eastAsia"/>
          <w:rtl/>
        </w:rPr>
        <w:t>דינו</w:t>
      </w:r>
      <w:r w:rsidRPr="00194267">
        <w:rPr>
          <w:szCs w:val="24"/>
          <w:rtl/>
        </w:rPr>
        <w:t xml:space="preserve"> </w:t>
      </w:r>
      <w:r>
        <w:rPr>
          <w:szCs w:val="24"/>
          <w:rtl/>
        </w:rPr>
        <w:t>–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מאסר</w:t>
      </w:r>
      <w:r w:rsidRPr="00194267">
        <w:rPr>
          <w:szCs w:val="24"/>
          <w:rtl/>
        </w:rPr>
        <w:t xml:space="preserve"> </w:t>
      </w:r>
      <w:r>
        <w:rPr>
          <w:rFonts w:hint="cs"/>
          <w:rtl/>
        </w:rPr>
        <w:t xml:space="preserve">עשרים </w:t>
      </w:r>
      <w:r w:rsidRPr="00194267">
        <w:rPr>
          <w:rFonts w:hint="eastAsia"/>
          <w:rtl/>
        </w:rPr>
        <w:t>שנים</w:t>
      </w:r>
      <w:r w:rsidRPr="00194267">
        <w:rPr>
          <w:szCs w:val="24"/>
          <w:rtl/>
        </w:rPr>
        <w:t>.</w:t>
      </w:r>
      <w:r>
        <w:rPr>
          <w:rFonts w:hint="cs"/>
          <w:sz w:val="24"/>
          <w:szCs w:val="24"/>
          <w:rtl/>
        </w:rPr>
        <w:t>"</w:t>
      </w:r>
    </w:p>
    <w:p w:rsidR="00250015" w:rsidRPr="003C7E32" w:rsidRDefault="00250015" w:rsidP="00250015">
      <w:pPr>
        <w:pStyle w:val="TableBlock"/>
        <w:rPr>
          <w:sz w:val="24"/>
          <w:szCs w:val="24"/>
          <w:rtl/>
        </w:rPr>
      </w:pPr>
    </w:p>
    <w:p w:rsidR="00250015" w:rsidRPr="00044600" w:rsidRDefault="00250015" w:rsidP="00A25026">
      <w:pPr>
        <w:pStyle w:val="TableBlock"/>
        <w:rPr>
          <w:b/>
          <w:bCs/>
          <w:sz w:val="26"/>
          <w:u w:val="single"/>
          <w:rtl/>
        </w:rPr>
      </w:pPr>
      <w:r w:rsidRPr="00044600">
        <w:rPr>
          <w:rFonts w:hint="cs"/>
          <w:b/>
          <w:bCs/>
          <w:sz w:val="26"/>
          <w:u w:val="single"/>
          <w:rtl/>
        </w:rPr>
        <w:t>חלופה</w:t>
      </w:r>
      <w:r w:rsidR="00A25026">
        <w:rPr>
          <w:rFonts w:hint="cs"/>
          <w:b/>
          <w:bCs/>
          <w:sz w:val="26"/>
          <w:u w:val="single"/>
          <w:rtl/>
        </w:rPr>
        <w:t xml:space="preserve"> ג'</w:t>
      </w:r>
      <w:r w:rsidRPr="00044600">
        <w:rPr>
          <w:rFonts w:hint="cs"/>
          <w:b/>
          <w:bCs/>
          <w:sz w:val="26"/>
          <w:u w:val="single"/>
          <w:rtl/>
        </w:rPr>
        <w:t>: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רצח</w:t>
      </w:r>
    </w:p>
    <w:p w:rsidR="00250015" w:rsidRDefault="00250015" w:rsidP="00250015">
      <w:pPr>
        <w:pStyle w:val="TableBlock"/>
        <w:rPr>
          <w:sz w:val="26"/>
          <w:rtl/>
        </w:rPr>
      </w:pPr>
      <w:r>
        <w:rPr>
          <w:rFonts w:hint="cs"/>
          <w:sz w:val="26"/>
          <w:rtl/>
        </w:rPr>
        <w:t xml:space="preserve">"הגורם בכוונה למותו של אדם </w:t>
      </w:r>
      <w:r>
        <w:rPr>
          <w:sz w:val="26"/>
          <w:rtl/>
        </w:rPr>
        <w:t>–</w:t>
      </w:r>
      <w:r>
        <w:rPr>
          <w:rFonts w:hint="cs"/>
          <w:sz w:val="26"/>
          <w:rtl/>
        </w:rPr>
        <w:t xml:space="preserve"> דינו מאסר עולם."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הריגה בנסיבות מחמירות</w:t>
      </w:r>
    </w:p>
    <w:p w:rsidR="00250015" w:rsidRDefault="00250015" w:rsidP="00250015">
      <w:pPr>
        <w:pStyle w:val="TableBlock"/>
        <w:rPr>
          <w:sz w:val="26"/>
          <w:rtl/>
        </w:rPr>
      </w:pPr>
      <w:r w:rsidRPr="003C7E32">
        <w:rPr>
          <w:rFonts w:hint="cs"/>
          <w:sz w:val="26"/>
          <w:rtl/>
        </w:rPr>
        <w:t>כמפורט להלן (בדומה להצעה של פרופ' גור-אריה)</w:t>
      </w:r>
      <w:r>
        <w:rPr>
          <w:rFonts w:hint="cs"/>
          <w:sz w:val="26"/>
          <w:rtl/>
        </w:rPr>
        <w:t>.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הריגה</w:t>
      </w:r>
    </w:p>
    <w:p w:rsidR="00250015" w:rsidRDefault="00250015" w:rsidP="00250015">
      <w:pPr>
        <w:pStyle w:val="TableBlock"/>
        <w:rPr>
          <w:sz w:val="24"/>
          <w:szCs w:val="24"/>
          <w:rtl/>
        </w:rPr>
      </w:pPr>
      <w:r>
        <w:rPr>
          <w:rFonts w:hint="cs"/>
          <w:sz w:val="26"/>
          <w:rtl/>
        </w:rPr>
        <w:t>"הגורם למותו של אדם,</w:t>
      </w:r>
      <w:r w:rsidRPr="00194267">
        <w:rPr>
          <w:rFonts w:hint="eastAsia"/>
          <w:rtl/>
        </w:rPr>
        <w:t xml:space="preserve"> דינו</w:t>
      </w:r>
      <w:r w:rsidRPr="00194267">
        <w:rPr>
          <w:szCs w:val="24"/>
          <w:rtl/>
        </w:rPr>
        <w:t xml:space="preserve"> </w:t>
      </w:r>
      <w:r>
        <w:rPr>
          <w:szCs w:val="24"/>
          <w:rtl/>
        </w:rPr>
        <w:t>–</w:t>
      </w:r>
      <w:r w:rsidRPr="00194267">
        <w:rPr>
          <w:szCs w:val="24"/>
          <w:rtl/>
        </w:rPr>
        <w:t xml:space="preserve"> </w:t>
      </w:r>
      <w:r w:rsidRPr="00194267">
        <w:rPr>
          <w:rFonts w:hint="eastAsia"/>
          <w:rtl/>
        </w:rPr>
        <w:t>מאסר</w:t>
      </w:r>
      <w:r w:rsidRPr="00194267">
        <w:rPr>
          <w:szCs w:val="24"/>
          <w:rtl/>
        </w:rPr>
        <w:t xml:space="preserve"> </w:t>
      </w:r>
      <w:r>
        <w:rPr>
          <w:rFonts w:hint="cs"/>
          <w:rtl/>
        </w:rPr>
        <w:t xml:space="preserve">עשרים </w:t>
      </w:r>
      <w:r w:rsidRPr="00194267">
        <w:rPr>
          <w:rFonts w:hint="eastAsia"/>
          <w:rtl/>
        </w:rPr>
        <w:t>שנים</w:t>
      </w:r>
      <w:r w:rsidRPr="00194267">
        <w:rPr>
          <w:szCs w:val="24"/>
          <w:rtl/>
        </w:rPr>
        <w:t>.</w:t>
      </w:r>
      <w:r>
        <w:rPr>
          <w:rFonts w:hint="cs"/>
          <w:sz w:val="24"/>
          <w:szCs w:val="24"/>
          <w:rtl/>
        </w:rPr>
        <w:t>"</w:t>
      </w:r>
    </w:p>
    <w:p w:rsidR="00250015" w:rsidRPr="003C7E32" w:rsidRDefault="00250015" w:rsidP="00250015">
      <w:pPr>
        <w:pStyle w:val="TableBlock"/>
        <w:rPr>
          <w:sz w:val="26"/>
          <w:rtl/>
        </w:rPr>
      </w:pPr>
    </w:p>
    <w:p w:rsidR="00250015" w:rsidRPr="00044600" w:rsidRDefault="00250015" w:rsidP="00A25026">
      <w:pPr>
        <w:pStyle w:val="TableBlock"/>
        <w:rPr>
          <w:b/>
          <w:bCs/>
          <w:sz w:val="26"/>
          <w:u w:val="single"/>
          <w:rtl/>
        </w:rPr>
      </w:pPr>
      <w:r w:rsidRPr="00044600">
        <w:rPr>
          <w:rFonts w:hint="cs"/>
          <w:b/>
          <w:bCs/>
          <w:sz w:val="26"/>
          <w:u w:val="single"/>
          <w:rtl/>
        </w:rPr>
        <w:t xml:space="preserve">חלופה </w:t>
      </w:r>
      <w:r w:rsidR="00A25026">
        <w:rPr>
          <w:rFonts w:hint="cs"/>
          <w:b/>
          <w:bCs/>
          <w:sz w:val="26"/>
          <w:u w:val="single"/>
          <w:rtl/>
        </w:rPr>
        <w:t>ד'</w:t>
      </w:r>
      <w:r w:rsidRPr="00044600">
        <w:rPr>
          <w:rFonts w:hint="cs"/>
          <w:b/>
          <w:bCs/>
          <w:sz w:val="26"/>
          <w:u w:val="single"/>
          <w:rtl/>
        </w:rPr>
        <w:t>:</w:t>
      </w:r>
    </w:p>
    <w:p w:rsidR="00250015" w:rsidRDefault="00250015" w:rsidP="00250015">
      <w:pPr>
        <w:pStyle w:val="TableBlock"/>
        <w:rPr>
          <w:sz w:val="26"/>
          <w:rtl/>
        </w:rPr>
      </w:pPr>
      <w:r w:rsidRPr="003C7E32">
        <w:rPr>
          <w:rFonts w:hint="cs"/>
          <w:sz w:val="26"/>
          <w:rtl/>
        </w:rPr>
        <w:t>הצעת הסניגוריה הציבורית</w:t>
      </w:r>
      <w:r>
        <w:rPr>
          <w:rFonts w:hint="cs"/>
          <w:sz w:val="26"/>
          <w:rtl/>
        </w:rPr>
        <w:t>: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רצח</w:t>
      </w:r>
    </w:p>
    <w:p w:rsidR="00250015" w:rsidRDefault="00250015" w:rsidP="00250015">
      <w:pPr>
        <w:pStyle w:val="TableBlock"/>
        <w:rPr>
          <w:sz w:val="26"/>
          <w:rtl/>
        </w:rPr>
      </w:pPr>
      <w:r>
        <w:rPr>
          <w:rFonts w:hint="cs"/>
          <w:sz w:val="26"/>
          <w:rtl/>
        </w:rPr>
        <w:t>"</w:t>
      </w:r>
      <w:r w:rsidRPr="003C7E32">
        <w:rPr>
          <w:rFonts w:hint="cs"/>
          <w:sz w:val="26"/>
          <w:rtl/>
        </w:rPr>
        <w:t>הגורם בכוונה למותו של אדם</w:t>
      </w:r>
      <w:r w:rsidRPr="003C7E32">
        <w:rPr>
          <w:sz w:val="26"/>
          <w:rtl/>
        </w:rPr>
        <w:softHyphen/>
      </w:r>
      <w:r w:rsidRPr="003C7E32">
        <w:rPr>
          <w:rFonts w:hint="cs"/>
          <w:sz w:val="26"/>
          <w:rtl/>
        </w:rPr>
        <w:t>" (מוצע שהלכת הצפיות לא תחול).</w:t>
      </w:r>
    </w:p>
    <w:p w:rsidR="00250015" w:rsidRPr="00044600" w:rsidRDefault="00250015" w:rsidP="00250015">
      <w:pPr>
        <w:pStyle w:val="TableBlock"/>
        <w:rPr>
          <w:b/>
          <w:bCs/>
          <w:sz w:val="26"/>
          <w:rtl/>
        </w:rPr>
      </w:pPr>
      <w:r w:rsidRPr="00044600">
        <w:rPr>
          <w:rFonts w:hint="cs"/>
          <w:b/>
          <w:bCs/>
          <w:sz w:val="26"/>
          <w:rtl/>
        </w:rPr>
        <w:t>הריגה</w:t>
      </w:r>
    </w:p>
    <w:p w:rsidR="00250015" w:rsidRDefault="00250015" w:rsidP="00250015">
      <w:pPr>
        <w:pStyle w:val="TableBlock"/>
        <w:rPr>
          <w:sz w:val="26"/>
          <w:rtl/>
        </w:rPr>
      </w:pPr>
      <w:r w:rsidRPr="003C7E32">
        <w:rPr>
          <w:rFonts w:hint="cs"/>
          <w:sz w:val="26"/>
          <w:rtl/>
        </w:rPr>
        <w:t xml:space="preserve">"הגורם למותו של אדם באדישות, דינו </w:t>
      </w:r>
      <w:r w:rsidRPr="003C7E32">
        <w:rPr>
          <w:sz w:val="26"/>
          <w:rtl/>
        </w:rPr>
        <w:t>–</w:t>
      </w:r>
      <w:r w:rsidRPr="003C7E32">
        <w:rPr>
          <w:rFonts w:hint="cs"/>
          <w:sz w:val="26"/>
          <w:rtl/>
        </w:rPr>
        <w:t xml:space="preserve"> </w:t>
      </w:r>
      <w:r>
        <w:rPr>
          <w:rFonts w:hint="cs"/>
          <w:sz w:val="26"/>
          <w:rtl/>
        </w:rPr>
        <w:t xml:space="preserve">מאסר </w:t>
      </w:r>
      <w:r w:rsidRPr="003C7E32">
        <w:rPr>
          <w:rFonts w:hint="cs"/>
          <w:sz w:val="26"/>
          <w:rtl/>
        </w:rPr>
        <w:t>עשרים שנ</w:t>
      </w:r>
      <w:r>
        <w:rPr>
          <w:rFonts w:hint="cs"/>
          <w:sz w:val="26"/>
          <w:rtl/>
        </w:rPr>
        <w:t>ים</w:t>
      </w:r>
      <w:r w:rsidRPr="003C7E32">
        <w:rPr>
          <w:rFonts w:hint="cs"/>
          <w:sz w:val="26"/>
          <w:rtl/>
        </w:rPr>
        <w:t xml:space="preserve">". </w:t>
      </w:r>
    </w:p>
    <w:p w:rsidR="00250015" w:rsidRDefault="00D14158" w:rsidP="00D14158">
      <w:pPr>
        <w:pStyle w:val="TableBlock"/>
        <w:rPr>
          <w:sz w:val="26"/>
          <w:rtl/>
        </w:rPr>
      </w:pPr>
      <w:r>
        <w:rPr>
          <w:rFonts w:hint="cs"/>
          <w:sz w:val="26"/>
          <w:rtl/>
        </w:rPr>
        <w:lastRenderedPageBreak/>
        <w:t>(עוד מוצעת עבירה נפרדת של קלות דעת).</w:t>
      </w:r>
    </w:p>
    <w:p w:rsidR="00250015" w:rsidRDefault="00250015" w:rsidP="00250015">
      <w:pPr>
        <w:pStyle w:val="TableBlock"/>
        <w:rPr>
          <w:sz w:val="26"/>
          <w:rtl/>
        </w:rPr>
      </w:pPr>
    </w:p>
    <w:p w:rsidR="001E6676" w:rsidRDefault="001E6676" w:rsidP="00250015">
      <w:pPr>
        <w:pStyle w:val="TableBlock"/>
        <w:rPr>
          <w:sz w:val="26"/>
          <w:rtl/>
        </w:rPr>
      </w:pPr>
    </w:p>
    <w:p w:rsidR="001E6676" w:rsidRDefault="001E6676" w:rsidP="00250015">
      <w:pPr>
        <w:pStyle w:val="TableBlock"/>
        <w:rPr>
          <w:sz w:val="26"/>
          <w:rtl/>
        </w:rPr>
      </w:pPr>
    </w:p>
    <w:p w:rsidR="001E6676" w:rsidRDefault="001E6676" w:rsidP="00250015">
      <w:pPr>
        <w:pStyle w:val="TableBlock"/>
        <w:rPr>
          <w:sz w:val="26"/>
          <w:rtl/>
        </w:rPr>
      </w:pPr>
    </w:p>
    <w:p w:rsidR="00250015" w:rsidRDefault="001E6676" w:rsidP="00250015">
      <w:pPr>
        <w:pStyle w:val="TableBlock"/>
        <w:rPr>
          <w:sz w:val="26"/>
          <w:rtl/>
        </w:rPr>
      </w:pPr>
      <w:r>
        <w:rPr>
          <w:rFonts w:hint="cs"/>
          <w:sz w:val="26"/>
          <w:rtl/>
        </w:rPr>
        <w:t>הריגה בנסיבות מחמירות בהתאם לחלופה ג':</w:t>
      </w: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5"/>
        <w:gridCol w:w="625"/>
        <w:gridCol w:w="625"/>
        <w:gridCol w:w="624"/>
        <w:gridCol w:w="624"/>
        <w:gridCol w:w="624"/>
        <w:gridCol w:w="4027"/>
      </w:tblGrid>
      <w:tr w:rsidR="00044600" w:rsidTr="003C7E3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Default="00044600" w:rsidP="003C7E32">
            <w:pPr>
              <w:pStyle w:val="TableSideHeading"/>
              <w:rPr>
                <w:rtl/>
              </w:rPr>
            </w:pPr>
          </w:p>
          <w:p w:rsidR="00250015" w:rsidRPr="00194267" w:rsidRDefault="00250015" w:rsidP="003C7E32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1874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Default="00044600" w:rsidP="003C7E32">
            <w:pPr>
              <w:pStyle w:val="TableInnerSideHeading"/>
              <w:rPr>
                <w:rtl/>
              </w:rPr>
            </w:pPr>
            <w:r>
              <w:rPr>
                <w:rFonts w:hint="cs"/>
                <w:rtl/>
              </w:rPr>
              <w:t>הריגה בנסיבות מחמירות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4651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Default="00044600" w:rsidP="003C7E32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הגרום למותו של אדם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באחת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מן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הנסיבות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המפורטות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להלן</w:t>
            </w:r>
            <w:r w:rsidRPr="00194267">
              <w:rPr>
                <w:szCs w:val="24"/>
                <w:rtl/>
              </w:rPr>
              <w:t xml:space="preserve">, </w:t>
            </w:r>
            <w:r w:rsidRPr="00194267">
              <w:rPr>
                <w:rFonts w:hint="eastAsia"/>
                <w:rtl/>
              </w:rPr>
              <w:t>דינו</w:t>
            </w:r>
            <w:r w:rsidRPr="00194267">
              <w:rPr>
                <w:szCs w:val="24"/>
                <w:rtl/>
              </w:rPr>
              <w:t xml:space="preserve"> </w:t>
            </w:r>
            <w:r>
              <w:rPr>
                <w:szCs w:val="24"/>
                <w:rtl/>
              </w:rPr>
              <w:t>–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מאסר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עולם</w:t>
            </w:r>
            <w:r w:rsidRPr="00194267">
              <w:rPr>
                <w:szCs w:val="24"/>
                <w:rtl/>
              </w:rPr>
              <w:t>:</w:t>
            </w:r>
          </w:p>
        </w:tc>
      </w:tr>
      <w:tr w:rsidR="00044600" w:rsidRPr="00194267" w:rsidTr="003C7E3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Block"/>
              <w:rPr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(</w:t>
            </w:r>
            <w:r w:rsidRPr="00194267">
              <w:rPr>
                <w:szCs w:val="24"/>
                <w:rtl/>
              </w:rPr>
              <w:t>1)</w:t>
            </w:r>
            <w:r w:rsidRPr="00194267">
              <w:rPr>
                <w:szCs w:val="24"/>
                <w:rtl/>
              </w:rPr>
              <w:tab/>
            </w:r>
            <w:r>
              <w:rPr>
                <w:rFonts w:hint="cs"/>
                <w:rtl/>
              </w:rPr>
              <w:t xml:space="preserve">המעשה נעשה </w:t>
            </w:r>
            <w:r w:rsidRPr="00326791">
              <w:rPr>
                <w:rtl/>
              </w:rPr>
              <w:t>בכוונה להטיל באדם נכות או מום, או לגרום לו חבלה חמורה</w:t>
            </w:r>
            <w:r w:rsidRPr="00194267">
              <w:rPr>
                <w:szCs w:val="24"/>
                <w:rtl/>
              </w:rPr>
              <w:t>;</w:t>
            </w:r>
          </w:p>
        </w:tc>
      </w:tr>
      <w:tr w:rsidR="00044600" w:rsidRPr="00194267" w:rsidTr="003C7E3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Block"/>
              <w:rPr>
                <w:szCs w:val="24"/>
                <w:rtl/>
              </w:rPr>
            </w:pPr>
            <w:r>
              <w:rPr>
                <w:rFonts w:hint="cs"/>
                <w:szCs w:val="24"/>
                <w:rtl/>
              </w:rPr>
              <w:t>(2</w:t>
            </w:r>
            <w:r w:rsidRPr="00194267">
              <w:rPr>
                <w:szCs w:val="24"/>
                <w:rtl/>
              </w:rPr>
              <w:t>)</w:t>
            </w:r>
            <w:r w:rsidRPr="00194267">
              <w:rPr>
                <w:szCs w:val="24"/>
                <w:rtl/>
              </w:rPr>
              <w:tab/>
            </w:r>
            <w:r w:rsidRPr="00194267">
              <w:rPr>
                <w:rFonts w:hint="eastAsia"/>
                <w:rtl/>
              </w:rPr>
              <w:t>המעשה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נעשה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באכזריות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מיוחדת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או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תוך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התעללות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גופנית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או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נפשית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בקורבן</w:t>
            </w:r>
            <w:r w:rsidRPr="00194267">
              <w:rPr>
                <w:szCs w:val="24"/>
                <w:rtl/>
              </w:rPr>
              <w:t>;</w:t>
            </w:r>
          </w:p>
        </w:tc>
      </w:tr>
      <w:tr w:rsidR="00044600" w:rsidRPr="00194267" w:rsidTr="003C7E3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Block"/>
              <w:rPr>
                <w:szCs w:val="24"/>
                <w:rtl/>
              </w:rPr>
            </w:pPr>
            <w:r>
              <w:rPr>
                <w:rFonts w:hint="cs"/>
                <w:rtl/>
              </w:rPr>
              <w:t>יצוין כי פרופ' גור-אריה מציעה  לכלול נסיבה כדלקמן:</w:t>
            </w:r>
          </w:p>
        </w:tc>
      </w:tr>
      <w:tr w:rsidR="00044600" w:rsidTr="003C7E3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SideHeading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Pr="00194267" w:rsidRDefault="00044600" w:rsidP="003C7E32">
            <w:pPr>
              <w:pStyle w:val="TableText"/>
              <w:rPr>
                <w:rtl/>
              </w:rPr>
            </w:pPr>
          </w:p>
        </w:tc>
        <w:tc>
          <w:tcPr>
            <w:tcW w:w="402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4600" w:rsidRDefault="00044600" w:rsidP="003C7E32">
            <w:pPr>
              <w:pStyle w:val="TableBlock"/>
              <w:rPr>
                <w:rtl/>
              </w:rPr>
            </w:pPr>
            <w:r w:rsidRPr="00194267">
              <w:rPr>
                <w:szCs w:val="24"/>
                <w:rtl/>
              </w:rPr>
              <w:tab/>
            </w:r>
            <w:r w:rsidRPr="00194267">
              <w:rPr>
                <w:rFonts w:hint="eastAsia"/>
                <w:rtl/>
              </w:rPr>
              <w:t>המעשה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נעשה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במטרה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לאפשר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ביצוע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עבירה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אחרת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או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להקל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על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ביצועה</w:t>
            </w:r>
            <w:r w:rsidRPr="00194267">
              <w:rPr>
                <w:szCs w:val="24"/>
                <w:rtl/>
              </w:rPr>
              <w:t xml:space="preserve">, </w:t>
            </w:r>
            <w:r w:rsidRPr="00194267">
              <w:rPr>
                <w:rFonts w:hint="eastAsia"/>
                <w:rtl/>
              </w:rPr>
              <w:t>או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במטרה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להסתיר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ביצועה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של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עבירה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אחרת</w:t>
            </w:r>
            <w:r w:rsidRPr="00194267">
              <w:rPr>
                <w:szCs w:val="24"/>
                <w:rtl/>
              </w:rPr>
              <w:t xml:space="preserve">, </w:t>
            </w:r>
            <w:r w:rsidRPr="00194267">
              <w:rPr>
                <w:rFonts w:hint="eastAsia"/>
                <w:rtl/>
              </w:rPr>
              <w:t>או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לאפשר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הימלטות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מן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הדין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לאחר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ביצוע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העבירה</w:t>
            </w:r>
            <w:r w:rsidRPr="00194267">
              <w:rPr>
                <w:szCs w:val="24"/>
                <w:rtl/>
              </w:rPr>
              <w:t xml:space="preserve"> </w:t>
            </w:r>
            <w:r w:rsidRPr="00194267">
              <w:rPr>
                <w:rFonts w:hint="eastAsia"/>
                <w:rtl/>
              </w:rPr>
              <w:t>האחרת</w:t>
            </w:r>
            <w:r w:rsidRPr="00194267">
              <w:rPr>
                <w:szCs w:val="24"/>
                <w:rtl/>
              </w:rPr>
              <w:t>;</w:t>
            </w:r>
          </w:p>
        </w:tc>
      </w:tr>
    </w:tbl>
    <w:p w:rsidR="0062112B" w:rsidRDefault="0062112B"/>
    <w:sectPr w:rsidR="0062112B" w:rsidSect="00FD3A5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600"/>
    <w:rsid w:val="00044600"/>
    <w:rsid w:val="001E6676"/>
    <w:rsid w:val="00250015"/>
    <w:rsid w:val="0033636E"/>
    <w:rsid w:val="00430E81"/>
    <w:rsid w:val="0062112B"/>
    <w:rsid w:val="006B592F"/>
    <w:rsid w:val="009D56C0"/>
    <w:rsid w:val="00A25026"/>
    <w:rsid w:val="00C03538"/>
    <w:rsid w:val="00D14158"/>
    <w:rsid w:val="00EB1E3A"/>
    <w:rsid w:val="00FD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D0B867-FC32-4F45-9C8D-9326237AA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460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04460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044600"/>
    <w:pPr>
      <w:ind w:right="0"/>
      <w:jc w:val="both"/>
    </w:pPr>
  </w:style>
  <w:style w:type="paragraph" w:customStyle="1" w:styleId="TableSideHeading">
    <w:name w:val="Table SideHeading"/>
    <w:basedOn w:val="TableText"/>
    <w:rsid w:val="00044600"/>
  </w:style>
  <w:style w:type="paragraph" w:customStyle="1" w:styleId="TableInnerSideHeading">
    <w:name w:val="Table InnerSideHeading"/>
    <w:basedOn w:val="TableSideHeading"/>
    <w:rsid w:val="00044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A42D32-031A-4106-98FA-7999ADF6BEA4}"/>
</file>

<file path=customXml/itemProps2.xml><?xml version="1.0" encoding="utf-8"?>
<ds:datastoreItem xmlns:ds="http://schemas.openxmlformats.org/officeDocument/2006/customXml" ds:itemID="{FA370E9E-9FB8-429C-806B-62E8998E1B6E}"/>
</file>

<file path=customXml/itemProps3.xml><?xml version="1.0" encoding="utf-8"?>
<ds:datastoreItem xmlns:ds="http://schemas.openxmlformats.org/officeDocument/2006/customXml" ds:itemID="{4C3619B8-AFC9-4618-BBB0-DF501B55C1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1373</Characters>
  <Application>Microsoft Office Word</Application>
  <DocSecurity>4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נועה ברודסקי לוי</dc:creator>
  <cp:keywords/>
  <dc:description/>
  <cp:lastModifiedBy>חופית עלפי</cp:lastModifiedBy>
  <cp:revision>2</cp:revision>
  <cp:lastPrinted>2016-11-01T14:16:00Z</cp:lastPrinted>
  <dcterms:created xsi:type="dcterms:W3CDTF">2016-11-06T11:19:00Z</dcterms:created>
  <dcterms:modified xsi:type="dcterms:W3CDTF">2016-11-06T11:19:00Z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2007511</vt:r8>
  </property>
</Properties>
</file>