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20FBA" w14:textId="77777777" w:rsidR="00B849F6" w:rsidRPr="0000131B" w:rsidRDefault="00B849F6" w:rsidP="00B849F6">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573332</w:t>
      </w:r>
      <w:bookmarkEnd w:id="0"/>
    </w:p>
    <w:p w14:paraId="06623B66" w14:textId="77777777" w:rsidR="00B849F6" w:rsidRPr="00DB7060" w:rsidRDefault="00B849F6" w:rsidP="00B849F6">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018D6FF5" w14:textId="77777777" w:rsidR="00B849F6" w:rsidRPr="00F67051" w:rsidRDefault="00B849F6" w:rsidP="00B849F6">
      <w:pPr>
        <w:rPr>
          <w:rFonts w:cs="David"/>
          <w:b/>
          <w:bCs/>
          <w:sz w:val="26"/>
          <w:szCs w:val="26"/>
          <w:rtl/>
        </w:rPr>
      </w:pPr>
    </w:p>
    <w:p w14:paraId="42F3CA35" w14:textId="52F2AA15" w:rsidR="00B849F6" w:rsidRPr="00CF1AA2" w:rsidRDefault="00B849F6" w:rsidP="003026EA">
      <w:pPr>
        <w:pStyle w:val="David"/>
        <w:spacing w:line="360" w:lineRule="auto"/>
        <w:ind w:left="3544"/>
        <w:rPr>
          <w:b/>
          <w:bCs/>
          <w:sz w:val="16"/>
          <w:szCs w:val="16"/>
          <w:rtl/>
        </w:rPr>
      </w:pPr>
      <w:bookmarkStart w:id="2" w:name="LGS_Initiators_List"/>
      <w:r>
        <w:rPr>
          <w:b/>
          <w:bCs/>
          <w:rtl/>
        </w:rPr>
        <w:t>יוזמים:      חברי הכנסת</w:t>
      </w:r>
      <w:bookmarkEnd w:id="2"/>
      <w:r w:rsidRPr="00F67051">
        <w:rPr>
          <w:b/>
          <w:bCs/>
        </w:rPr>
        <w:tab/>
      </w:r>
      <w:bookmarkStart w:id="3" w:name="LGS_PM_Names"/>
      <w:r>
        <w:rPr>
          <w:rFonts w:hint="cs"/>
          <w:b/>
          <w:bCs/>
          <w:rtl/>
        </w:rPr>
        <w:t>יפעת שאשא ביטון</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אברהם דיכטר</w:t>
      </w:r>
      <w:bookmarkStart w:id="4" w:name="LGS_Join_List"/>
      <w:bookmarkEnd w:id="3"/>
      <w:r>
        <w:rPr>
          <w:rtl/>
        </w:rPr>
        <w:t xml:space="preserve"> </w:t>
      </w:r>
      <w:bookmarkEnd w:id="4"/>
      <w:r w:rsidRPr="00CF1AA2">
        <w:rPr>
          <w:rFonts w:hint="cs"/>
          <w:rtl/>
        </w:rPr>
        <w:tab/>
      </w:r>
      <w:bookmarkStart w:id="5" w:name="LGS_PM_NamesJoin"/>
      <w:r>
        <w:rPr>
          <w:rFonts w:hint="cs"/>
          <w:rtl/>
        </w:rPr>
        <w:t xml:space="preserve"> </w:t>
      </w:r>
      <w:bookmarkEnd w:id="5"/>
    </w:p>
    <w:p w14:paraId="1DA11CB9" w14:textId="77777777" w:rsidR="00B849F6" w:rsidRPr="00904591" w:rsidRDefault="00B849F6" w:rsidP="00B849F6">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48D7AFAF" w14:textId="77777777" w:rsidR="00B849F6" w:rsidRPr="00E06736" w:rsidRDefault="00B849F6" w:rsidP="00B849F6">
      <w:pPr>
        <w:pStyle w:val="David"/>
        <w:spacing w:before="0" w:line="240" w:lineRule="auto"/>
        <w:ind w:left="3544"/>
        <w:rPr>
          <w:rtl/>
        </w:rPr>
      </w:pPr>
      <w:r>
        <w:t xml:space="preserve">                                             </w:t>
      </w:r>
      <w:bookmarkStart w:id="6" w:name="Private_Number"/>
      <w:r>
        <w:rPr>
          <w:rFonts w:hint="cs"/>
          <w:rtl/>
        </w:rPr>
        <w:t>פ/2548/20</w:t>
      </w:r>
      <w:bookmarkEnd w:id="6"/>
    </w:p>
    <w:p w14:paraId="157BBB8C" w14:textId="77777777" w:rsidR="00B849F6" w:rsidRDefault="00B849F6" w:rsidP="00B849F6">
      <w:pPr>
        <w:spacing w:before="0" w:line="360" w:lineRule="auto"/>
        <w:ind w:left="2880" w:firstLine="720"/>
        <w:rPr>
          <w:rFonts w:cs="David"/>
          <w:sz w:val="26"/>
          <w:szCs w:val="26"/>
          <w:rtl/>
        </w:rPr>
      </w:pPr>
    </w:p>
    <w:p w14:paraId="46D69DB6" w14:textId="77777777" w:rsidR="00B849F6" w:rsidRPr="00B53559" w:rsidRDefault="00B849F6" w:rsidP="003026EA">
      <w:pPr>
        <w:keepNext/>
        <w:keepLines/>
        <w:snapToGrid w:val="0"/>
        <w:spacing w:before="240" w:line="240" w:lineRule="auto"/>
        <w:ind w:firstLine="0"/>
        <w:jc w:val="center"/>
        <w:rPr>
          <w:rFonts w:ascii="Arial" w:eastAsia="Arial Unicode MS" w:hAnsi="Arial" w:cs="David"/>
          <w:b/>
          <w:bCs/>
          <w:spacing w:val="0"/>
          <w:sz w:val="20"/>
          <w:szCs w:val="26"/>
          <w:rtl/>
        </w:rPr>
      </w:pPr>
      <w:bookmarkStart w:id="7" w:name="LGS_Subject"/>
      <w:r>
        <w:rPr>
          <w:rFonts w:ascii="Arial" w:eastAsia="Arial Unicode MS" w:hAnsi="Arial" w:cs="David"/>
          <w:b/>
          <w:bCs/>
          <w:spacing w:val="0"/>
          <w:sz w:val="20"/>
          <w:szCs w:val="26"/>
          <w:rtl/>
        </w:rPr>
        <w:t xml:space="preserve">הצעת חוק </w:t>
      </w:r>
      <w:bookmarkStart w:id="8" w:name="_GoBack"/>
      <w:r>
        <w:rPr>
          <w:rFonts w:ascii="Arial" w:eastAsia="Arial Unicode MS" w:hAnsi="Arial" w:cs="David"/>
          <w:b/>
          <w:bCs/>
          <w:spacing w:val="0"/>
          <w:sz w:val="20"/>
          <w:szCs w:val="26"/>
          <w:rtl/>
        </w:rPr>
        <w:t xml:space="preserve">העונשין (תיקון – החמרת הענישה לגבי קבלת שירותי זנות מקטין), </w:t>
      </w:r>
      <w:proofErr w:type="spellStart"/>
      <w:r>
        <w:rPr>
          <w:rFonts w:ascii="Arial" w:eastAsia="Arial Unicode MS" w:hAnsi="Arial" w:cs="David"/>
          <w:b/>
          <w:bCs/>
          <w:spacing w:val="0"/>
          <w:sz w:val="20"/>
          <w:szCs w:val="26"/>
          <w:rtl/>
        </w:rPr>
        <w:t>התשע"ו</w:t>
      </w:r>
      <w:proofErr w:type="spellEnd"/>
      <w:r>
        <w:rPr>
          <w:rFonts w:ascii="Arial" w:eastAsia="Arial Unicode MS" w:hAnsi="Arial" w:cs="David"/>
          <w:b/>
          <w:bCs/>
          <w:spacing w:val="0"/>
          <w:sz w:val="20"/>
          <w:szCs w:val="26"/>
          <w:rtl/>
        </w:rPr>
        <w:t>–2016</w:t>
      </w:r>
      <w:bookmarkEnd w:id="7"/>
      <w:bookmarkEnd w:id="8"/>
    </w:p>
    <w:p w14:paraId="326D1D45" w14:textId="77777777" w:rsidR="00B849F6" w:rsidRPr="00B53559" w:rsidRDefault="00B849F6" w:rsidP="003026EA">
      <w:pPr>
        <w:keepNext/>
        <w:keepLines/>
        <w:snapToGrid w:val="0"/>
        <w:spacing w:before="240" w:line="240" w:lineRule="auto"/>
        <w:ind w:firstLine="0"/>
        <w:jc w:val="center"/>
        <w:rPr>
          <w:rFonts w:ascii="Arial" w:eastAsia="Arial Unicode MS" w:hAnsi="Arial" w:cs="David"/>
          <w:b/>
          <w:bCs/>
          <w:spacing w:val="0"/>
          <w:sz w:val="20"/>
          <w:szCs w:val="26"/>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B849F6" w14:paraId="3E0A1428" w14:textId="77777777" w:rsidTr="00F23F34">
        <w:trPr>
          <w:cantSplit/>
        </w:trPr>
        <w:tc>
          <w:tcPr>
            <w:tcW w:w="1871" w:type="dxa"/>
            <w:tcBorders>
              <w:top w:val="nil"/>
              <w:left w:val="nil"/>
              <w:bottom w:val="nil"/>
              <w:right w:val="nil"/>
            </w:tcBorders>
          </w:tcPr>
          <w:p w14:paraId="1F08A4DA" w14:textId="77777777" w:rsidR="00B849F6" w:rsidRDefault="00B849F6" w:rsidP="00F23F34">
            <w:pPr>
              <w:pStyle w:val="TableSideHeading"/>
              <w:keepLines w:val="0"/>
            </w:pPr>
            <w:r>
              <w:rPr>
                <w:sz w:val="26"/>
                <w:rtl/>
              </w:rPr>
              <w:t xml:space="preserve">תיקון סעיף </w:t>
            </w:r>
            <w:r>
              <w:rPr>
                <w:rFonts w:hint="cs"/>
                <w:sz w:val="26"/>
                <w:rtl/>
              </w:rPr>
              <w:t>203ג</w:t>
            </w:r>
          </w:p>
        </w:tc>
        <w:tc>
          <w:tcPr>
            <w:tcW w:w="624" w:type="dxa"/>
            <w:tcBorders>
              <w:top w:val="nil"/>
              <w:left w:val="nil"/>
              <w:bottom w:val="nil"/>
              <w:right w:val="nil"/>
            </w:tcBorders>
          </w:tcPr>
          <w:p w14:paraId="29A90F4C" w14:textId="77777777" w:rsidR="00B849F6" w:rsidRDefault="00B849F6" w:rsidP="00F23F34">
            <w:pPr>
              <w:pStyle w:val="TableText"/>
              <w:keepLines w:val="0"/>
            </w:pPr>
            <w:r>
              <w:rPr>
                <w:sz w:val="26"/>
                <w:rtl/>
              </w:rPr>
              <w:t>1.</w:t>
            </w:r>
          </w:p>
        </w:tc>
        <w:tc>
          <w:tcPr>
            <w:tcW w:w="7146" w:type="dxa"/>
            <w:tcBorders>
              <w:top w:val="nil"/>
              <w:left w:val="nil"/>
              <w:bottom w:val="nil"/>
              <w:right w:val="nil"/>
            </w:tcBorders>
          </w:tcPr>
          <w:p w14:paraId="55BC90C1" w14:textId="5A94E859" w:rsidR="00B849F6" w:rsidRDefault="00B849F6" w:rsidP="003457AB">
            <w:pPr>
              <w:pStyle w:val="TableBlock"/>
            </w:pPr>
            <w:r>
              <w:rPr>
                <w:sz w:val="26"/>
                <w:rtl/>
              </w:rPr>
              <w:t xml:space="preserve">בחוק </w:t>
            </w:r>
            <w:r>
              <w:rPr>
                <w:rFonts w:hint="cs"/>
                <w:rtl/>
              </w:rPr>
              <w:t xml:space="preserve">העונשין, </w:t>
            </w:r>
            <w:proofErr w:type="spellStart"/>
            <w:r>
              <w:rPr>
                <w:rFonts w:hint="cs"/>
                <w:rtl/>
              </w:rPr>
              <w:t>התשל"ז</w:t>
            </w:r>
            <w:proofErr w:type="spellEnd"/>
            <w:r w:rsidR="003457AB">
              <w:rPr>
                <w:rFonts w:hint="eastAsia"/>
                <w:rtl/>
              </w:rPr>
              <w:t>–</w:t>
            </w:r>
            <w:r>
              <w:rPr>
                <w:rFonts w:hint="cs"/>
                <w:rtl/>
              </w:rPr>
              <w:t>1977</w:t>
            </w:r>
            <w:r>
              <w:rPr>
                <w:rStyle w:val="a6"/>
                <w:rtl/>
              </w:rPr>
              <w:footnoteReference w:id="2"/>
            </w:r>
            <w:r>
              <w:rPr>
                <w:rFonts w:hint="cs"/>
                <w:rtl/>
              </w:rPr>
              <w:t xml:space="preserve">, בסעיף 203ג, במקום "שלוש" יבוא "חמש". </w:t>
            </w:r>
          </w:p>
        </w:tc>
      </w:tr>
    </w:tbl>
    <w:p w14:paraId="23B4066B" w14:textId="77777777" w:rsidR="00B849F6" w:rsidRPr="006E2304" w:rsidRDefault="00B849F6" w:rsidP="00B849F6">
      <w:pPr>
        <w:pStyle w:val="HeadDivreiHesber"/>
        <w:rPr>
          <w:rtl/>
        </w:rPr>
      </w:pPr>
      <w:r w:rsidRPr="006E2304">
        <w:rPr>
          <w:rFonts w:hint="cs"/>
          <w:rtl/>
        </w:rPr>
        <w:t>דברי הסבר</w:t>
      </w:r>
    </w:p>
    <w:p w14:paraId="4C670013" w14:textId="77777777" w:rsidR="00B849F6" w:rsidRPr="000A006E" w:rsidRDefault="00B849F6" w:rsidP="00B849F6">
      <w:pPr>
        <w:pStyle w:val="Hesber"/>
        <w:rPr>
          <w:rtl/>
        </w:rPr>
      </w:pPr>
      <w:r w:rsidRPr="000A006E">
        <w:rPr>
          <w:rtl/>
        </w:rPr>
        <w:t>בקרב אנשי מקצוע יש הסכמה שלתופעת הזנות בקרב צעירים יש קשר הדוק להתעללות מינית, הזנחה, בעיות בבית-הספר, מעמד חברתי-כלכלי נמוך, חברות בקבוצות שוליים עברייניות, חוסר מקלט בטוח וחיים ברחוב. חוקרים סבורים כי בעבור ילדים ונוער שבאים מרקע של התעללות</w:t>
      </w:r>
      <w:r w:rsidRPr="000A006E">
        <w:rPr>
          <w:rFonts w:hint="cs"/>
          <w:rtl/>
        </w:rPr>
        <w:t xml:space="preserve"> ומצוקה</w:t>
      </w:r>
      <w:r w:rsidRPr="000A006E">
        <w:rPr>
          <w:rtl/>
        </w:rPr>
        <w:t>, זנות היא אמצעי הישרדות. הקטינים שמנוצלים למטרות זנות</w:t>
      </w:r>
      <w:r w:rsidRPr="000A006E">
        <w:rPr>
          <w:rFonts w:hint="cs"/>
          <w:rtl/>
        </w:rPr>
        <w:t xml:space="preserve"> </w:t>
      </w:r>
      <w:r w:rsidRPr="000A006E">
        <w:rPr>
          <w:rtl/>
        </w:rPr>
        <w:t>נתונים במצוקה נפשית, חברתית וכלכלית</w:t>
      </w:r>
      <w:r w:rsidRPr="000A006E">
        <w:rPr>
          <w:rFonts w:hint="cs"/>
          <w:rtl/>
        </w:rPr>
        <w:t xml:space="preserve"> והם </w:t>
      </w:r>
      <w:r w:rsidRPr="000A006E">
        <w:rPr>
          <w:rtl/>
        </w:rPr>
        <w:t>חשופים לאלימות ולהתעללות</w:t>
      </w:r>
      <w:r w:rsidRPr="000A006E">
        <w:rPr>
          <w:rFonts w:hint="cs"/>
          <w:rtl/>
        </w:rPr>
        <w:t>.</w:t>
      </w:r>
      <w:r w:rsidRPr="000A006E">
        <w:rPr>
          <w:rtl/>
        </w:rPr>
        <w:t xml:space="preserve"> רוב</w:t>
      </w:r>
      <w:r w:rsidRPr="000A006E">
        <w:rPr>
          <w:rFonts w:hint="cs"/>
          <w:rtl/>
        </w:rPr>
        <w:t xml:space="preserve">ם מתנסים בשימוש בסמים, אך אינם מכורים מהתחלה. ההתמכרות לסמים לרוב מתרחשת בשלב מאוחר יותר, לאחר מספר שנים של עיסוק בזנות, </w:t>
      </w:r>
      <w:r w:rsidRPr="000A006E">
        <w:rPr>
          <w:rtl/>
        </w:rPr>
        <w:t>כאסטרטגיית הישרדות נוספת.</w:t>
      </w:r>
    </w:p>
    <w:p w14:paraId="267AC480" w14:textId="77777777" w:rsidR="00B849F6" w:rsidRPr="000A006E" w:rsidRDefault="00B849F6" w:rsidP="00B849F6">
      <w:pPr>
        <w:pStyle w:val="Hesber"/>
        <w:rPr>
          <w:rtl/>
        </w:rPr>
      </w:pPr>
      <w:r w:rsidRPr="000A006E">
        <w:rPr>
          <w:rtl/>
        </w:rPr>
        <w:t>נוסף על זנות</w:t>
      </w:r>
      <w:r w:rsidRPr="000A006E">
        <w:rPr>
          <w:rFonts w:hint="cs"/>
          <w:rtl/>
        </w:rPr>
        <w:t xml:space="preserve"> המתרחשת</w:t>
      </w:r>
      <w:r w:rsidRPr="000A006E">
        <w:rPr>
          <w:rtl/>
        </w:rPr>
        <w:t xml:space="preserve"> </w:t>
      </w:r>
      <w:r w:rsidRPr="000A006E">
        <w:rPr>
          <w:rFonts w:hint="cs"/>
          <w:rtl/>
        </w:rPr>
        <w:t xml:space="preserve">על </w:t>
      </w:r>
      <w:r w:rsidRPr="000A006E">
        <w:rPr>
          <w:rtl/>
        </w:rPr>
        <w:t xml:space="preserve">רקע של מצוקה קשה, </w:t>
      </w:r>
      <w:r w:rsidRPr="000A006E">
        <w:rPr>
          <w:rFonts w:hint="cs"/>
          <w:rtl/>
        </w:rPr>
        <w:t xml:space="preserve">יש </w:t>
      </w:r>
      <w:r w:rsidRPr="000A006E">
        <w:rPr>
          <w:rtl/>
        </w:rPr>
        <w:t xml:space="preserve">עדויות על תופעה </w:t>
      </w:r>
      <w:r w:rsidRPr="000A006E">
        <w:rPr>
          <w:rFonts w:hint="cs"/>
          <w:rtl/>
        </w:rPr>
        <w:t xml:space="preserve">חדשה </w:t>
      </w:r>
      <w:r w:rsidRPr="000A006E">
        <w:rPr>
          <w:rtl/>
        </w:rPr>
        <w:t>של זנות מזדמנת,</w:t>
      </w:r>
      <w:r w:rsidRPr="000A006E">
        <w:rPr>
          <w:rFonts w:hint="cs"/>
          <w:rtl/>
        </w:rPr>
        <w:t xml:space="preserve"> הקיימת כיום</w:t>
      </w:r>
      <w:r w:rsidRPr="000A006E">
        <w:rPr>
          <w:rtl/>
        </w:rPr>
        <w:t xml:space="preserve"> גם בקרב מתבגרים ומתבגרות ממשפחות נורמטיביות, </w:t>
      </w:r>
      <w:r w:rsidRPr="000A006E">
        <w:rPr>
          <w:rFonts w:hint="cs"/>
          <w:rtl/>
        </w:rPr>
        <w:t>שאינם נעדרים מ</w:t>
      </w:r>
      <w:r w:rsidRPr="000A006E">
        <w:rPr>
          <w:rtl/>
        </w:rPr>
        <w:t xml:space="preserve">מערכת החינוך ותפקודם בחיי </w:t>
      </w:r>
      <w:r w:rsidRPr="000A006E">
        <w:rPr>
          <w:rFonts w:hint="cs"/>
          <w:rtl/>
        </w:rPr>
        <w:t>ה</w:t>
      </w:r>
      <w:r w:rsidRPr="000A006E">
        <w:rPr>
          <w:rtl/>
        </w:rPr>
        <w:t>יו</w:t>
      </w:r>
      <w:r w:rsidRPr="000A006E">
        <w:rPr>
          <w:rFonts w:hint="cs"/>
          <w:rtl/>
        </w:rPr>
        <w:t>ם-</w:t>
      </w:r>
      <w:r w:rsidRPr="000A006E">
        <w:rPr>
          <w:rtl/>
        </w:rPr>
        <w:t xml:space="preserve">יום עדיין </w:t>
      </w:r>
      <w:r w:rsidRPr="000A006E">
        <w:rPr>
          <w:rFonts w:hint="cs"/>
          <w:rtl/>
        </w:rPr>
        <w:t>אינו</w:t>
      </w:r>
      <w:r w:rsidRPr="000A006E">
        <w:rPr>
          <w:rtl/>
        </w:rPr>
        <w:t xml:space="preserve"> </w:t>
      </w:r>
      <w:r w:rsidRPr="000A006E">
        <w:rPr>
          <w:rFonts w:hint="cs"/>
          <w:rtl/>
        </w:rPr>
        <w:t xml:space="preserve">מלמד על </w:t>
      </w:r>
      <w:r w:rsidRPr="000A006E">
        <w:rPr>
          <w:rtl/>
        </w:rPr>
        <w:t>מצוקה. צעירים אל</w:t>
      </w:r>
      <w:r w:rsidRPr="000A006E">
        <w:rPr>
          <w:rFonts w:hint="cs"/>
          <w:rtl/>
        </w:rPr>
        <w:t>ו</w:t>
      </w:r>
      <w:r w:rsidRPr="000A006E">
        <w:rPr>
          <w:rtl/>
        </w:rPr>
        <w:t xml:space="preserve"> מנוצלים </w:t>
      </w:r>
      <w:r w:rsidRPr="000A006E">
        <w:rPr>
          <w:rFonts w:hint="cs"/>
          <w:rtl/>
        </w:rPr>
        <w:t>מינית</w:t>
      </w:r>
      <w:r w:rsidRPr="000A006E">
        <w:rPr>
          <w:rtl/>
        </w:rPr>
        <w:t xml:space="preserve"> </w:t>
      </w:r>
      <w:r w:rsidRPr="000A006E">
        <w:rPr>
          <w:rFonts w:hint="cs"/>
          <w:rtl/>
        </w:rPr>
        <w:t xml:space="preserve">בשל רצונם </w:t>
      </w:r>
      <w:r w:rsidRPr="000A006E">
        <w:rPr>
          <w:rtl/>
        </w:rPr>
        <w:t>להרוויח כסף לקניית מותגי ביגוד ומוצרי צריכה אחרים</w:t>
      </w:r>
      <w:r w:rsidRPr="000A006E">
        <w:rPr>
          <w:rFonts w:hint="cs"/>
          <w:rtl/>
        </w:rPr>
        <w:t xml:space="preserve"> או בשל רצונם לרכוש מעמד חברתי.</w:t>
      </w:r>
      <w:r w:rsidRPr="000A006E">
        <w:rPr>
          <w:rtl/>
        </w:rPr>
        <w:t xml:space="preserve"> </w:t>
      </w:r>
      <w:r w:rsidRPr="000A006E">
        <w:rPr>
          <w:rFonts w:hint="cs"/>
          <w:rtl/>
        </w:rPr>
        <w:t xml:space="preserve">הם אינם </w:t>
      </w:r>
      <w:r w:rsidRPr="000A006E">
        <w:rPr>
          <w:rtl/>
        </w:rPr>
        <w:t>משייכים את עצמם למעגל הזנות</w:t>
      </w:r>
      <w:r w:rsidRPr="000A006E">
        <w:rPr>
          <w:rFonts w:hint="cs"/>
          <w:rtl/>
        </w:rPr>
        <w:t xml:space="preserve"> ואף אינם רואים עצמם מנוצלים מינית אלא להפך – לעתים הם חושבים שהם השולטים במצב וקובעים את התנאים בו. </w:t>
      </w:r>
    </w:p>
    <w:p w14:paraId="4ED1360B" w14:textId="096F014F" w:rsidR="00B849F6" w:rsidRPr="000A006E" w:rsidRDefault="00B849F6" w:rsidP="003457AB">
      <w:pPr>
        <w:pStyle w:val="Hesber"/>
      </w:pPr>
      <w:r w:rsidRPr="000A006E">
        <w:rPr>
          <w:rtl/>
        </w:rPr>
        <w:lastRenderedPageBreak/>
        <w:t>במחקרים בארץ ובעולם נמצא כי הגיל הממוצע</w:t>
      </w:r>
      <w:r w:rsidRPr="000A006E">
        <w:rPr>
          <w:rFonts w:hint="cs"/>
          <w:rtl/>
        </w:rPr>
        <w:t xml:space="preserve"> של כניסה לזנות</w:t>
      </w:r>
      <w:r w:rsidRPr="000A006E">
        <w:rPr>
          <w:rtl/>
        </w:rPr>
        <w:t xml:space="preserve"> הוא </w:t>
      </w:r>
      <w:r w:rsidRPr="000A006E">
        <w:rPr>
          <w:rFonts w:hint="cs"/>
          <w:rtl/>
        </w:rPr>
        <w:t>13</w:t>
      </w:r>
      <w:r w:rsidR="003457AB">
        <w:rPr>
          <w:rFonts w:hint="cs"/>
          <w:rtl/>
        </w:rPr>
        <w:t>-</w:t>
      </w:r>
      <w:r w:rsidRPr="000A006E">
        <w:rPr>
          <w:rFonts w:hint="cs"/>
          <w:rtl/>
        </w:rPr>
        <w:t>14.</w:t>
      </w:r>
      <w:r w:rsidRPr="000A006E">
        <w:rPr>
          <w:rtl/>
        </w:rPr>
        <w:t xml:space="preserve"> </w:t>
      </w:r>
      <w:r w:rsidRPr="000A006E">
        <w:rPr>
          <w:rFonts w:hint="cs"/>
          <w:rtl/>
        </w:rPr>
        <w:t>(</w:t>
      </w:r>
      <w:r w:rsidRPr="000A006E">
        <w:rPr>
          <w:rtl/>
        </w:rPr>
        <w:t>ניצול מיני מסחרי של קטינים</w:t>
      </w:r>
      <w:r w:rsidRPr="000A006E">
        <w:rPr>
          <w:rFonts w:hint="cs"/>
          <w:rtl/>
        </w:rPr>
        <w:t xml:space="preserve"> בישראל, מרכז המחקר והמידע של הכנסת, ט"ז באב </w:t>
      </w:r>
      <w:proofErr w:type="spellStart"/>
      <w:r w:rsidRPr="000A006E">
        <w:rPr>
          <w:rFonts w:hint="cs"/>
          <w:rtl/>
        </w:rPr>
        <w:t>התשע"ג</w:t>
      </w:r>
      <w:proofErr w:type="spellEnd"/>
      <w:r w:rsidRPr="000A006E">
        <w:rPr>
          <w:rFonts w:hint="cs"/>
          <w:rtl/>
        </w:rPr>
        <w:t xml:space="preserve"> (23 ביולי 2013)).</w:t>
      </w:r>
    </w:p>
    <w:p w14:paraId="4B133224" w14:textId="1B951336" w:rsidR="00B849F6" w:rsidRPr="000A006E" w:rsidRDefault="00B849F6" w:rsidP="003457AB">
      <w:pPr>
        <w:pStyle w:val="Hesber"/>
        <w:rPr>
          <w:rtl/>
        </w:rPr>
      </w:pPr>
      <w:r w:rsidRPr="000A006E">
        <w:rPr>
          <w:rFonts w:hint="cs"/>
          <w:rtl/>
        </w:rPr>
        <w:t xml:space="preserve">חוק העונשין, </w:t>
      </w:r>
      <w:proofErr w:type="spellStart"/>
      <w:r w:rsidRPr="000A006E">
        <w:rPr>
          <w:rFonts w:hint="cs"/>
          <w:rtl/>
        </w:rPr>
        <w:t>התשל"ז</w:t>
      </w:r>
      <w:proofErr w:type="spellEnd"/>
      <w:r w:rsidR="003457AB">
        <w:rPr>
          <w:rFonts w:hint="eastAsia"/>
          <w:rtl/>
        </w:rPr>
        <w:t>–</w:t>
      </w:r>
      <w:r w:rsidRPr="000A006E">
        <w:rPr>
          <w:rFonts w:hint="cs"/>
          <w:rtl/>
        </w:rPr>
        <w:t xml:space="preserve">1977, אוסר על קבלת שירותי זנות מקטין וקובע בסעיף 203ג כי "המקבל שירות של מעשה זנות של קטין, דינו </w:t>
      </w:r>
      <w:r w:rsidR="003457AB">
        <w:rPr>
          <w:rFonts w:hint="eastAsia"/>
          <w:rtl/>
        </w:rPr>
        <w:t>–</w:t>
      </w:r>
      <w:r w:rsidRPr="000A006E">
        <w:rPr>
          <w:rFonts w:hint="cs"/>
          <w:rtl/>
        </w:rPr>
        <w:t xml:space="preserve"> מאסר שלוש שנים". עונש זה אינו משקף את החומרה היתרה הקיימת בעבירה זו ואת הצורך שלנו כחברה למגר את התופעה ולהוקיע אותה. </w:t>
      </w:r>
    </w:p>
    <w:p w14:paraId="3A77695E" w14:textId="77777777" w:rsidR="00B849F6" w:rsidRPr="000A006E" w:rsidRDefault="00B849F6" w:rsidP="00B849F6">
      <w:pPr>
        <w:pStyle w:val="Hesber"/>
        <w:rPr>
          <w:rtl/>
        </w:rPr>
      </w:pPr>
      <w:r w:rsidRPr="000A006E">
        <w:rPr>
          <w:rFonts w:hint="cs"/>
          <w:rtl/>
        </w:rPr>
        <w:t xml:space="preserve"> על מנת להגן על קטינים ולהילח</w:t>
      </w:r>
      <w:r w:rsidRPr="000A006E">
        <w:rPr>
          <w:rFonts w:hint="eastAsia"/>
          <w:rtl/>
        </w:rPr>
        <w:t>ם</w:t>
      </w:r>
      <w:r w:rsidRPr="000A006E">
        <w:rPr>
          <w:rFonts w:hint="cs"/>
          <w:rtl/>
        </w:rPr>
        <w:t xml:space="preserve"> בתופעת התדרדרותם לזנות, מוצע להחמיר את הענישה החלה על מי שקיבל שירותי זנות מקטין, כך שהעונש המקסימלי לעבירה מסוג זה יהיה מאסר של חמש שנים, וזאת בדומה לעונש הקבוע בעבירה של בעילה אסורה בהסכמה של קטין בנסיבות האמורות בסעיף 346(א) לאותו החוק. </w:t>
      </w:r>
    </w:p>
    <w:p w14:paraId="12121045" w14:textId="77777777" w:rsidR="00B849F6" w:rsidRPr="000A006E" w:rsidRDefault="00B849F6" w:rsidP="00B849F6">
      <w:pPr>
        <w:pStyle w:val="Hesber"/>
        <w:rPr>
          <w:rtl/>
        </w:rPr>
      </w:pPr>
      <w:r w:rsidRPr="000A006E">
        <w:rPr>
          <w:rFonts w:hint="cs"/>
          <w:rtl/>
        </w:rPr>
        <w:t xml:space="preserve">יצוין כי לקוח המקבל שירותי זנות מקטין, יכול שיועמד לדין גם על עבירות מין אחרות הקבועות בדין, בהתאם לגילו של הקטין ובהתאם לנסיבות המעשה. </w:t>
      </w:r>
    </w:p>
    <w:p w14:paraId="5A06E7BA" w14:textId="77777777" w:rsidR="00B849F6" w:rsidRPr="00B53559" w:rsidRDefault="00B849F6" w:rsidP="00B849F6">
      <w:pPr>
        <w:snapToGrid w:val="0"/>
        <w:spacing w:before="0" w:line="360" w:lineRule="auto"/>
        <w:rPr>
          <w:rFonts w:ascii="Arial" w:eastAsia="Arial Unicode MS" w:hAnsi="Arial" w:cs="David"/>
          <w:spacing w:val="0"/>
          <w:sz w:val="20"/>
          <w:szCs w:val="26"/>
          <w:rtl/>
        </w:rPr>
      </w:pPr>
    </w:p>
    <w:p w14:paraId="55F4C168" w14:textId="77777777" w:rsidR="00B849F6" w:rsidRDefault="00B849F6" w:rsidP="00B849F6">
      <w:pPr>
        <w:pStyle w:val="Hesber"/>
        <w:rPr>
          <w:rtl/>
        </w:rPr>
      </w:pPr>
    </w:p>
    <w:p w14:paraId="3AB4F8C3" w14:textId="77777777" w:rsidR="003457AB" w:rsidRDefault="003457AB" w:rsidP="009531AD">
      <w:pPr>
        <w:pStyle w:val="Hesber"/>
        <w:rPr>
          <w:color w:val="auto"/>
          <w:lang w:eastAsia="en-US"/>
        </w:rPr>
      </w:pPr>
      <w:r>
        <w:rPr>
          <w:rFonts w:hint="cs"/>
          <w:color w:val="auto"/>
          <w:rtl/>
          <w:lang w:eastAsia="en-US"/>
        </w:rPr>
        <w:t>---------------------------------</w:t>
      </w:r>
    </w:p>
    <w:p w14:paraId="4BB820CA" w14:textId="77777777" w:rsidR="003457AB" w:rsidRDefault="003457AB" w:rsidP="009531AD">
      <w:pPr>
        <w:pStyle w:val="Hesber"/>
        <w:rPr>
          <w:color w:val="auto"/>
          <w:rtl/>
          <w:lang w:eastAsia="en-US"/>
        </w:rPr>
      </w:pPr>
      <w:r>
        <w:rPr>
          <w:rFonts w:hint="cs"/>
          <w:color w:val="auto"/>
          <w:rtl/>
          <w:lang w:eastAsia="en-US"/>
        </w:rPr>
        <w:t>הוגשה ליו"ר הכנסת והסגנים</w:t>
      </w:r>
    </w:p>
    <w:p w14:paraId="71CEB7F3" w14:textId="77777777" w:rsidR="003457AB" w:rsidRDefault="003457AB" w:rsidP="009531AD">
      <w:pPr>
        <w:pStyle w:val="Hesber"/>
        <w:rPr>
          <w:color w:val="auto"/>
          <w:rtl/>
          <w:lang w:eastAsia="en-US"/>
        </w:rPr>
      </w:pPr>
      <w:r>
        <w:rPr>
          <w:rFonts w:hint="cs"/>
          <w:color w:val="auto"/>
          <w:rtl/>
          <w:lang w:eastAsia="en-US"/>
        </w:rPr>
        <w:t>והונחה על שולחן הכנסת ביום</w:t>
      </w:r>
    </w:p>
    <w:p w14:paraId="2273EBED" w14:textId="77777777" w:rsidR="003457AB" w:rsidRDefault="003457AB" w:rsidP="009531AD">
      <w:pPr>
        <w:pStyle w:val="Hesber"/>
        <w:rPr>
          <w:rtl/>
        </w:rPr>
      </w:pPr>
      <w:r>
        <w:rPr>
          <w:rFonts w:hint="cs"/>
          <w:color w:val="auto"/>
          <w:rtl/>
          <w:lang w:eastAsia="en-US"/>
        </w:rPr>
        <w:t xml:space="preserve">ט"ו בשבט </w:t>
      </w:r>
      <w:proofErr w:type="spellStart"/>
      <w:r>
        <w:rPr>
          <w:rFonts w:hint="cs"/>
          <w:color w:val="auto"/>
          <w:rtl/>
          <w:lang w:eastAsia="en-US"/>
        </w:rPr>
        <w:t>התשע"ו</w:t>
      </w:r>
      <w:proofErr w:type="spellEnd"/>
      <w:r>
        <w:rPr>
          <w:rFonts w:hint="cs"/>
          <w:color w:val="auto"/>
          <w:rtl/>
          <w:lang w:eastAsia="en-US"/>
        </w:rPr>
        <w:t xml:space="preserve"> – 25.1.16</w:t>
      </w:r>
    </w:p>
    <w:p w14:paraId="7F6961CB" w14:textId="147BCF0E" w:rsidR="00E13C27" w:rsidRPr="00B849F6" w:rsidRDefault="00E13C27" w:rsidP="003457AB">
      <w:pPr>
        <w:rPr>
          <w:rtl/>
        </w:rPr>
      </w:pPr>
    </w:p>
    <w:sectPr w:rsidR="00E13C27" w:rsidRPr="00B849F6"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3467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9AC8FC5" w14:textId="77777777" w:rsidR="00B849F6" w:rsidRDefault="00B849F6" w:rsidP="00B849F6">
      <w:pPr>
        <w:pStyle w:val="a4"/>
        <w:rPr>
          <w:rtl/>
        </w:rPr>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xml:space="preserve">, עמ' 226.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34672"/>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026EA"/>
    <w:rsid w:val="003232A2"/>
    <w:rsid w:val="00325C14"/>
    <w:rsid w:val="003457AB"/>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53559"/>
    <w:rsid w:val="00B733A7"/>
    <w:rsid w:val="00B75C91"/>
    <w:rsid w:val="00B849F6"/>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53871F6B-99C2-442F-87C9-469C7FB6A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locked/>
    <w:rsid w:val="00B5355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www.w3.org/XML/1998/namespace"/>
    <ds:schemaRef ds:uri="http://schemas.microsoft.com/office/2006/documentManagement/types"/>
    <ds:schemaRef ds:uri="http://purl.org/dc/dcmitype/"/>
    <ds:schemaRef ds:uri="http://purl.org/dc/elements/1.1/"/>
    <ds:schemaRef ds:uri="http://schemas.microsoft.com/office/infopath/2007/PartnerControls"/>
    <ds:schemaRef ds:uri="http://purl.org/dc/term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81296705-F5DE-4368-87B2-B89C722CC00F}"/>
</file>

<file path=customXml/itemProps4.xml><?xml version="1.0" encoding="utf-8"?>
<ds:datastoreItem xmlns:ds="http://schemas.openxmlformats.org/officeDocument/2006/customXml" ds:itemID="{514F02BD-DFC6-4EFA-B337-7A5798C61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395</Words>
  <Characters>2019</Characters>
  <Application>Microsoft Office Word</Application>
  <DocSecurity>4</DocSecurity>
  <Lines>77</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2016-01-21T08:47:00Z</cp:lastPrinted>
  <dcterms:created xsi:type="dcterms:W3CDTF">2016-11-08T12:49:00Z</dcterms:created>
  <dcterms:modified xsi:type="dcterms:W3CDTF">2016-11-08T12:49:00Z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2007520</vt:r8>
  </property>
</Properties>
</file>