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2004987</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56E7A723" w:rsidR="00E13C27" w:rsidRPr="00CF1AA2" w:rsidRDefault="008F6665" w:rsidP="00010550">
      <w:pPr>
        <w:pStyle w:val="David"/>
        <w:spacing w:line="360" w:lineRule="auto"/>
        <w:ind w:left="3544"/>
        <w:rPr>
          <w:b/>
          <w:bCs/>
          <w:sz w:val="16"/>
          <w:szCs w:val="16"/>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אלי אלאלוף</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פ/3185/20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C6D33DA" w:rsidR="00E13C27" w:rsidRPr="00F67051" w:rsidRDefault="00A443CF" w:rsidP="006C60F0">
      <w:pPr>
        <w:pStyle w:val="HeadHatzaotHok"/>
        <w:rPr>
          <w:rtl/>
        </w:rPr>
      </w:pPr>
      <w:bookmarkStart w:id="8" w:name="LGS_Subject"/>
      <w:r>
        <w:rPr>
          <w:rFonts w:hint="cs"/>
          <w:rtl/>
        </w:rPr>
        <w:t>הצעת חוק לתיקון פקודת הרוקחים (פטור מבחינות), התשע"ו-2016</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2F1D80" w14:paraId="035EEF3D" w14:textId="77777777" w:rsidTr="00010550">
        <w:trPr>
          <w:cantSplit/>
        </w:trPr>
        <w:tc>
          <w:tcPr>
            <w:tcW w:w="1871" w:type="dxa"/>
          </w:tcPr>
          <w:p w14:paraId="3863FF98" w14:textId="29694C8B" w:rsidR="002F1D80" w:rsidRDefault="00446361" w:rsidP="002C3041">
            <w:pPr>
              <w:pStyle w:val="TableSideHeading"/>
              <w:keepLines w:val="0"/>
            </w:pPr>
            <w:r>
              <w:rPr>
                <w:rFonts w:hint="cs"/>
                <w:rtl/>
              </w:rPr>
              <w:t>תיקון סעיף 3</w:t>
            </w:r>
          </w:p>
        </w:tc>
        <w:tc>
          <w:tcPr>
            <w:tcW w:w="624" w:type="dxa"/>
          </w:tcPr>
          <w:p w14:paraId="6F513EF6" w14:textId="2220C6A2" w:rsidR="002F1D80" w:rsidRPr="00446361" w:rsidRDefault="00446361" w:rsidP="002C3041">
            <w:pPr>
              <w:pStyle w:val="TableText"/>
              <w:keepLines w:val="0"/>
            </w:pPr>
            <w:r>
              <w:rPr>
                <w:rFonts w:hint="cs"/>
                <w:rtl/>
              </w:rPr>
              <w:t>1.</w:t>
            </w:r>
          </w:p>
        </w:tc>
        <w:tc>
          <w:tcPr>
            <w:tcW w:w="7143" w:type="dxa"/>
          </w:tcPr>
          <w:p w14:paraId="1AE94DEB" w14:textId="09C6FD2F" w:rsidR="002F1D80" w:rsidRPr="003D2758" w:rsidRDefault="00446361" w:rsidP="00010550">
            <w:pPr>
              <w:pStyle w:val="TableBlock"/>
            </w:pPr>
            <w:r w:rsidRPr="003D2758">
              <w:rPr>
                <w:rFonts w:hint="cs"/>
                <w:rtl/>
              </w:rPr>
              <w:t xml:space="preserve">בפקודת הרוקחים [נוסח חדש], </w:t>
            </w:r>
            <w:proofErr w:type="spellStart"/>
            <w:r w:rsidRPr="003D2758">
              <w:rPr>
                <w:rFonts w:hint="cs"/>
                <w:rtl/>
              </w:rPr>
              <w:t>התשמ"א</w:t>
            </w:r>
            <w:proofErr w:type="spellEnd"/>
            <w:r w:rsidR="006C60F0">
              <w:rPr>
                <w:rFonts w:hint="eastAsia"/>
                <w:rtl/>
              </w:rPr>
              <w:t>–</w:t>
            </w:r>
            <w:r w:rsidRPr="003D2758">
              <w:rPr>
                <w:rFonts w:hint="cs"/>
                <w:rtl/>
              </w:rPr>
              <w:t>1981</w:t>
            </w:r>
            <w:r w:rsidR="00BF0C5B">
              <w:rPr>
                <w:rStyle w:val="a6"/>
                <w:rtl/>
              </w:rPr>
              <w:footnoteReference w:id="2"/>
            </w:r>
            <w:r w:rsidR="006C60F0">
              <w:rPr>
                <w:rFonts w:hint="cs"/>
                <w:rtl/>
              </w:rPr>
              <w:t xml:space="preserve"> (להלן </w:t>
            </w:r>
            <w:r w:rsidR="006C60F0">
              <w:rPr>
                <w:rFonts w:hint="eastAsia"/>
                <w:rtl/>
              </w:rPr>
              <w:t>–</w:t>
            </w:r>
            <w:r w:rsidR="006C60F0">
              <w:rPr>
                <w:rFonts w:hint="cs"/>
                <w:rtl/>
              </w:rPr>
              <w:t xml:space="preserve"> הפקודה)</w:t>
            </w:r>
            <w:r w:rsidRPr="003D2758">
              <w:rPr>
                <w:rFonts w:hint="cs"/>
                <w:rtl/>
              </w:rPr>
              <w:t>, בסעיף 3, בסופו יבוא:</w:t>
            </w:r>
          </w:p>
        </w:tc>
      </w:tr>
      <w:tr w:rsidR="009061A1" w14:paraId="77DC98B2" w14:textId="77777777" w:rsidTr="00010550">
        <w:trPr>
          <w:cantSplit/>
        </w:trPr>
        <w:tc>
          <w:tcPr>
            <w:tcW w:w="1871" w:type="dxa"/>
          </w:tcPr>
          <w:p w14:paraId="75C198AE" w14:textId="77777777" w:rsidR="009061A1" w:rsidRDefault="009061A1">
            <w:pPr>
              <w:pStyle w:val="TableSideHeading"/>
            </w:pPr>
          </w:p>
        </w:tc>
        <w:tc>
          <w:tcPr>
            <w:tcW w:w="624" w:type="dxa"/>
          </w:tcPr>
          <w:p w14:paraId="1F0B4F29" w14:textId="77777777" w:rsidR="009061A1" w:rsidRDefault="009061A1">
            <w:pPr>
              <w:pStyle w:val="TableText"/>
            </w:pPr>
          </w:p>
        </w:tc>
        <w:tc>
          <w:tcPr>
            <w:tcW w:w="7143" w:type="dxa"/>
          </w:tcPr>
          <w:p w14:paraId="6C399380" w14:textId="6DB32ED2" w:rsidR="009061A1" w:rsidRDefault="009061A1" w:rsidP="00010550">
            <w:pPr>
              <w:pStyle w:val="TableBlock"/>
            </w:pPr>
            <w:r>
              <w:rPr>
                <w:rFonts w:hint="cs"/>
                <w:rtl/>
              </w:rPr>
              <w:t>"(ג)</w:t>
            </w:r>
            <w:r>
              <w:rPr>
                <w:rtl/>
              </w:rPr>
              <w:tab/>
            </w:r>
            <w:r w:rsidRPr="003D2758">
              <w:rPr>
                <w:rFonts w:hint="cs"/>
                <w:rtl/>
              </w:rPr>
              <w:t xml:space="preserve">השר, </w:t>
            </w:r>
            <w:r w:rsidRPr="003D2758">
              <w:rPr>
                <w:rtl/>
              </w:rPr>
              <w:t>לאחר התייעצות עם ועדה מייעצת שמונתה לפי החוק ובאישור ועדת העבודה, הרווחה והבריאות של הכנסת</w:t>
            </w:r>
            <w:r>
              <w:rPr>
                <w:rFonts w:hint="cs"/>
                <w:rtl/>
              </w:rPr>
              <w:t>,</w:t>
            </w:r>
            <w:r w:rsidRPr="003D2758">
              <w:rPr>
                <w:rtl/>
              </w:rPr>
              <w:t xml:space="preserve"> יקבע בתקנות תנאים למתן פטור</w:t>
            </w:r>
            <w:r>
              <w:rPr>
                <w:rtl/>
              </w:rPr>
              <w:t xml:space="preserve"> מחובת בחינת רישוי כאמור בסעיף </w:t>
            </w:r>
            <w:r>
              <w:rPr>
                <w:rFonts w:hint="cs"/>
                <w:rtl/>
              </w:rPr>
              <w:t xml:space="preserve">קטן </w:t>
            </w:r>
            <w:r w:rsidRPr="003D2758">
              <w:rPr>
                <w:rtl/>
              </w:rPr>
              <w:t>(ב); אין במתן הפטור מבחינת הרישוי כדי לגרוע מסמכות המנהל לפי סעיף 4."</w:t>
            </w:r>
          </w:p>
        </w:tc>
      </w:tr>
      <w:tr w:rsidR="002F1D80" w14:paraId="3D9B61D1" w14:textId="77777777" w:rsidTr="00010550">
        <w:trPr>
          <w:cantSplit/>
        </w:trPr>
        <w:tc>
          <w:tcPr>
            <w:tcW w:w="1871" w:type="dxa"/>
          </w:tcPr>
          <w:p w14:paraId="6C0CB9D8" w14:textId="3CC8561B" w:rsidR="002F1D80" w:rsidRDefault="00446361" w:rsidP="002C3041">
            <w:pPr>
              <w:pStyle w:val="TableSideHeading"/>
              <w:keepLines w:val="0"/>
            </w:pPr>
            <w:r>
              <w:rPr>
                <w:rFonts w:hint="cs"/>
                <w:rtl/>
              </w:rPr>
              <w:t>תקנות ראשונות</w:t>
            </w:r>
          </w:p>
        </w:tc>
        <w:tc>
          <w:tcPr>
            <w:tcW w:w="624" w:type="dxa"/>
          </w:tcPr>
          <w:p w14:paraId="3F4286A2" w14:textId="5643417E" w:rsidR="002F1D80" w:rsidRDefault="00446361" w:rsidP="002C3041">
            <w:pPr>
              <w:pStyle w:val="TableText"/>
              <w:keepLines w:val="0"/>
            </w:pPr>
            <w:r>
              <w:rPr>
                <w:rFonts w:hint="cs"/>
                <w:rtl/>
              </w:rPr>
              <w:t>2.</w:t>
            </w:r>
          </w:p>
        </w:tc>
        <w:tc>
          <w:tcPr>
            <w:tcW w:w="7143" w:type="dxa"/>
          </w:tcPr>
          <w:p w14:paraId="7633D5BB" w14:textId="75E1CCF7" w:rsidR="002F1D80" w:rsidRPr="00C34DE2" w:rsidRDefault="00446361" w:rsidP="00010550">
            <w:pPr>
              <w:pStyle w:val="TableBlock"/>
            </w:pPr>
            <w:r>
              <w:rPr>
                <w:rtl/>
              </w:rPr>
              <w:t>תקנות ראשונות לפי סעיף 3(ג) לפקודה, כנוסחו בחוק זה, יובאו לאישור ועדת העבודה</w:t>
            </w:r>
            <w:r w:rsidR="007A14C8">
              <w:rPr>
                <w:rFonts w:hint="cs"/>
                <w:rtl/>
              </w:rPr>
              <w:t>,</w:t>
            </w:r>
            <w:r>
              <w:rPr>
                <w:rtl/>
              </w:rPr>
              <w:t xml:space="preserve"> הרווחה והבריאות של הכנסת</w:t>
            </w:r>
            <w:r w:rsidR="009061A1">
              <w:rPr>
                <w:rFonts w:hint="cs"/>
                <w:rtl/>
              </w:rPr>
              <w:t>,</w:t>
            </w:r>
            <w:r>
              <w:rPr>
                <w:rtl/>
              </w:rPr>
              <w:t xml:space="preserve"> בתוך 30 ימים מיום פרסומו של חוק זה; בתקנות </w:t>
            </w:r>
            <w:r w:rsidR="007A14C8">
              <w:rPr>
                <w:rFonts w:hint="cs"/>
                <w:rtl/>
              </w:rPr>
              <w:t xml:space="preserve">כאמור </w:t>
            </w:r>
            <w:r>
              <w:rPr>
                <w:rtl/>
              </w:rPr>
              <w:t xml:space="preserve">ייקבעו </w:t>
            </w:r>
            <w:r w:rsidR="007A14C8">
              <w:rPr>
                <w:rFonts w:hint="cs"/>
                <w:rtl/>
              </w:rPr>
              <w:t>התנאים שלהלן:</w:t>
            </w:r>
          </w:p>
        </w:tc>
      </w:tr>
      <w:tr w:rsidR="00446361" w14:paraId="44448707" w14:textId="3CB2F9E1" w:rsidTr="00010550">
        <w:trPr>
          <w:cantSplit/>
        </w:trPr>
        <w:tc>
          <w:tcPr>
            <w:tcW w:w="1871" w:type="dxa"/>
          </w:tcPr>
          <w:p w14:paraId="3E91E100" w14:textId="49CFDCEB" w:rsidR="00446361" w:rsidRDefault="00446361" w:rsidP="002C3041">
            <w:pPr>
              <w:pStyle w:val="TableSideHeading"/>
              <w:keepLines w:val="0"/>
              <w:rPr>
                <w:rtl/>
              </w:rPr>
            </w:pPr>
          </w:p>
        </w:tc>
        <w:tc>
          <w:tcPr>
            <w:tcW w:w="624" w:type="dxa"/>
          </w:tcPr>
          <w:p w14:paraId="7D719D81" w14:textId="465AEE00" w:rsidR="00446361" w:rsidRDefault="00446361" w:rsidP="002C3041">
            <w:pPr>
              <w:pStyle w:val="TableText"/>
              <w:keepLines w:val="0"/>
              <w:rPr>
                <w:rtl/>
              </w:rPr>
            </w:pPr>
          </w:p>
        </w:tc>
        <w:tc>
          <w:tcPr>
            <w:tcW w:w="7143" w:type="dxa"/>
          </w:tcPr>
          <w:p w14:paraId="0AB45C45" w14:textId="2E788844" w:rsidR="00446361" w:rsidRDefault="007A14C8" w:rsidP="00010550">
            <w:pPr>
              <w:pStyle w:val="TableBlock"/>
              <w:rPr>
                <w:rtl/>
              </w:rPr>
            </w:pPr>
            <w:r>
              <w:rPr>
                <w:rFonts w:hint="cs"/>
                <w:rtl/>
              </w:rPr>
              <w:t>(1)</w:t>
            </w:r>
            <w:r>
              <w:rPr>
                <w:rtl/>
              </w:rPr>
              <w:tab/>
            </w:r>
            <w:r w:rsidR="006C60F0">
              <w:rPr>
                <w:rtl/>
              </w:rPr>
              <w:t xml:space="preserve">מתן פטור מבחינת הרישוי שנקבעה לפי סעיף 3(ב) לפקודה, למבקש שהוא בעל רישיון או תעודה הנדרשים לעיסוק ברוקחות במדינת חוץ, ושעסק כדין וברמה מקצועית הולמת ברוקחות במשך תקופה של שנתיים לפחות, </w:t>
            </w:r>
            <w:r w:rsidR="00064FD0">
              <w:rPr>
                <w:rFonts w:hint="cs"/>
                <w:rtl/>
              </w:rPr>
              <w:t>ובלבד שהמבקש עמד בהצלחה</w:t>
            </w:r>
            <w:r w:rsidR="006C60F0">
              <w:rPr>
                <w:rtl/>
              </w:rPr>
              <w:t xml:space="preserve"> בחלק </w:t>
            </w:r>
            <w:r w:rsidR="00064FD0">
              <w:rPr>
                <w:rFonts w:hint="cs"/>
                <w:rtl/>
              </w:rPr>
              <w:t xml:space="preserve">של </w:t>
            </w:r>
            <w:r w:rsidR="006C60F0">
              <w:rPr>
                <w:rtl/>
              </w:rPr>
              <w:t>דיני הרוקחות בבחינה שנקבעה לפי</w:t>
            </w:r>
            <w:r w:rsidR="00064FD0">
              <w:rPr>
                <w:rFonts w:hint="cs"/>
                <w:rtl/>
              </w:rPr>
              <w:t xml:space="preserve"> סעיף</w:t>
            </w:r>
            <w:r w:rsidR="006C60F0">
              <w:rPr>
                <w:rtl/>
              </w:rPr>
              <w:t xml:space="preserve"> 3(ב) לפקודה.</w:t>
            </w:r>
          </w:p>
        </w:tc>
      </w:tr>
      <w:tr w:rsidR="006C60F0" w14:paraId="674B246C" w14:textId="77777777" w:rsidTr="00010550">
        <w:trPr>
          <w:cantSplit/>
        </w:trPr>
        <w:tc>
          <w:tcPr>
            <w:tcW w:w="1871" w:type="dxa"/>
          </w:tcPr>
          <w:p w14:paraId="38935390" w14:textId="77777777" w:rsidR="006C60F0" w:rsidRDefault="006C60F0" w:rsidP="002C3041">
            <w:pPr>
              <w:pStyle w:val="TableSideHeading"/>
              <w:keepLines w:val="0"/>
              <w:rPr>
                <w:rtl/>
              </w:rPr>
            </w:pPr>
          </w:p>
        </w:tc>
        <w:tc>
          <w:tcPr>
            <w:tcW w:w="624" w:type="dxa"/>
          </w:tcPr>
          <w:p w14:paraId="06F98412" w14:textId="77777777" w:rsidR="006C60F0" w:rsidRDefault="006C60F0" w:rsidP="009061A1">
            <w:pPr>
              <w:pStyle w:val="TableText"/>
              <w:rPr>
                <w:rtl/>
              </w:rPr>
            </w:pPr>
          </w:p>
        </w:tc>
        <w:tc>
          <w:tcPr>
            <w:tcW w:w="7143" w:type="dxa"/>
          </w:tcPr>
          <w:p w14:paraId="2D4C6854" w14:textId="491911E3" w:rsidR="006C60F0" w:rsidRDefault="007A14C8" w:rsidP="00010550">
            <w:pPr>
              <w:pStyle w:val="TableBlock"/>
              <w:rPr>
                <w:rtl/>
              </w:rPr>
            </w:pPr>
            <w:r>
              <w:rPr>
                <w:rFonts w:hint="cs"/>
                <w:rtl/>
              </w:rPr>
              <w:t>(2)</w:t>
            </w:r>
            <w:r>
              <w:rPr>
                <w:rtl/>
              </w:rPr>
              <w:tab/>
            </w:r>
            <w:r w:rsidR="006C60F0">
              <w:rPr>
                <w:rtl/>
              </w:rPr>
              <w:t xml:space="preserve">עבודה בפיקוח למשך שנה אחת למבקש שהוא בעל רישיון או תעודה הנדרשים לעיסוק ברוקחות במדינת חוץ, ושעסק כדין וברמה מקצועית הולמת ברוקחות במשך תקופה של </w:t>
            </w:r>
            <w:r w:rsidR="00064FD0">
              <w:rPr>
                <w:rFonts w:hint="cs"/>
                <w:rtl/>
              </w:rPr>
              <w:t xml:space="preserve">בין </w:t>
            </w:r>
            <w:r w:rsidR="006C60F0">
              <w:rPr>
                <w:rtl/>
              </w:rPr>
              <w:t>שנתיים לחמש שנים.</w:t>
            </w:r>
          </w:p>
        </w:tc>
      </w:tr>
    </w:tbl>
    <w:p w14:paraId="7F6961CA" w14:textId="3FE19B45" w:rsidR="002D1EE3" w:rsidRDefault="002D1EE3" w:rsidP="002D1EE3">
      <w:pPr>
        <w:pStyle w:val="HeadDivreiHesber"/>
        <w:rPr>
          <w:rtl/>
        </w:rPr>
      </w:pPr>
      <w:r w:rsidRPr="0027450A">
        <w:rPr>
          <w:rFonts w:hint="cs"/>
          <w:rtl/>
        </w:rPr>
        <w:t>דברי הסבר</w:t>
      </w:r>
    </w:p>
    <w:p w14:paraId="5F60CCD1" w14:textId="7328F4B3" w:rsidR="00446361" w:rsidRDefault="00446361" w:rsidP="007A14C8">
      <w:pPr>
        <w:pStyle w:val="Hesber"/>
        <w:rPr>
          <w:rtl/>
        </w:rPr>
      </w:pPr>
      <w:r>
        <w:rPr>
          <w:rtl/>
        </w:rPr>
        <w:t xml:space="preserve">פקודת הרוקחים [נוסח חדש], </w:t>
      </w:r>
      <w:proofErr w:type="spellStart"/>
      <w:r>
        <w:rPr>
          <w:rtl/>
        </w:rPr>
        <w:t>התשמ"א</w:t>
      </w:r>
      <w:proofErr w:type="spellEnd"/>
      <w:r>
        <w:rPr>
          <w:rtl/>
        </w:rPr>
        <w:t>–1981 (להלן – הפקודה)</w:t>
      </w:r>
      <w:r w:rsidR="007A14C8">
        <w:rPr>
          <w:rFonts w:hint="cs"/>
          <w:rtl/>
        </w:rPr>
        <w:t>,</w:t>
      </w:r>
      <w:r>
        <w:rPr>
          <w:rtl/>
        </w:rPr>
        <w:t xml:space="preserve"> מסדירה את העיסוק במקצוע הרוקחות בישראל, </w:t>
      </w:r>
      <w:r w:rsidR="007A14C8">
        <w:rPr>
          <w:rFonts w:hint="cs"/>
          <w:rtl/>
        </w:rPr>
        <w:t>במטרה</w:t>
      </w:r>
      <w:r w:rsidR="007A14C8">
        <w:rPr>
          <w:rtl/>
        </w:rPr>
        <w:t xml:space="preserve"> </w:t>
      </w:r>
      <w:r>
        <w:rPr>
          <w:rtl/>
        </w:rPr>
        <w:t>להגן על בריאות הציבור ולהבטיח רמה מקצועית הולמת של העוסקים במקצוע.</w:t>
      </w:r>
    </w:p>
    <w:p w14:paraId="1F9E4FA2" w14:textId="5D6DAEFF" w:rsidR="00446361" w:rsidRDefault="00446361" w:rsidP="00446361">
      <w:pPr>
        <w:pStyle w:val="Hesber"/>
        <w:rPr>
          <w:rtl/>
        </w:rPr>
      </w:pPr>
      <w:r>
        <w:rPr>
          <w:rtl/>
        </w:rPr>
        <w:t>סעיף 3(ב) לפקודה קובע כי לפני מתן הרישיון לעסוק במקצוע בישראל</w:t>
      </w:r>
      <w:r w:rsidR="007A14C8">
        <w:rPr>
          <w:rFonts w:hint="cs"/>
          <w:rtl/>
        </w:rPr>
        <w:t>,</w:t>
      </w:r>
      <w:r>
        <w:rPr>
          <w:rtl/>
        </w:rPr>
        <w:t xml:space="preserve"> יידרש המבקש לעמוד בבחינת רישוי שקבע המנהל. תקנות הרוקחים (בחינת רישוי), </w:t>
      </w:r>
      <w:proofErr w:type="spellStart"/>
      <w:r>
        <w:rPr>
          <w:rtl/>
        </w:rPr>
        <w:t>התשע"ג</w:t>
      </w:r>
      <w:proofErr w:type="spellEnd"/>
      <w:r>
        <w:rPr>
          <w:rtl/>
        </w:rPr>
        <w:t xml:space="preserve">–2013, מסדירות את עריכת בחינות הרישוי </w:t>
      </w:r>
      <w:r>
        <w:rPr>
          <w:rtl/>
        </w:rPr>
        <w:lastRenderedPageBreak/>
        <w:t xml:space="preserve">הממשלתיות במקצוע הרוקחות בישראל. </w:t>
      </w:r>
    </w:p>
    <w:p w14:paraId="7F6961CB" w14:textId="054073B6" w:rsidR="00E13C27" w:rsidRDefault="00446361" w:rsidP="00064FD0">
      <w:pPr>
        <w:pStyle w:val="Hesber"/>
        <w:rPr>
          <w:rtl/>
        </w:rPr>
      </w:pPr>
      <w:r>
        <w:rPr>
          <w:rtl/>
        </w:rPr>
        <w:t>כיום, לקראת גל העלייה הצפוי בקרב אלו העוסקים במקצוע הרוקחות וכדי לסייע לעולים חדשים אלה להשתלב ולעסוק במקצוע גם בישראל, מוצע לאפשר לשר, לאחר התייעצות עם ועדה מייעצת שהוקמה לפי החוק, לקבוע בתקנות תנאים למתן פטור מחובת הבחינות למבקש שהוא בעל רישיון או תע</w:t>
      </w:r>
      <w:r w:rsidR="007A14C8">
        <w:rPr>
          <w:rFonts w:hint="cs"/>
          <w:rtl/>
        </w:rPr>
        <w:t>ו</w:t>
      </w:r>
      <w:r>
        <w:rPr>
          <w:rtl/>
        </w:rPr>
        <w:t>דה הנדרשים לעיסוק ברוקחות במדינת חוץ, ושעסק כדין וברמה מקצועית הולמת ברוקחות במשך תקופה של שנתיים לפחות</w:t>
      </w:r>
      <w:r w:rsidR="007A14C8">
        <w:rPr>
          <w:rFonts w:hint="cs"/>
          <w:rtl/>
        </w:rPr>
        <w:t>,</w:t>
      </w:r>
      <w:r>
        <w:rPr>
          <w:rtl/>
        </w:rPr>
        <w:t xml:space="preserve"> בכפוף לעמידה בחלק דיני הרוקחות אשר בבחינת הרישוי. בנוסף, מוצע לחייב מבקש אשר עסק כדין וברמה מקצועית הולמת ברוקחות במשך שנתיים לפחות אך פחות מחמש שנים</w:t>
      </w:r>
      <w:r w:rsidR="007A14C8">
        <w:rPr>
          <w:rFonts w:hint="cs"/>
          <w:rtl/>
        </w:rPr>
        <w:t>,</w:t>
      </w:r>
      <w:r>
        <w:rPr>
          <w:rtl/>
        </w:rPr>
        <w:t xml:space="preserve"> </w:t>
      </w:r>
      <w:r w:rsidR="00064FD0">
        <w:rPr>
          <w:rFonts w:hint="cs"/>
          <w:rtl/>
        </w:rPr>
        <w:t xml:space="preserve">לעבוד </w:t>
      </w:r>
      <w:r>
        <w:rPr>
          <w:rtl/>
        </w:rPr>
        <w:t>בפיקוח למשך שנה אחת.</w:t>
      </w:r>
    </w:p>
    <w:p w14:paraId="7015EAC2" w14:textId="505D2CCC" w:rsidR="00010550" w:rsidRDefault="00010550" w:rsidP="00064FD0">
      <w:pPr>
        <w:pStyle w:val="Hesber"/>
        <w:rPr>
          <w:rtl/>
        </w:rPr>
      </w:pPr>
    </w:p>
    <w:p w14:paraId="1B275E66" w14:textId="77777777" w:rsidR="00010550" w:rsidRDefault="00010550" w:rsidP="00064FD0">
      <w:pPr>
        <w:pStyle w:val="Hesber"/>
        <w:rPr>
          <w:rtl/>
        </w:rPr>
      </w:pPr>
    </w:p>
    <w:p w14:paraId="3C1824CD" w14:textId="77777777" w:rsidR="00010550" w:rsidRPr="00D73212" w:rsidRDefault="00010550" w:rsidP="00010550">
      <w:pPr>
        <w:pStyle w:val="Hesber"/>
        <w:rPr>
          <w:color w:val="auto"/>
          <w:rtl/>
          <w:lang w:eastAsia="en-US"/>
        </w:rPr>
      </w:pPr>
      <w:r w:rsidRPr="00D73212">
        <w:rPr>
          <w:color w:val="auto"/>
          <w:rtl/>
          <w:lang w:eastAsia="en-US"/>
        </w:rPr>
        <w:t>---------------------------------</w:t>
      </w:r>
    </w:p>
    <w:p w14:paraId="0548A976" w14:textId="77777777" w:rsidR="00010550" w:rsidRPr="00D73212" w:rsidRDefault="00010550" w:rsidP="00010550">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F99D74D" w14:textId="77777777" w:rsidR="00010550" w:rsidRPr="00D73212" w:rsidRDefault="00010550" w:rsidP="00010550">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BE59118" w14:textId="77777777" w:rsidR="00010550" w:rsidRPr="00317312" w:rsidRDefault="00010550" w:rsidP="00010550">
      <w:pPr>
        <w:pStyle w:val="Hesber"/>
      </w:pPr>
      <w:r>
        <w:rPr>
          <w:rFonts w:hint="cs"/>
          <w:color w:val="auto"/>
          <w:rtl/>
          <w:lang w:eastAsia="en-US"/>
        </w:rPr>
        <w:t>י"ט בתמוז</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25.7</w:t>
      </w:r>
      <w:r w:rsidRPr="00D73212">
        <w:rPr>
          <w:color w:val="auto"/>
          <w:rtl/>
          <w:lang w:eastAsia="en-US"/>
        </w:rPr>
        <w:t>.1</w:t>
      </w:r>
      <w:r>
        <w:rPr>
          <w:rFonts w:hint="cs"/>
          <w:color w:val="auto"/>
          <w:rtl/>
          <w:lang w:eastAsia="en-US"/>
        </w:rPr>
        <w:t>6</w:t>
      </w:r>
    </w:p>
    <w:p w14:paraId="16557949" w14:textId="77777777" w:rsidR="00010550" w:rsidRDefault="00010550" w:rsidP="00064FD0">
      <w:pPr>
        <w:pStyle w:val="Hesber"/>
        <w:rPr>
          <w:rtl/>
        </w:rPr>
      </w:pPr>
    </w:p>
    <w:sectPr w:rsidR="0001055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4DF70" w14:textId="77777777" w:rsidR="00BA0252" w:rsidRDefault="00BA0252">
      <w:r>
        <w:separator/>
      </w:r>
    </w:p>
  </w:endnote>
  <w:endnote w:type="continuationSeparator" w:id="0">
    <w:p w14:paraId="61EEF12F" w14:textId="77777777" w:rsidR="00BA0252" w:rsidRDefault="00BA0252">
      <w:r>
        <w:continuationSeparator/>
      </w:r>
    </w:p>
  </w:endnote>
  <w:endnote w:type="continuationNotice" w:id="1">
    <w:p w14:paraId="050E3E8A" w14:textId="77777777" w:rsidR="00BA0252" w:rsidRDefault="00BA025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22A74">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59CBE" w14:textId="77777777" w:rsidR="00BA0252" w:rsidRDefault="00BA0252">
      <w:r>
        <w:separator/>
      </w:r>
    </w:p>
  </w:footnote>
  <w:footnote w:type="continuationSeparator" w:id="0">
    <w:p w14:paraId="14E29FE7" w14:textId="77777777" w:rsidR="00BA0252" w:rsidRDefault="00BA0252">
      <w:r>
        <w:continuationSeparator/>
      </w:r>
    </w:p>
  </w:footnote>
  <w:footnote w:type="continuationNotice" w:id="1">
    <w:p w14:paraId="57147ED4" w14:textId="77777777" w:rsidR="00BA0252" w:rsidRDefault="00BA0252"/>
  </w:footnote>
  <w:footnote w:id="2">
    <w:p w14:paraId="668D6CBF" w14:textId="77777777" w:rsidR="00BF0C5B" w:rsidRDefault="00BF0C5B" w:rsidP="00BF0C5B">
      <w:pPr>
        <w:pStyle w:val="a4"/>
        <w:rPr>
          <w:rtl/>
        </w:rPr>
      </w:pPr>
      <w:r>
        <w:rPr>
          <w:rStyle w:val="a6"/>
        </w:rPr>
        <w:footnoteRef/>
      </w:r>
      <w:r>
        <w:rPr>
          <w:rtl/>
        </w:rPr>
        <w:t xml:space="preserve"> </w:t>
      </w:r>
      <w:r>
        <w:rPr>
          <w:sz w:val="20"/>
          <w:rtl/>
        </w:rPr>
        <w:t>דיני מדינת ישראל, נוסח חדש 35, עמ' 694.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0550"/>
    <w:rsid w:val="00015B27"/>
    <w:rsid w:val="00063A3E"/>
    <w:rsid w:val="00064FD0"/>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2758"/>
    <w:rsid w:val="003D6E38"/>
    <w:rsid w:val="003D74A0"/>
    <w:rsid w:val="004033D8"/>
    <w:rsid w:val="004073F0"/>
    <w:rsid w:val="00412A7D"/>
    <w:rsid w:val="00416B4D"/>
    <w:rsid w:val="00417CFC"/>
    <w:rsid w:val="00446361"/>
    <w:rsid w:val="004A06DC"/>
    <w:rsid w:val="004B24ED"/>
    <w:rsid w:val="004B6625"/>
    <w:rsid w:val="004C5240"/>
    <w:rsid w:val="004D2D82"/>
    <w:rsid w:val="004D3876"/>
    <w:rsid w:val="004E4552"/>
    <w:rsid w:val="004E6CDF"/>
    <w:rsid w:val="00553C9D"/>
    <w:rsid w:val="00562A66"/>
    <w:rsid w:val="005B064E"/>
    <w:rsid w:val="005D0BDD"/>
    <w:rsid w:val="005D51AE"/>
    <w:rsid w:val="0062674B"/>
    <w:rsid w:val="006363B2"/>
    <w:rsid w:val="00644940"/>
    <w:rsid w:val="006818A9"/>
    <w:rsid w:val="006A2D81"/>
    <w:rsid w:val="006C1D0D"/>
    <w:rsid w:val="006C60F0"/>
    <w:rsid w:val="0070601E"/>
    <w:rsid w:val="00712C72"/>
    <w:rsid w:val="00735FE9"/>
    <w:rsid w:val="00763CAA"/>
    <w:rsid w:val="00765F66"/>
    <w:rsid w:val="0078664F"/>
    <w:rsid w:val="007A14C8"/>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061A1"/>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6283"/>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A0252"/>
    <w:rsid w:val="00BC45FB"/>
    <w:rsid w:val="00BF0C5B"/>
    <w:rsid w:val="00BF148D"/>
    <w:rsid w:val="00C23B1A"/>
    <w:rsid w:val="00C310EB"/>
    <w:rsid w:val="00C9176A"/>
    <w:rsid w:val="00CF1AA2"/>
    <w:rsid w:val="00D17774"/>
    <w:rsid w:val="00D63620"/>
    <w:rsid w:val="00D8410D"/>
    <w:rsid w:val="00D867D7"/>
    <w:rsid w:val="00DB7060"/>
    <w:rsid w:val="00DE3153"/>
    <w:rsid w:val="00E06736"/>
    <w:rsid w:val="00E13C27"/>
    <w:rsid w:val="00E22A74"/>
    <w:rsid w:val="00E33BBD"/>
    <w:rsid w:val="00E374F2"/>
    <w:rsid w:val="00E45103"/>
    <w:rsid w:val="00E55A60"/>
    <w:rsid w:val="00E62778"/>
    <w:rsid w:val="00E63D38"/>
    <w:rsid w:val="00E665B9"/>
    <w:rsid w:val="00EA01E6"/>
    <w:rsid w:val="00EA1E92"/>
    <w:rsid w:val="00EA3DE8"/>
    <w:rsid w:val="00EA758F"/>
    <w:rsid w:val="00ED4A6F"/>
    <w:rsid w:val="00EF3A3A"/>
    <w:rsid w:val="00F628D6"/>
    <w:rsid w:val="00F67051"/>
    <w:rsid w:val="00F86A1E"/>
    <w:rsid w:val="00FA5E88"/>
    <w:rsid w:val="00FD7B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55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1055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10550"/>
    <w:rPr>
      <w:sz w:val="36"/>
      <w:szCs w:val="52"/>
    </w:rPr>
  </w:style>
  <w:style w:type="paragraph" w:customStyle="1" w:styleId="Cover3-Haknesset">
    <w:name w:val="Cover 3-Haknesset"/>
    <w:basedOn w:val="Cover1-Reshumot"/>
    <w:rsid w:val="00010550"/>
    <w:rPr>
      <w:b/>
      <w:bCs/>
      <w:spacing w:val="60"/>
    </w:rPr>
  </w:style>
  <w:style w:type="paragraph" w:customStyle="1" w:styleId="Cover4-Date">
    <w:name w:val="Cover 4-Date"/>
    <w:basedOn w:val="a"/>
    <w:rsid w:val="0001055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1055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1055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10550"/>
    <w:pPr>
      <w:spacing w:before="120" w:after="120"/>
    </w:pPr>
    <w:rPr>
      <w:color w:val="FF0000"/>
      <w:w w:val="80"/>
    </w:rPr>
  </w:style>
  <w:style w:type="paragraph" w:styleId="a3">
    <w:name w:val="endnote text"/>
    <w:basedOn w:val="a"/>
    <w:semiHidden/>
    <w:rsid w:val="00010550"/>
    <w:pPr>
      <w:ind w:left="227" w:hanging="227"/>
    </w:pPr>
    <w:rPr>
      <w:sz w:val="14"/>
      <w:szCs w:val="22"/>
    </w:rPr>
  </w:style>
  <w:style w:type="paragraph" w:customStyle="1" w:styleId="TableText">
    <w:name w:val="Table Text"/>
    <w:basedOn w:val="a"/>
    <w:rsid w:val="0001055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10550"/>
  </w:style>
  <w:style w:type="paragraph" w:customStyle="1" w:styleId="TableBlock">
    <w:name w:val="Table Block"/>
    <w:basedOn w:val="TableText"/>
    <w:rsid w:val="00010550"/>
    <w:pPr>
      <w:ind w:right="0"/>
      <w:jc w:val="both"/>
    </w:pPr>
  </w:style>
  <w:style w:type="paragraph" w:customStyle="1" w:styleId="TableHead">
    <w:name w:val="Table Head"/>
    <w:basedOn w:val="TableText"/>
    <w:rsid w:val="0001055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10550"/>
  </w:style>
  <w:style w:type="paragraph" w:customStyle="1" w:styleId="Hesber">
    <w:name w:val="Hesber"/>
    <w:basedOn w:val="a"/>
    <w:rsid w:val="0001055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01055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010550"/>
    <w:rPr>
      <w:vertAlign w:val="superscript"/>
    </w:rPr>
  </w:style>
  <w:style w:type="paragraph" w:customStyle="1" w:styleId="HesberHeading">
    <w:name w:val="Hesber Heading"/>
    <w:basedOn w:val="Hesber"/>
    <w:rsid w:val="00010550"/>
    <w:pPr>
      <w:tabs>
        <w:tab w:val="left" w:pos="624"/>
        <w:tab w:val="left" w:pos="1247"/>
      </w:tabs>
      <w:ind w:firstLine="0"/>
    </w:pPr>
    <w:rPr>
      <w:b/>
      <w:bCs/>
    </w:rPr>
  </w:style>
  <w:style w:type="paragraph" w:customStyle="1" w:styleId="HesberWriters">
    <w:name w:val="Hesber Writers"/>
    <w:basedOn w:val="Hesber"/>
    <w:rsid w:val="00010550"/>
    <w:pPr>
      <w:spacing w:before="120" w:after="6000"/>
      <w:ind w:left="1418" w:firstLine="0"/>
      <w:jc w:val="right"/>
    </w:pPr>
    <w:rPr>
      <w:b/>
      <w:bCs/>
    </w:rPr>
  </w:style>
  <w:style w:type="paragraph" w:customStyle="1" w:styleId="Hesber1st">
    <w:name w:val="Hesber 1st"/>
    <w:basedOn w:val="Hesber"/>
    <w:rsid w:val="00010550"/>
    <w:pPr>
      <w:tabs>
        <w:tab w:val="left" w:pos="680"/>
        <w:tab w:val="left" w:pos="1020"/>
      </w:tabs>
      <w:ind w:firstLine="0"/>
    </w:pPr>
  </w:style>
  <w:style w:type="character" w:styleId="a7">
    <w:name w:val="endnote reference"/>
    <w:basedOn w:val="a0"/>
    <w:semiHidden/>
    <w:rsid w:val="00010550"/>
    <w:rPr>
      <w:vertAlign w:val="superscript"/>
    </w:rPr>
  </w:style>
  <w:style w:type="paragraph" w:customStyle="1" w:styleId="TableBlockOutdent">
    <w:name w:val="Table BlockOutdent"/>
    <w:basedOn w:val="TableBlock"/>
    <w:rsid w:val="00010550"/>
    <w:pPr>
      <w:ind w:left="624" w:hanging="624"/>
    </w:pPr>
  </w:style>
  <w:style w:type="paragraph" w:styleId="a8">
    <w:name w:val="header"/>
    <w:basedOn w:val="a"/>
    <w:rsid w:val="00010550"/>
    <w:pPr>
      <w:tabs>
        <w:tab w:val="center" w:pos="4153"/>
        <w:tab w:val="right" w:pos="8306"/>
      </w:tabs>
    </w:pPr>
  </w:style>
  <w:style w:type="paragraph" w:styleId="a9">
    <w:name w:val="footer"/>
    <w:basedOn w:val="a"/>
    <w:rsid w:val="00010550"/>
    <w:pPr>
      <w:tabs>
        <w:tab w:val="center" w:pos="4153"/>
        <w:tab w:val="right" w:pos="8306"/>
      </w:tabs>
    </w:pPr>
  </w:style>
  <w:style w:type="paragraph" w:customStyle="1" w:styleId="HeadDivreiHesber">
    <w:name w:val="Head DivreiHesber"/>
    <w:basedOn w:val="a"/>
    <w:rsid w:val="0001055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1055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01055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BF0C5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7DE71-3D27-4663-A628-3F9560944C6D}"/>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24656F-5471-46C9-9DC4-46400A34A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1885</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2016-07-20T10:21:00Z</cp:lastPrinted>
  <dcterms:created xsi:type="dcterms:W3CDTF">2016-11-16T06:50:00Z</dcterms:created>
  <dcterms:modified xsi:type="dcterms:W3CDTF">2016-11-16T06:50:00Z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2009127</vt:r8>
  </property>
</Properties>
</file>