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D97569" w:rsidRDefault="00D97569" w:rsidP="00D97569">
      <w:pPr>
        <w:pStyle w:val="HeadMitparsemetBaze"/>
        <w:jc w:val="center"/>
        <w:rPr>
          <w:color w:val="auto"/>
          <w:sz w:val="28"/>
          <w:szCs w:val="28"/>
          <w:u w:val="single"/>
          <w:rtl/>
        </w:rPr>
      </w:pPr>
      <w:bookmarkStart w:id="0" w:name="_GoBack"/>
      <w:bookmarkEnd w:id="0"/>
      <w:r w:rsidRPr="00D97569">
        <w:rPr>
          <w:rFonts w:hint="cs"/>
          <w:color w:val="auto"/>
          <w:sz w:val="28"/>
          <w:szCs w:val="28"/>
          <w:u w:val="single"/>
          <w:rtl/>
        </w:rPr>
        <w:t>נוסח מוצע לדיון</w:t>
      </w:r>
    </w:p>
    <w:p w:rsidR="00637DB9" w:rsidRDefault="0069174C" w:rsidP="00D97569">
      <w:pPr>
        <w:pStyle w:val="HeadHatzaotHok"/>
        <w:rPr>
          <w:rtl/>
        </w:rPr>
      </w:pPr>
      <w:bookmarkStart w:id="1" w:name="LGSName"/>
      <w:r>
        <w:rPr>
          <w:rFonts w:hint="cs"/>
          <w:rtl/>
        </w:rPr>
        <w:t xml:space="preserve">הצעת חוק שירותי הדת היהודיים (תיקון </w:t>
      </w:r>
      <w:r w:rsidR="007079E5">
        <w:rPr>
          <w:rFonts w:hint="cs"/>
          <w:rtl/>
        </w:rPr>
        <w:t>מס' ) (</w:t>
      </w:r>
      <w:r>
        <w:rPr>
          <w:rFonts w:hint="cs"/>
          <w:rtl/>
        </w:rPr>
        <w:t xml:space="preserve">שירותי </w:t>
      </w:r>
      <w:r w:rsidR="00893C3C">
        <w:rPr>
          <w:rFonts w:hint="cs"/>
          <w:rtl/>
        </w:rPr>
        <w:t>העברת</w:t>
      </w:r>
      <w:r>
        <w:rPr>
          <w:rFonts w:hint="cs"/>
          <w:rtl/>
        </w:rPr>
        <w:t xml:space="preserve"> נפטרים), </w:t>
      </w:r>
      <w:proofErr w:type="spellStart"/>
      <w:r>
        <w:rPr>
          <w:rFonts w:hint="cs"/>
          <w:rtl/>
        </w:rPr>
        <w:t>התשע"</w:t>
      </w:r>
      <w:r w:rsidR="00D97569">
        <w:rPr>
          <w:rFonts w:hint="cs"/>
          <w:rtl/>
        </w:rPr>
        <w:t>ז</w:t>
      </w:r>
      <w:proofErr w:type="spellEnd"/>
      <w:r w:rsidR="008F4B46">
        <w:rPr>
          <w:rFonts w:hint="eastAsia"/>
          <w:rtl/>
        </w:rPr>
        <w:t>–</w:t>
      </w:r>
      <w:r>
        <w:rPr>
          <w:rFonts w:hint="cs"/>
          <w:rtl/>
        </w:rPr>
        <w:t>201</w:t>
      </w:r>
      <w:bookmarkEnd w:id="1"/>
      <w:r w:rsidR="008F4B46">
        <w:rPr>
          <w:rFonts w:hint="cs"/>
          <w:rtl/>
        </w:rPr>
        <w:t>6</w:t>
      </w: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5"/>
        <w:gridCol w:w="624"/>
        <w:gridCol w:w="624"/>
        <w:gridCol w:w="624"/>
        <w:gridCol w:w="624"/>
        <w:gridCol w:w="624"/>
        <w:gridCol w:w="4022"/>
      </w:tblGrid>
      <w:tr w:rsidR="007079E5" w:rsidTr="00D97569">
        <w:trPr>
          <w:cantSplit/>
        </w:trPr>
        <w:tc>
          <w:tcPr>
            <w:tcW w:w="1869" w:type="dxa"/>
          </w:tcPr>
          <w:p w:rsidR="007079E5" w:rsidRPr="007079E5" w:rsidRDefault="007079E5" w:rsidP="007079E5">
            <w:pPr>
              <w:pStyle w:val="TableSideHeading"/>
              <w:ind w:right="0"/>
              <w:rPr>
                <w:rtl/>
              </w:rPr>
            </w:pPr>
            <w:r w:rsidRPr="007079E5">
              <w:rPr>
                <w:rFonts w:hint="cs"/>
                <w:rtl/>
              </w:rPr>
              <w:t>הוספת סעיף 14א10</w:t>
            </w:r>
          </w:p>
        </w:tc>
        <w:tc>
          <w:tcPr>
            <w:tcW w:w="625" w:type="dxa"/>
          </w:tcPr>
          <w:p w:rsidR="007079E5" w:rsidRPr="007079E5" w:rsidRDefault="007079E5" w:rsidP="007079E5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2" w:type="dxa"/>
            <w:gridSpan w:val="6"/>
          </w:tcPr>
          <w:p w:rsidR="007079E5" w:rsidRDefault="007079E5" w:rsidP="00D9756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בחוק שירותי הדת היהודיים [נוסח משולב], </w:t>
            </w:r>
            <w:proofErr w:type="spellStart"/>
            <w:r>
              <w:rPr>
                <w:rFonts w:hint="cs"/>
                <w:rtl/>
              </w:rPr>
              <w:t>התשל"א</w:t>
            </w:r>
            <w:proofErr w:type="spellEnd"/>
            <w:r>
              <w:rPr>
                <w:rFonts w:hint="cs"/>
                <w:rtl/>
              </w:rPr>
              <w:t>–1971</w:t>
            </w:r>
            <w:r>
              <w:rPr>
                <w:rStyle w:val="a9"/>
                <w:rtl/>
              </w:rPr>
              <w:footnoteReference w:id="1"/>
            </w:r>
            <w:r>
              <w:rPr>
                <w:rFonts w:hint="cs"/>
                <w:rtl/>
              </w:rPr>
              <w:t>, אחרי סעיף 14א9  יבוא:</w:t>
            </w:r>
          </w:p>
        </w:tc>
      </w:tr>
      <w:tr w:rsidR="007079E5" w:rsidTr="00D97569">
        <w:trPr>
          <w:cantSplit/>
        </w:trPr>
        <w:tc>
          <w:tcPr>
            <w:tcW w:w="1869" w:type="dxa"/>
          </w:tcPr>
          <w:p w:rsidR="007079E5" w:rsidRDefault="007079E5" w:rsidP="007079E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5" w:type="dxa"/>
          </w:tcPr>
          <w:p w:rsidR="007079E5" w:rsidRDefault="007079E5" w:rsidP="007079E5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  <w:hideMark/>
          </w:tcPr>
          <w:p w:rsidR="007079E5" w:rsidRDefault="007079E5" w:rsidP="00AC52C6">
            <w:pPr>
              <w:pStyle w:val="TableInnerSideHeading"/>
            </w:pPr>
            <w:r>
              <w:rPr>
                <w:rFonts w:hint="cs"/>
                <w:rtl/>
              </w:rPr>
              <w:t xml:space="preserve">"שירותי </w:t>
            </w:r>
            <w:r w:rsidR="00AC52C6">
              <w:rPr>
                <w:rFonts w:hint="cs"/>
                <w:rtl/>
              </w:rPr>
              <w:t xml:space="preserve">העברת </w:t>
            </w:r>
            <w:r>
              <w:rPr>
                <w:rFonts w:hint="cs"/>
                <w:rtl/>
              </w:rPr>
              <w:t>נפטרים</w:t>
            </w:r>
          </w:p>
        </w:tc>
        <w:tc>
          <w:tcPr>
            <w:tcW w:w="624" w:type="dxa"/>
            <w:hideMark/>
          </w:tcPr>
          <w:p w:rsidR="007079E5" w:rsidRDefault="007079E5" w:rsidP="007079E5">
            <w:pPr>
              <w:pStyle w:val="TableText"/>
              <w:ind w:right="-113"/>
              <w:rPr>
                <w:spacing w:val="-14"/>
                <w:rtl/>
              </w:rPr>
            </w:pPr>
            <w:r>
              <w:rPr>
                <w:rFonts w:hint="cs"/>
                <w:spacing w:val="-14"/>
                <w:rtl/>
              </w:rPr>
              <w:t>14א10.</w:t>
            </w:r>
          </w:p>
        </w:tc>
        <w:tc>
          <w:tcPr>
            <w:tcW w:w="4646" w:type="dxa"/>
            <w:gridSpan w:val="2"/>
            <w:hideMark/>
          </w:tcPr>
          <w:p w:rsidR="007079E5" w:rsidRDefault="00BA7273" w:rsidP="00D9756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מי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ש</w:t>
            </w:r>
            <w:r w:rsidR="00AC52C6">
              <w:rPr>
                <w:rFonts w:ascii="Times New Roman" w:eastAsia="Times New Roman" w:hAnsi="Times New Roman" w:hint="cs"/>
                <w:sz w:val="26"/>
                <w:rtl/>
              </w:rPr>
              <w:t xml:space="preserve">העביר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נפטר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,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לרבות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בעל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רישיון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="00AC52C6">
              <w:rPr>
                <w:rFonts w:ascii="Times New Roman" w:eastAsia="Times New Roman" w:hAnsi="Times New Roman" w:hint="cs"/>
                <w:sz w:val="26"/>
                <w:rtl/>
              </w:rPr>
              <w:t xml:space="preserve">לעסוק </w:t>
            </w:r>
            <w:r w:rsidR="0040535C">
              <w:rPr>
                <w:rFonts w:ascii="Times New Roman" w:eastAsia="Times New Roman" w:hAnsi="Times New Roman" w:hint="cs"/>
                <w:sz w:val="26"/>
                <w:rtl/>
              </w:rPr>
              <w:t>ב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קבורה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,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לא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ימכור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ולא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יציע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למכירה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או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ישווק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בדרך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אחרת</w:t>
            </w:r>
            <w:r w:rsidR="00005263">
              <w:rPr>
                <w:rFonts w:ascii="Times New Roman" w:eastAsia="Times New Roman" w:hAnsi="Times New Roman" w:hint="cs"/>
                <w:sz w:val="26"/>
                <w:rtl/>
              </w:rPr>
              <w:t xml:space="preserve"> בעת העברת הנפטר או בעת ההתקשרות בהסכם להעברת הנפטר,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מוצר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="00D22379" w:rsidRPr="00893C3C">
              <w:rPr>
                <w:rFonts w:ascii="Times New Roman" w:eastAsia="Times New Roman" w:hAnsi="Times New Roman" w:hint="eastAsia"/>
                <w:sz w:val="26"/>
                <w:rtl/>
              </w:rPr>
              <w:t>או</w:t>
            </w:r>
            <w:r w:rsidR="00D22379"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שירות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הקשורים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="00D97569" w:rsidRPr="00D97569">
              <w:rPr>
                <w:rFonts w:ascii="Times New Roman" w:eastAsia="Times New Roman" w:hAnsi="Times New Roman" w:hint="cs"/>
                <w:sz w:val="26"/>
                <w:highlight w:val="yellow"/>
                <w:rtl/>
              </w:rPr>
              <w:t>בפטירה</w:t>
            </w:r>
            <w:r w:rsidR="00D97569" w:rsidRPr="00D97569">
              <w:rPr>
                <w:rFonts w:ascii="Times New Roman" w:eastAsia="Times New Roman" w:hAnsi="Times New Roman" w:hint="cs"/>
                <w:sz w:val="26"/>
                <w:rtl/>
              </w:rPr>
              <w:t>,</w:t>
            </w:r>
            <w:r w:rsidR="00D97569">
              <w:rPr>
                <w:rFonts w:ascii="Times New Roman" w:eastAsia="Times New Roman" w:hAnsi="Times New Roman" w:hint="cs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בלוויה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="00D22379">
              <w:rPr>
                <w:rFonts w:ascii="Times New Roman" w:eastAsia="Times New Roman" w:hAnsi="Times New Roman" w:hint="cs"/>
                <w:sz w:val="26"/>
                <w:rtl/>
              </w:rPr>
              <w:t>ו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סידוריה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,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בקבורה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ובהקמת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המצבה</w:t>
            </w:r>
            <w:r w:rsidRPr="00893C3C">
              <w:rPr>
                <w:sz w:val="26"/>
                <w:rtl/>
              </w:rPr>
              <w:t>.</w:t>
            </w:r>
          </w:p>
        </w:tc>
      </w:tr>
      <w:tr w:rsidR="007079E5" w:rsidTr="00D97569">
        <w:trPr>
          <w:cantSplit/>
        </w:trPr>
        <w:tc>
          <w:tcPr>
            <w:tcW w:w="1869" w:type="dxa"/>
          </w:tcPr>
          <w:p w:rsidR="007079E5" w:rsidRDefault="007079E5" w:rsidP="007079E5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7079E5" w:rsidRDefault="007079E5" w:rsidP="007079E5">
            <w:pPr>
              <w:pStyle w:val="TableText"/>
            </w:pPr>
          </w:p>
        </w:tc>
        <w:tc>
          <w:tcPr>
            <w:tcW w:w="624" w:type="dxa"/>
          </w:tcPr>
          <w:p w:rsidR="007079E5" w:rsidRDefault="007079E5" w:rsidP="007079E5">
            <w:pPr>
              <w:pStyle w:val="TableText"/>
            </w:pPr>
          </w:p>
        </w:tc>
        <w:tc>
          <w:tcPr>
            <w:tcW w:w="624" w:type="dxa"/>
          </w:tcPr>
          <w:p w:rsidR="007079E5" w:rsidRDefault="007079E5" w:rsidP="007079E5">
            <w:pPr>
              <w:pStyle w:val="TableText"/>
            </w:pPr>
          </w:p>
        </w:tc>
        <w:tc>
          <w:tcPr>
            <w:tcW w:w="624" w:type="dxa"/>
          </w:tcPr>
          <w:p w:rsidR="007079E5" w:rsidRDefault="007079E5" w:rsidP="007079E5">
            <w:pPr>
              <w:pStyle w:val="TableText"/>
            </w:pPr>
          </w:p>
        </w:tc>
        <w:tc>
          <w:tcPr>
            <w:tcW w:w="624" w:type="dxa"/>
          </w:tcPr>
          <w:p w:rsidR="007079E5" w:rsidRDefault="007079E5" w:rsidP="007079E5">
            <w:pPr>
              <w:pStyle w:val="TableText"/>
            </w:pPr>
          </w:p>
        </w:tc>
        <w:tc>
          <w:tcPr>
            <w:tcW w:w="4646" w:type="dxa"/>
            <w:gridSpan w:val="2"/>
            <w:hideMark/>
          </w:tcPr>
          <w:p w:rsidR="007079E5" w:rsidRPr="00D22379" w:rsidRDefault="00BA7273" w:rsidP="00D9756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Fonts w:ascii="Times New Roman" w:eastAsia="Times New Roman" w:hAnsi="Times New Roman"/>
                <w:sz w:val="26"/>
              </w:rPr>
            </w:pP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הוראות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סעיף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קטן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="00D22379">
              <w:rPr>
                <w:rFonts w:ascii="Times New Roman" w:eastAsia="Times New Roman" w:hAnsi="Times New Roman" w:hint="cs"/>
                <w:sz w:val="26"/>
                <w:rtl/>
              </w:rPr>
              <w:t>(</w:t>
            </w:r>
            <w:r w:rsidR="00AC52C6">
              <w:rPr>
                <w:rFonts w:ascii="Times New Roman" w:eastAsia="Times New Roman" w:hAnsi="Times New Roman" w:hint="cs"/>
                <w:sz w:val="26"/>
                <w:rtl/>
              </w:rPr>
              <w:t>א</w:t>
            </w:r>
            <w:r w:rsidR="00D22379">
              <w:rPr>
                <w:rFonts w:ascii="Times New Roman" w:eastAsia="Times New Roman" w:hAnsi="Times New Roman" w:hint="cs"/>
                <w:sz w:val="26"/>
                <w:rtl/>
              </w:rPr>
              <w:t>)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לא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יחולו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על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מכירה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או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מתן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שירות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על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ידי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="00940BC1">
              <w:rPr>
                <w:rFonts w:ascii="Times New Roman" w:eastAsia="Times New Roman" w:hAnsi="Times New Roman" w:hint="cs"/>
                <w:sz w:val="26"/>
                <w:rtl/>
              </w:rPr>
              <w:t>מי שיש לו</w:t>
            </w:r>
            <w:r w:rsidR="00324D84">
              <w:rPr>
                <w:rFonts w:ascii="Times New Roman" w:eastAsia="Times New Roman" w:hAnsi="Times New Roman" w:hint="cs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רישיון</w:t>
            </w:r>
            <w:r w:rsidR="00324D84">
              <w:rPr>
                <w:rFonts w:ascii="Times New Roman" w:eastAsia="Times New Roman" w:hAnsi="Times New Roman" w:hint="cs"/>
                <w:sz w:val="26"/>
                <w:rtl/>
              </w:rPr>
              <w:t xml:space="preserve"> לעסוק בקבורה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,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המותרת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על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פי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תנאי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הרישיון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או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על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פי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דין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 xml:space="preserve"> </w:t>
            </w:r>
            <w:r w:rsidRPr="00893C3C">
              <w:rPr>
                <w:rFonts w:ascii="Times New Roman" w:eastAsia="Times New Roman" w:hAnsi="Times New Roman" w:hint="eastAsia"/>
                <w:sz w:val="26"/>
                <w:rtl/>
              </w:rPr>
              <w:t>אחר</w:t>
            </w:r>
            <w:r w:rsidRPr="00893C3C">
              <w:rPr>
                <w:rFonts w:ascii="Times New Roman" w:eastAsia="Times New Roman" w:hAnsi="Times New Roman"/>
                <w:sz w:val="26"/>
                <w:rtl/>
              </w:rPr>
              <w:t>.</w:t>
            </w:r>
          </w:p>
        </w:tc>
      </w:tr>
      <w:tr w:rsidR="00D22379" w:rsidTr="00D97569">
        <w:trPr>
          <w:cantSplit/>
        </w:trPr>
        <w:tc>
          <w:tcPr>
            <w:tcW w:w="1869" w:type="dxa"/>
          </w:tcPr>
          <w:p w:rsidR="00D22379" w:rsidRDefault="00D22379" w:rsidP="007079E5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D22379" w:rsidRDefault="00D22379" w:rsidP="00D22379">
            <w:pPr>
              <w:pStyle w:val="TableText"/>
            </w:pPr>
          </w:p>
        </w:tc>
        <w:tc>
          <w:tcPr>
            <w:tcW w:w="624" w:type="dxa"/>
          </w:tcPr>
          <w:p w:rsidR="00D22379" w:rsidRDefault="00D22379" w:rsidP="007079E5">
            <w:pPr>
              <w:pStyle w:val="TableText"/>
            </w:pPr>
          </w:p>
        </w:tc>
        <w:tc>
          <w:tcPr>
            <w:tcW w:w="624" w:type="dxa"/>
          </w:tcPr>
          <w:p w:rsidR="00D22379" w:rsidRDefault="00D22379" w:rsidP="007079E5">
            <w:pPr>
              <w:pStyle w:val="TableText"/>
            </w:pPr>
          </w:p>
        </w:tc>
        <w:tc>
          <w:tcPr>
            <w:tcW w:w="624" w:type="dxa"/>
          </w:tcPr>
          <w:p w:rsidR="00D22379" w:rsidRDefault="00D22379" w:rsidP="007079E5">
            <w:pPr>
              <w:pStyle w:val="TableText"/>
            </w:pPr>
          </w:p>
        </w:tc>
        <w:tc>
          <w:tcPr>
            <w:tcW w:w="624" w:type="dxa"/>
          </w:tcPr>
          <w:p w:rsidR="00D22379" w:rsidRDefault="00D22379" w:rsidP="007079E5">
            <w:pPr>
              <w:pStyle w:val="TableText"/>
            </w:pPr>
          </w:p>
        </w:tc>
        <w:tc>
          <w:tcPr>
            <w:tcW w:w="4646" w:type="dxa"/>
            <w:gridSpan w:val="2"/>
          </w:tcPr>
          <w:p w:rsidR="00D22379" w:rsidRDefault="007D5E10" w:rsidP="00D9756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עוסק </w:t>
            </w:r>
            <w:r w:rsidR="00DE1D3A">
              <w:rPr>
                <w:rFonts w:hint="cs"/>
                <w:rtl/>
              </w:rPr>
              <w:t>בהעברת נפטרים</w:t>
            </w:r>
            <w:r w:rsidR="00D2237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="00D22379">
              <w:rPr>
                <w:rFonts w:hint="cs"/>
                <w:rtl/>
              </w:rPr>
              <w:t xml:space="preserve">מתקשר </w:t>
            </w:r>
            <w:r w:rsidR="0097169C">
              <w:rPr>
                <w:rFonts w:hint="cs"/>
                <w:rtl/>
              </w:rPr>
              <w:t xml:space="preserve">בהסכם </w:t>
            </w:r>
            <w:r w:rsidR="00D22379">
              <w:rPr>
                <w:rFonts w:hint="cs"/>
                <w:rtl/>
              </w:rPr>
              <w:t>עם אדם לשם העברת נפטר לקבורה ו</w:t>
            </w:r>
            <w:r>
              <w:rPr>
                <w:rFonts w:hint="cs"/>
                <w:rtl/>
              </w:rPr>
              <w:t xml:space="preserve">הוא </w:t>
            </w:r>
            <w:r w:rsidR="00D22379">
              <w:rPr>
                <w:rFonts w:hint="cs"/>
                <w:rtl/>
              </w:rPr>
              <w:t xml:space="preserve">אינו בעל רישיון לעסוק בקבורה </w:t>
            </w:r>
            <w:r w:rsidR="007A3841">
              <w:rPr>
                <w:rFonts w:hint="cs"/>
                <w:rtl/>
              </w:rPr>
              <w:t>יודיע</w:t>
            </w:r>
            <w:r w:rsidR="00D22379">
              <w:rPr>
                <w:rFonts w:hint="cs"/>
                <w:rtl/>
              </w:rPr>
              <w:t xml:space="preserve"> לאותו אדם בטרם ההתקשרות</w:t>
            </w:r>
            <w:r>
              <w:rPr>
                <w:rFonts w:hint="cs"/>
                <w:rtl/>
              </w:rPr>
              <w:t xml:space="preserve"> עמו</w:t>
            </w:r>
            <w:r w:rsidR="00D22379">
              <w:rPr>
                <w:rFonts w:hint="cs"/>
                <w:rtl/>
              </w:rPr>
              <w:t xml:space="preserve"> כי הוא זכאי לקבל את שירות העברת הנפטר ללא עלות מגוף שיש לו רישיון לעסוק בקבורה הנמצא במקום המגורים של הנפטר או במקום פטירתו</w:t>
            </w:r>
            <w:r w:rsidR="00F5677A">
              <w:rPr>
                <w:rFonts w:hint="cs"/>
                <w:rtl/>
              </w:rPr>
              <w:t>.</w:t>
            </w:r>
            <w:r w:rsidR="00473B8E">
              <w:rPr>
                <w:rFonts w:hint="cs"/>
                <w:rtl/>
              </w:rPr>
              <w:t xml:space="preserve"> </w:t>
            </w:r>
          </w:p>
        </w:tc>
      </w:tr>
      <w:tr w:rsidR="00EA3910" w:rsidTr="00D97569">
        <w:trPr>
          <w:cantSplit/>
        </w:trPr>
        <w:tc>
          <w:tcPr>
            <w:tcW w:w="1869" w:type="dxa"/>
          </w:tcPr>
          <w:p w:rsidR="00EA3910" w:rsidRDefault="00EA3910" w:rsidP="007079E5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EA3910" w:rsidRDefault="00EA3910" w:rsidP="00EA3910">
            <w:pPr>
              <w:pStyle w:val="TableText"/>
            </w:pPr>
          </w:p>
        </w:tc>
        <w:tc>
          <w:tcPr>
            <w:tcW w:w="624" w:type="dxa"/>
          </w:tcPr>
          <w:p w:rsidR="00EA3910" w:rsidRDefault="00EA3910" w:rsidP="007079E5">
            <w:pPr>
              <w:pStyle w:val="TableText"/>
            </w:pPr>
          </w:p>
        </w:tc>
        <w:tc>
          <w:tcPr>
            <w:tcW w:w="624" w:type="dxa"/>
          </w:tcPr>
          <w:p w:rsidR="00EA3910" w:rsidRDefault="00EA3910" w:rsidP="007079E5">
            <w:pPr>
              <w:pStyle w:val="TableText"/>
            </w:pPr>
          </w:p>
        </w:tc>
        <w:tc>
          <w:tcPr>
            <w:tcW w:w="624" w:type="dxa"/>
          </w:tcPr>
          <w:p w:rsidR="00EA3910" w:rsidRDefault="00EA3910" w:rsidP="007079E5">
            <w:pPr>
              <w:pStyle w:val="TableText"/>
            </w:pPr>
          </w:p>
        </w:tc>
        <w:tc>
          <w:tcPr>
            <w:tcW w:w="624" w:type="dxa"/>
          </w:tcPr>
          <w:p w:rsidR="00EA3910" w:rsidRDefault="00EA3910" w:rsidP="007079E5">
            <w:pPr>
              <w:pStyle w:val="TableText"/>
            </w:pPr>
          </w:p>
        </w:tc>
        <w:tc>
          <w:tcPr>
            <w:tcW w:w="4646" w:type="dxa"/>
            <w:gridSpan w:val="2"/>
          </w:tcPr>
          <w:p w:rsidR="00EA3910" w:rsidRDefault="00EA3910" w:rsidP="00D9756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נטל ההוכחה לעניין העברת ההודעה כאמור בסעיף קטן (ג) הוא על נותן השירות, למעט לעניין סעיף קטן (</w:t>
            </w:r>
            <w:r w:rsidR="007C77BD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)</w:t>
            </w:r>
            <w:r w:rsidR="00470C68">
              <w:rPr>
                <w:rFonts w:hint="cs"/>
                <w:rtl/>
              </w:rPr>
              <w:t>(2)</w:t>
            </w:r>
            <w:r>
              <w:rPr>
                <w:rFonts w:hint="cs"/>
                <w:rtl/>
              </w:rPr>
              <w:t>.</w:t>
            </w:r>
          </w:p>
        </w:tc>
      </w:tr>
      <w:tr w:rsidR="00787AC9" w:rsidTr="00D97569">
        <w:trPr>
          <w:cantSplit/>
        </w:trPr>
        <w:tc>
          <w:tcPr>
            <w:tcW w:w="1869" w:type="dxa"/>
          </w:tcPr>
          <w:p w:rsidR="00787AC9" w:rsidRDefault="00787AC9" w:rsidP="007079E5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787AC9" w:rsidRDefault="00787AC9" w:rsidP="00AC52C6">
            <w:pPr>
              <w:pStyle w:val="TableText"/>
            </w:pPr>
          </w:p>
        </w:tc>
        <w:tc>
          <w:tcPr>
            <w:tcW w:w="624" w:type="dxa"/>
          </w:tcPr>
          <w:p w:rsidR="00787AC9" w:rsidRDefault="00787AC9" w:rsidP="007079E5">
            <w:pPr>
              <w:pStyle w:val="TableText"/>
            </w:pPr>
          </w:p>
        </w:tc>
        <w:tc>
          <w:tcPr>
            <w:tcW w:w="624" w:type="dxa"/>
          </w:tcPr>
          <w:p w:rsidR="00787AC9" w:rsidRDefault="00787AC9" w:rsidP="007079E5">
            <w:pPr>
              <w:pStyle w:val="TableText"/>
            </w:pPr>
          </w:p>
        </w:tc>
        <w:tc>
          <w:tcPr>
            <w:tcW w:w="624" w:type="dxa"/>
          </w:tcPr>
          <w:p w:rsidR="00787AC9" w:rsidRDefault="00787AC9" w:rsidP="007079E5">
            <w:pPr>
              <w:pStyle w:val="TableText"/>
            </w:pPr>
          </w:p>
        </w:tc>
        <w:tc>
          <w:tcPr>
            <w:tcW w:w="624" w:type="dxa"/>
          </w:tcPr>
          <w:p w:rsidR="00787AC9" w:rsidRDefault="00787AC9" w:rsidP="007079E5">
            <w:pPr>
              <w:pStyle w:val="TableText"/>
            </w:pPr>
          </w:p>
        </w:tc>
        <w:tc>
          <w:tcPr>
            <w:tcW w:w="4646" w:type="dxa"/>
            <w:gridSpan w:val="2"/>
          </w:tcPr>
          <w:p w:rsidR="007A3841" w:rsidRPr="00795F45" w:rsidRDefault="007A3841" w:rsidP="00D9756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702D5A">
              <w:rPr>
                <w:rFonts w:hint="cs"/>
                <w:sz w:val="26"/>
                <w:rtl/>
              </w:rPr>
              <w:t>העושה אחד מאלה, דינו-  קנס כאמור בסעיף 61(א)(1) לחוק העונשין, התשל"ז-1977</w:t>
            </w:r>
            <w:r w:rsidR="00746F9F">
              <w:rPr>
                <w:rStyle w:val="a9"/>
                <w:sz w:val="26"/>
                <w:rtl/>
              </w:rPr>
              <w:footnoteReference w:id="2"/>
            </w:r>
            <w:r w:rsidRPr="00702D5A">
              <w:rPr>
                <w:rFonts w:hint="cs"/>
                <w:sz w:val="26"/>
                <w:rtl/>
              </w:rPr>
              <w:t>:</w:t>
            </w:r>
          </w:p>
        </w:tc>
      </w:tr>
      <w:tr w:rsidR="00D97569" w:rsidTr="00D97569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D97569" w:rsidRDefault="00D97569">
            <w:pPr>
              <w:pStyle w:val="TableSideHeading"/>
            </w:pPr>
          </w:p>
        </w:tc>
        <w:tc>
          <w:tcPr>
            <w:tcW w:w="625" w:type="dxa"/>
          </w:tcPr>
          <w:p w:rsidR="00D97569" w:rsidRDefault="00D97569">
            <w:pPr>
              <w:pStyle w:val="TableText"/>
            </w:pPr>
          </w:p>
        </w:tc>
        <w:tc>
          <w:tcPr>
            <w:tcW w:w="624" w:type="dxa"/>
          </w:tcPr>
          <w:p w:rsidR="00D97569" w:rsidRDefault="00D97569">
            <w:pPr>
              <w:pStyle w:val="TableText"/>
            </w:pPr>
          </w:p>
        </w:tc>
        <w:tc>
          <w:tcPr>
            <w:tcW w:w="624" w:type="dxa"/>
          </w:tcPr>
          <w:p w:rsidR="00D97569" w:rsidRDefault="00D97569">
            <w:pPr>
              <w:pStyle w:val="TableText"/>
            </w:pPr>
          </w:p>
        </w:tc>
        <w:tc>
          <w:tcPr>
            <w:tcW w:w="624" w:type="dxa"/>
          </w:tcPr>
          <w:p w:rsidR="00D97569" w:rsidRDefault="00D97569">
            <w:pPr>
              <w:pStyle w:val="TableText"/>
            </w:pPr>
          </w:p>
        </w:tc>
        <w:tc>
          <w:tcPr>
            <w:tcW w:w="624" w:type="dxa"/>
          </w:tcPr>
          <w:p w:rsidR="00D97569" w:rsidRDefault="00D97569">
            <w:pPr>
              <w:pStyle w:val="TableText"/>
            </w:pPr>
          </w:p>
        </w:tc>
        <w:tc>
          <w:tcPr>
            <w:tcW w:w="624" w:type="dxa"/>
          </w:tcPr>
          <w:p w:rsidR="00D97569" w:rsidRDefault="00D97569">
            <w:pPr>
              <w:pStyle w:val="TableText"/>
            </w:pPr>
          </w:p>
        </w:tc>
        <w:tc>
          <w:tcPr>
            <w:tcW w:w="4022" w:type="dxa"/>
          </w:tcPr>
          <w:p w:rsidR="00D97569" w:rsidRPr="00D97569" w:rsidRDefault="00D97569" w:rsidP="00D97569">
            <w:pPr>
              <w:pStyle w:val="TableBlock"/>
            </w:pPr>
            <w:r>
              <w:rPr>
                <w:rFonts w:hint="cs"/>
                <w:rtl/>
              </w:rPr>
              <w:t xml:space="preserve">(1) </w:t>
            </w:r>
            <w:r w:rsidRPr="00D97569">
              <w:rPr>
                <w:rFonts w:hint="cs"/>
                <w:rtl/>
              </w:rPr>
              <w:t>העביר נפטר ומכר, הציע למכירה או שיווק בדרך אחרת מוצר או שירות הקשורים בלוויה וסידוריה, בקבורה ובהקמת המצבה בניגוד להוראות סעיף 14א10(א);</w:t>
            </w:r>
          </w:p>
        </w:tc>
      </w:tr>
      <w:tr w:rsidR="00756258" w:rsidTr="00D97569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756258" w:rsidRDefault="00756258">
            <w:pPr>
              <w:pStyle w:val="TableSideHeading"/>
            </w:pPr>
          </w:p>
        </w:tc>
        <w:tc>
          <w:tcPr>
            <w:tcW w:w="625" w:type="dxa"/>
          </w:tcPr>
          <w:p w:rsidR="00756258" w:rsidRDefault="00756258">
            <w:pPr>
              <w:pStyle w:val="TableText"/>
            </w:pPr>
          </w:p>
        </w:tc>
        <w:tc>
          <w:tcPr>
            <w:tcW w:w="624" w:type="dxa"/>
          </w:tcPr>
          <w:p w:rsidR="00756258" w:rsidRDefault="00756258">
            <w:pPr>
              <w:pStyle w:val="TableText"/>
            </w:pPr>
          </w:p>
        </w:tc>
        <w:tc>
          <w:tcPr>
            <w:tcW w:w="624" w:type="dxa"/>
          </w:tcPr>
          <w:p w:rsidR="00756258" w:rsidRDefault="00756258">
            <w:pPr>
              <w:pStyle w:val="TableText"/>
            </w:pPr>
          </w:p>
        </w:tc>
        <w:tc>
          <w:tcPr>
            <w:tcW w:w="624" w:type="dxa"/>
          </w:tcPr>
          <w:p w:rsidR="00756258" w:rsidRDefault="00756258">
            <w:pPr>
              <w:pStyle w:val="TableText"/>
            </w:pPr>
          </w:p>
        </w:tc>
        <w:tc>
          <w:tcPr>
            <w:tcW w:w="624" w:type="dxa"/>
          </w:tcPr>
          <w:p w:rsidR="00756258" w:rsidRDefault="00756258">
            <w:pPr>
              <w:pStyle w:val="TableText"/>
            </w:pPr>
          </w:p>
        </w:tc>
        <w:tc>
          <w:tcPr>
            <w:tcW w:w="624" w:type="dxa"/>
          </w:tcPr>
          <w:p w:rsidR="00756258" w:rsidRDefault="00756258">
            <w:pPr>
              <w:pStyle w:val="TableText"/>
            </w:pPr>
          </w:p>
        </w:tc>
        <w:tc>
          <w:tcPr>
            <w:tcW w:w="4022" w:type="dxa"/>
          </w:tcPr>
          <w:p w:rsidR="00756258" w:rsidRPr="00D97569" w:rsidRDefault="00D97569" w:rsidP="00D97569">
            <w:pPr>
              <w:pStyle w:val="TableBlock"/>
            </w:pPr>
            <w:r>
              <w:rPr>
                <w:rFonts w:hint="cs"/>
                <w:rtl/>
              </w:rPr>
              <w:t xml:space="preserve">(2) </w:t>
            </w:r>
            <w:r w:rsidR="00756258" w:rsidRPr="00D97569">
              <w:rPr>
                <w:rFonts w:hint="cs"/>
                <w:rtl/>
              </w:rPr>
              <w:t xml:space="preserve">עוסק </w:t>
            </w:r>
            <w:r w:rsidR="00DE1D3A" w:rsidRPr="00D97569">
              <w:rPr>
                <w:rFonts w:hint="cs"/>
                <w:rtl/>
              </w:rPr>
              <w:t>בהעברת נפטרים</w:t>
            </w:r>
            <w:r w:rsidR="00756258" w:rsidRPr="00D97569">
              <w:rPr>
                <w:rFonts w:hint="cs"/>
                <w:rtl/>
              </w:rPr>
              <w:t xml:space="preserve">, שאינו בעל רישיון, המתקשר </w:t>
            </w:r>
            <w:r w:rsidR="007C77BD" w:rsidRPr="00D97569">
              <w:rPr>
                <w:rFonts w:hint="cs"/>
                <w:rtl/>
              </w:rPr>
              <w:t xml:space="preserve">בהסכם </w:t>
            </w:r>
            <w:r w:rsidR="00756258" w:rsidRPr="00D97569">
              <w:rPr>
                <w:rFonts w:hint="cs"/>
                <w:rtl/>
              </w:rPr>
              <w:t>עם אדם לשם העברת נפטר לקבורה, ולא הודיע לאדם עמו הוא מתקשר כי הוא זכאי לקבל שירות זה ללא עלות מגוף שיש לו רישיון לעסוק בקבורה בניגוד להוראות סעיף 14א10(ג)</w:t>
            </w:r>
            <w:r w:rsidR="00F5677A" w:rsidRPr="00D97569">
              <w:rPr>
                <w:rFonts w:hint="cs"/>
                <w:rtl/>
              </w:rPr>
              <w:t>.</w:t>
            </w:r>
          </w:p>
        </w:tc>
      </w:tr>
      <w:tr w:rsidR="00C30333" w:rsidTr="00D97569">
        <w:trPr>
          <w:cantSplit/>
        </w:trPr>
        <w:tc>
          <w:tcPr>
            <w:tcW w:w="1869" w:type="dxa"/>
          </w:tcPr>
          <w:p w:rsidR="00C30333" w:rsidRDefault="00C30333" w:rsidP="007079E5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C30333" w:rsidRDefault="00C30333" w:rsidP="00C30333">
            <w:pPr>
              <w:pStyle w:val="TableText"/>
            </w:pPr>
          </w:p>
        </w:tc>
        <w:tc>
          <w:tcPr>
            <w:tcW w:w="624" w:type="dxa"/>
          </w:tcPr>
          <w:p w:rsidR="00C30333" w:rsidRDefault="00C30333" w:rsidP="007079E5">
            <w:pPr>
              <w:pStyle w:val="TableText"/>
            </w:pPr>
          </w:p>
        </w:tc>
        <w:tc>
          <w:tcPr>
            <w:tcW w:w="624" w:type="dxa"/>
          </w:tcPr>
          <w:p w:rsidR="00C30333" w:rsidRDefault="00C30333" w:rsidP="007079E5">
            <w:pPr>
              <w:pStyle w:val="TableText"/>
            </w:pPr>
          </w:p>
        </w:tc>
        <w:tc>
          <w:tcPr>
            <w:tcW w:w="624" w:type="dxa"/>
          </w:tcPr>
          <w:p w:rsidR="00C30333" w:rsidRDefault="00C30333" w:rsidP="007079E5">
            <w:pPr>
              <w:pStyle w:val="TableText"/>
            </w:pPr>
          </w:p>
        </w:tc>
        <w:tc>
          <w:tcPr>
            <w:tcW w:w="624" w:type="dxa"/>
          </w:tcPr>
          <w:p w:rsidR="00C30333" w:rsidRDefault="00C30333" w:rsidP="007079E5">
            <w:pPr>
              <w:pStyle w:val="TableText"/>
            </w:pPr>
          </w:p>
        </w:tc>
        <w:tc>
          <w:tcPr>
            <w:tcW w:w="4646" w:type="dxa"/>
            <w:gridSpan w:val="2"/>
          </w:tcPr>
          <w:p w:rsidR="00C30333" w:rsidRDefault="007C77BD" w:rsidP="00D9756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מבלי לגרוע מחוק הגנת הצרכן, התשמ"א-1981, מי שעוסק בהעברת נפטרים לא יתקשר בהסכם עם אדם לשם העברת נפטר תוך הפעלת לחץ, הטרדה או תוך ניצול מצוקה של קרוב הנפטר הקשורה בפטירתו.</w:t>
            </w:r>
          </w:p>
        </w:tc>
      </w:tr>
      <w:tr w:rsidR="007C77BD" w:rsidTr="00D97569">
        <w:trPr>
          <w:cantSplit/>
        </w:trPr>
        <w:tc>
          <w:tcPr>
            <w:tcW w:w="1869" w:type="dxa"/>
          </w:tcPr>
          <w:p w:rsidR="007C77BD" w:rsidRDefault="007C77BD" w:rsidP="007079E5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7C77BD" w:rsidRDefault="007C77BD" w:rsidP="007C77BD">
            <w:pPr>
              <w:pStyle w:val="TableText"/>
            </w:pPr>
          </w:p>
        </w:tc>
        <w:tc>
          <w:tcPr>
            <w:tcW w:w="624" w:type="dxa"/>
          </w:tcPr>
          <w:p w:rsidR="007C77BD" w:rsidRDefault="007C77BD" w:rsidP="007079E5">
            <w:pPr>
              <w:pStyle w:val="TableText"/>
            </w:pPr>
          </w:p>
        </w:tc>
        <w:tc>
          <w:tcPr>
            <w:tcW w:w="624" w:type="dxa"/>
          </w:tcPr>
          <w:p w:rsidR="007C77BD" w:rsidRDefault="007C77BD" w:rsidP="007079E5">
            <w:pPr>
              <w:pStyle w:val="TableText"/>
            </w:pPr>
          </w:p>
        </w:tc>
        <w:tc>
          <w:tcPr>
            <w:tcW w:w="624" w:type="dxa"/>
          </w:tcPr>
          <w:p w:rsidR="007C77BD" w:rsidRDefault="007C77BD" w:rsidP="007079E5">
            <w:pPr>
              <w:pStyle w:val="TableText"/>
            </w:pPr>
          </w:p>
        </w:tc>
        <w:tc>
          <w:tcPr>
            <w:tcW w:w="624" w:type="dxa"/>
          </w:tcPr>
          <w:p w:rsidR="007C77BD" w:rsidRDefault="007C77BD" w:rsidP="007079E5">
            <w:pPr>
              <w:pStyle w:val="TableText"/>
            </w:pPr>
          </w:p>
        </w:tc>
        <w:tc>
          <w:tcPr>
            <w:tcW w:w="4646" w:type="dxa"/>
            <w:gridSpan w:val="2"/>
          </w:tcPr>
          <w:p w:rsidR="007C77BD" w:rsidRDefault="007C77BD" w:rsidP="00D9756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התקשר מי שעוסק בהעברת נפטרים עם קרוב של נפטר בהסכם לשם העברת נפטר רשאי </w:t>
            </w:r>
            <w:r>
              <w:rPr>
                <w:rtl/>
              </w:rPr>
              <w:t xml:space="preserve">בית המשפט </w:t>
            </w:r>
            <w:r w:rsidR="003F6C12">
              <w:rPr>
                <w:rFonts w:hint="cs"/>
                <w:rtl/>
              </w:rPr>
              <w:t xml:space="preserve">לפסוק </w:t>
            </w:r>
            <w:r>
              <w:rPr>
                <w:rtl/>
              </w:rPr>
              <w:t>פיצויים שאינם תלויים בנזק</w:t>
            </w:r>
            <w:r w:rsidRPr="00C30333">
              <w:rPr>
                <w:rtl/>
              </w:rPr>
              <w:t xml:space="preserve">, בסכום שלא יעלה על </w:t>
            </w:r>
            <w:r>
              <w:rPr>
                <w:rFonts w:hint="cs"/>
                <w:rtl/>
              </w:rPr>
              <w:t>5</w:t>
            </w:r>
            <w:r w:rsidRPr="00C30333">
              <w:rPr>
                <w:rtl/>
              </w:rPr>
              <w:t>,000 שקלים חדשים</w:t>
            </w:r>
            <w:r>
              <w:rPr>
                <w:rFonts w:hint="cs"/>
                <w:rtl/>
              </w:rPr>
              <w:t xml:space="preserve"> אם מצא כי הפר מי שעוסק בקבורת נפטרים ביודעין את ההוראה הקבועה בסעיף קטן (</w:t>
            </w:r>
            <w:r w:rsidR="00846608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).</w:t>
            </w:r>
          </w:p>
        </w:tc>
      </w:tr>
      <w:tr w:rsidR="00D97569" w:rsidTr="00D97569">
        <w:trPr>
          <w:cantSplit/>
        </w:trPr>
        <w:tc>
          <w:tcPr>
            <w:tcW w:w="1869" w:type="dxa"/>
          </w:tcPr>
          <w:p w:rsidR="00D97569" w:rsidRDefault="00D97569" w:rsidP="007079E5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D97569" w:rsidRDefault="00D97569" w:rsidP="00D97569">
            <w:pPr>
              <w:pStyle w:val="TableText"/>
            </w:pPr>
          </w:p>
        </w:tc>
        <w:tc>
          <w:tcPr>
            <w:tcW w:w="624" w:type="dxa"/>
          </w:tcPr>
          <w:p w:rsidR="00D97569" w:rsidRDefault="00D97569" w:rsidP="007079E5">
            <w:pPr>
              <w:pStyle w:val="TableText"/>
            </w:pPr>
          </w:p>
        </w:tc>
        <w:tc>
          <w:tcPr>
            <w:tcW w:w="624" w:type="dxa"/>
          </w:tcPr>
          <w:p w:rsidR="00D97569" w:rsidRDefault="00D97569" w:rsidP="007079E5">
            <w:pPr>
              <w:pStyle w:val="TableText"/>
            </w:pPr>
          </w:p>
        </w:tc>
        <w:tc>
          <w:tcPr>
            <w:tcW w:w="624" w:type="dxa"/>
          </w:tcPr>
          <w:p w:rsidR="00D97569" w:rsidRDefault="00D97569" w:rsidP="007079E5">
            <w:pPr>
              <w:pStyle w:val="TableText"/>
            </w:pPr>
          </w:p>
        </w:tc>
        <w:tc>
          <w:tcPr>
            <w:tcW w:w="624" w:type="dxa"/>
          </w:tcPr>
          <w:p w:rsidR="00D97569" w:rsidRDefault="00D97569" w:rsidP="007079E5">
            <w:pPr>
              <w:pStyle w:val="TableText"/>
            </w:pPr>
          </w:p>
        </w:tc>
        <w:tc>
          <w:tcPr>
            <w:tcW w:w="4646" w:type="dxa"/>
            <w:gridSpan w:val="2"/>
          </w:tcPr>
          <w:p w:rsidR="00D97569" w:rsidRDefault="00D97569" w:rsidP="00D9756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אין בהוראות סעיף קטן (ז) כדי לגרוע מזכותו של אדם לפיצויים או לכל סעד אחר לפי כל דין, בשל אותה הפרה.</w:t>
            </w:r>
          </w:p>
        </w:tc>
      </w:tr>
    </w:tbl>
    <w:p w:rsidR="007079E5" w:rsidRDefault="007079E5" w:rsidP="00637DB9">
      <w:pPr>
        <w:pStyle w:val="HeadDivreiHesber"/>
        <w:rPr>
          <w:rtl/>
        </w:rPr>
      </w:pPr>
    </w:p>
    <w:p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bookmarkStart w:id="2" w:name="LGSSugestions"/>
      <w:r>
        <w:rPr>
          <w:rFonts w:hint="cs"/>
          <w:b w:val="0"/>
          <w:bCs w:val="0"/>
          <w:rtl/>
        </w:rPr>
        <w:t xml:space="preserve"> </w:t>
      </w:r>
      <w:bookmarkEnd w:id="2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4AA" w:rsidRDefault="006F44AA" w:rsidP="003D61FD">
      <w:pPr>
        <w:pStyle w:val="HeadHatzaotHok"/>
      </w:pPr>
      <w:r>
        <w:separator/>
      </w:r>
    </w:p>
  </w:endnote>
  <w:endnote w:type="continuationSeparator" w:id="0">
    <w:p w:rsidR="006F44AA" w:rsidRDefault="006F44AA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4CA" w:rsidRDefault="005F64CA" w:rsidP="003D61FD">
    <w:pPr>
      <w:pStyle w:val="a8"/>
      <w:framePr w:wrap="around" w:vAnchor="text" w:hAnchor="text" w:xAlign="center" w:y="1"/>
      <w:rPr>
        <w:rStyle w:val="ae"/>
      </w:rPr>
    </w:pPr>
    <w:r>
      <w:rPr>
        <w:rStyle w:val="ae"/>
        <w:rtl/>
      </w:rPr>
      <w:fldChar w:fldCharType="begin"/>
    </w:r>
    <w:r>
      <w:rPr>
        <w:rStyle w:val="ae"/>
      </w:rPr>
      <w:instrText xml:space="preserve">PAGE  </w:instrText>
    </w:r>
    <w:r>
      <w:rPr>
        <w:rStyle w:val="ae"/>
        <w:rtl/>
      </w:rPr>
      <w:fldChar w:fldCharType="end"/>
    </w:r>
  </w:p>
  <w:p w:rsidR="005F64CA" w:rsidRDefault="005F64C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4CA" w:rsidRDefault="005F64CA" w:rsidP="003D61FD">
    <w:pPr>
      <w:pStyle w:val="a8"/>
      <w:framePr w:wrap="around" w:vAnchor="text" w:hAnchor="text" w:xAlign="center" w:y="1"/>
      <w:rPr>
        <w:rStyle w:val="ae"/>
      </w:rPr>
    </w:pPr>
    <w:r>
      <w:rPr>
        <w:rStyle w:val="ae"/>
        <w:rtl/>
      </w:rPr>
      <w:fldChar w:fldCharType="begin"/>
    </w:r>
    <w:r>
      <w:rPr>
        <w:rStyle w:val="ae"/>
      </w:rPr>
      <w:instrText xml:space="preserve">PAGE  </w:instrText>
    </w:r>
    <w:r>
      <w:rPr>
        <w:rStyle w:val="ae"/>
        <w:rtl/>
      </w:rPr>
      <w:fldChar w:fldCharType="separate"/>
    </w:r>
    <w:r w:rsidR="00B833F3">
      <w:rPr>
        <w:rStyle w:val="ae"/>
        <w:noProof/>
        <w:rtl/>
      </w:rPr>
      <w:t>2</w:t>
    </w:r>
    <w:r>
      <w:rPr>
        <w:rStyle w:val="ae"/>
        <w:rtl/>
      </w:rPr>
      <w:fldChar w:fldCharType="end"/>
    </w:r>
  </w:p>
  <w:p w:rsidR="005F64CA" w:rsidRDefault="005F64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4AA" w:rsidRDefault="006F44AA" w:rsidP="003D61FD">
      <w:pPr>
        <w:pStyle w:val="HeadHatzaotHok"/>
        <w:jc w:val="both"/>
      </w:pPr>
      <w:r>
        <w:separator/>
      </w:r>
    </w:p>
  </w:footnote>
  <w:footnote w:type="continuationSeparator" w:id="0">
    <w:p w:rsidR="006F44AA" w:rsidRDefault="006F44AA" w:rsidP="003D61FD">
      <w:pPr>
        <w:pStyle w:val="HeadHatzaotHok"/>
      </w:pPr>
      <w:r>
        <w:continuationSeparator/>
      </w:r>
    </w:p>
  </w:footnote>
  <w:footnote w:id="1">
    <w:p w:rsidR="005F64CA" w:rsidRDefault="005F64CA" w:rsidP="008F4B46">
      <w:pPr>
        <w:pStyle w:val="aa"/>
        <w:rPr>
          <w:rtl/>
        </w:rPr>
      </w:pPr>
      <w:r>
        <w:rPr>
          <w:rStyle w:val="a9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התשל"א</w:t>
      </w:r>
      <w:proofErr w:type="spellEnd"/>
      <w:r>
        <w:rPr>
          <w:rFonts w:hint="cs"/>
          <w:rtl/>
        </w:rPr>
        <w:t>, עמ' עמ' 130.</w:t>
      </w:r>
    </w:p>
  </w:footnote>
  <w:footnote w:id="2">
    <w:p w:rsidR="00746F9F" w:rsidRDefault="00746F9F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 w:rsidR="00A60668">
        <w:rPr>
          <w:rFonts w:hint="cs"/>
          <w:rtl/>
        </w:rPr>
        <w:t xml:space="preserve">ס"ח </w:t>
      </w:r>
      <w:proofErr w:type="spellStart"/>
      <w:r w:rsidR="00A60668">
        <w:rPr>
          <w:rFonts w:hint="cs"/>
          <w:rtl/>
        </w:rPr>
        <w:t>התשל"ז</w:t>
      </w:r>
      <w:proofErr w:type="spellEnd"/>
      <w:r w:rsidR="00A60668">
        <w:rPr>
          <w:rFonts w:hint="cs"/>
          <w:rtl/>
        </w:rPr>
        <w:t>, עמ' 226.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5C501C5"/>
    <w:multiLevelType w:val="hybridMultilevel"/>
    <w:tmpl w:val="C4EC3284"/>
    <w:lvl w:ilvl="0" w:tplc="456CA538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ACB1F17"/>
    <w:multiLevelType w:val="hybridMultilevel"/>
    <w:tmpl w:val="CFB4C958"/>
    <w:lvl w:ilvl="0" w:tplc="F05E05B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7E188E"/>
    <w:multiLevelType w:val="hybridMultilevel"/>
    <w:tmpl w:val="7C9E1AEA"/>
    <w:lvl w:ilvl="0" w:tplc="D3D4E8B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0206A"/>
    <w:multiLevelType w:val="hybridMultilevel"/>
    <w:tmpl w:val="D6089FFE"/>
    <w:lvl w:ilvl="0" w:tplc="8CFE4F3A">
      <w:start w:val="1"/>
      <w:numFmt w:val="hebrew1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6D2D6D"/>
    <w:multiLevelType w:val="hybridMultilevel"/>
    <w:tmpl w:val="D1C4033C"/>
    <w:lvl w:ilvl="0" w:tplc="1F045BB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9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05263"/>
    <w:rsid w:val="00022EBF"/>
    <w:rsid w:val="0002643E"/>
    <w:rsid w:val="0002757A"/>
    <w:rsid w:val="00027E2D"/>
    <w:rsid w:val="00033033"/>
    <w:rsid w:val="00033389"/>
    <w:rsid w:val="000470B8"/>
    <w:rsid w:val="00047882"/>
    <w:rsid w:val="00077AF1"/>
    <w:rsid w:val="000845F7"/>
    <w:rsid w:val="00097925"/>
    <w:rsid w:val="000E3B18"/>
    <w:rsid w:val="000E4563"/>
    <w:rsid w:val="000E7E08"/>
    <w:rsid w:val="000F6D7C"/>
    <w:rsid w:val="001028AE"/>
    <w:rsid w:val="00106575"/>
    <w:rsid w:val="00123F23"/>
    <w:rsid w:val="00123F73"/>
    <w:rsid w:val="001253F6"/>
    <w:rsid w:val="00146D7A"/>
    <w:rsid w:val="00185E46"/>
    <w:rsid w:val="001A6799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80B87"/>
    <w:rsid w:val="00294114"/>
    <w:rsid w:val="002A6F65"/>
    <w:rsid w:val="002C4285"/>
    <w:rsid w:val="002D0036"/>
    <w:rsid w:val="002D7EFF"/>
    <w:rsid w:val="002E1F11"/>
    <w:rsid w:val="002E6458"/>
    <w:rsid w:val="00324D84"/>
    <w:rsid w:val="00331786"/>
    <w:rsid w:val="00337103"/>
    <w:rsid w:val="0034385F"/>
    <w:rsid w:val="00352E82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3F6AF6"/>
    <w:rsid w:val="003F6C12"/>
    <w:rsid w:val="0040535C"/>
    <w:rsid w:val="004239B4"/>
    <w:rsid w:val="004265E2"/>
    <w:rsid w:val="00443D7D"/>
    <w:rsid w:val="00470C68"/>
    <w:rsid w:val="00472FCA"/>
    <w:rsid w:val="00473B8E"/>
    <w:rsid w:val="004B1418"/>
    <w:rsid w:val="004B1FDD"/>
    <w:rsid w:val="004C68A2"/>
    <w:rsid w:val="004E5C52"/>
    <w:rsid w:val="004E5E15"/>
    <w:rsid w:val="004F4E19"/>
    <w:rsid w:val="0052521E"/>
    <w:rsid w:val="005527D3"/>
    <w:rsid w:val="005652C2"/>
    <w:rsid w:val="0057628C"/>
    <w:rsid w:val="00584313"/>
    <w:rsid w:val="005924C9"/>
    <w:rsid w:val="005A2EB8"/>
    <w:rsid w:val="005B6107"/>
    <w:rsid w:val="005D1A36"/>
    <w:rsid w:val="005F20ED"/>
    <w:rsid w:val="005F64CA"/>
    <w:rsid w:val="00606368"/>
    <w:rsid w:val="0063557D"/>
    <w:rsid w:val="00637DB9"/>
    <w:rsid w:val="006445BC"/>
    <w:rsid w:val="00656301"/>
    <w:rsid w:val="00665CE3"/>
    <w:rsid w:val="0069174C"/>
    <w:rsid w:val="006918FE"/>
    <w:rsid w:val="00696BF6"/>
    <w:rsid w:val="0069755A"/>
    <w:rsid w:val="006B2680"/>
    <w:rsid w:val="006B4B3F"/>
    <w:rsid w:val="006C2108"/>
    <w:rsid w:val="006D0910"/>
    <w:rsid w:val="006F219C"/>
    <w:rsid w:val="006F44AA"/>
    <w:rsid w:val="007079E5"/>
    <w:rsid w:val="00720C48"/>
    <w:rsid w:val="007217BD"/>
    <w:rsid w:val="00732EFC"/>
    <w:rsid w:val="007428E7"/>
    <w:rsid w:val="00746F9F"/>
    <w:rsid w:val="00747481"/>
    <w:rsid w:val="00756258"/>
    <w:rsid w:val="00760CA4"/>
    <w:rsid w:val="00765153"/>
    <w:rsid w:val="00787AC9"/>
    <w:rsid w:val="00787D9C"/>
    <w:rsid w:val="00795F45"/>
    <w:rsid w:val="007A3841"/>
    <w:rsid w:val="007C2914"/>
    <w:rsid w:val="007C2E9F"/>
    <w:rsid w:val="007C4213"/>
    <w:rsid w:val="007C77BD"/>
    <w:rsid w:val="007D0966"/>
    <w:rsid w:val="007D58EA"/>
    <w:rsid w:val="007D5E10"/>
    <w:rsid w:val="007E362D"/>
    <w:rsid w:val="00846608"/>
    <w:rsid w:val="00852920"/>
    <w:rsid w:val="00853E72"/>
    <w:rsid w:val="00854E28"/>
    <w:rsid w:val="00855A92"/>
    <w:rsid w:val="008836D8"/>
    <w:rsid w:val="00885A35"/>
    <w:rsid w:val="00890350"/>
    <w:rsid w:val="00893C3C"/>
    <w:rsid w:val="008A5C70"/>
    <w:rsid w:val="008D3386"/>
    <w:rsid w:val="008E2669"/>
    <w:rsid w:val="008E4884"/>
    <w:rsid w:val="008F4B46"/>
    <w:rsid w:val="00940BC1"/>
    <w:rsid w:val="009454FC"/>
    <w:rsid w:val="009579F7"/>
    <w:rsid w:val="009636A6"/>
    <w:rsid w:val="0097169C"/>
    <w:rsid w:val="009A757B"/>
    <w:rsid w:val="009B1679"/>
    <w:rsid w:val="009C37CC"/>
    <w:rsid w:val="009C7FC7"/>
    <w:rsid w:val="009D0269"/>
    <w:rsid w:val="009E19BF"/>
    <w:rsid w:val="009E4059"/>
    <w:rsid w:val="009F0EF8"/>
    <w:rsid w:val="00A15945"/>
    <w:rsid w:val="00A42EF5"/>
    <w:rsid w:val="00A50729"/>
    <w:rsid w:val="00A54DE5"/>
    <w:rsid w:val="00A60668"/>
    <w:rsid w:val="00A9474C"/>
    <w:rsid w:val="00AA1665"/>
    <w:rsid w:val="00AA5399"/>
    <w:rsid w:val="00AC4CCE"/>
    <w:rsid w:val="00AC52C6"/>
    <w:rsid w:val="00AD65CC"/>
    <w:rsid w:val="00AD7837"/>
    <w:rsid w:val="00B02BDB"/>
    <w:rsid w:val="00B03240"/>
    <w:rsid w:val="00B0347D"/>
    <w:rsid w:val="00B833F3"/>
    <w:rsid w:val="00B93F34"/>
    <w:rsid w:val="00B97F97"/>
    <w:rsid w:val="00BA09A3"/>
    <w:rsid w:val="00BA2FCA"/>
    <w:rsid w:val="00BA7273"/>
    <w:rsid w:val="00BD0880"/>
    <w:rsid w:val="00BE32F2"/>
    <w:rsid w:val="00BE71CC"/>
    <w:rsid w:val="00BF194B"/>
    <w:rsid w:val="00C0211F"/>
    <w:rsid w:val="00C06D1E"/>
    <w:rsid w:val="00C30333"/>
    <w:rsid w:val="00C35CC5"/>
    <w:rsid w:val="00C4502A"/>
    <w:rsid w:val="00C51ADC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D11073"/>
    <w:rsid w:val="00D15B56"/>
    <w:rsid w:val="00D22379"/>
    <w:rsid w:val="00D24673"/>
    <w:rsid w:val="00D4588A"/>
    <w:rsid w:val="00D82284"/>
    <w:rsid w:val="00D86F30"/>
    <w:rsid w:val="00D925C9"/>
    <w:rsid w:val="00D92FDC"/>
    <w:rsid w:val="00D9552D"/>
    <w:rsid w:val="00D97569"/>
    <w:rsid w:val="00DE1D3A"/>
    <w:rsid w:val="00DE4310"/>
    <w:rsid w:val="00DF5CB6"/>
    <w:rsid w:val="00E36A7E"/>
    <w:rsid w:val="00E449A1"/>
    <w:rsid w:val="00E61062"/>
    <w:rsid w:val="00E72C35"/>
    <w:rsid w:val="00E9738E"/>
    <w:rsid w:val="00EA3910"/>
    <w:rsid w:val="00EC7688"/>
    <w:rsid w:val="00EC7E05"/>
    <w:rsid w:val="00EE492B"/>
    <w:rsid w:val="00F028D0"/>
    <w:rsid w:val="00F05158"/>
    <w:rsid w:val="00F450B0"/>
    <w:rsid w:val="00F50EED"/>
    <w:rsid w:val="00F5677A"/>
    <w:rsid w:val="00F93ADC"/>
    <w:rsid w:val="00F948C9"/>
    <w:rsid w:val="00F979AA"/>
    <w:rsid w:val="00FD7F19"/>
    <w:rsid w:val="00FE3643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757A048-AB70-4453-9719-B32E171D8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56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link w:val="a5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D9756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97569"/>
    <w:rPr>
      <w:sz w:val="36"/>
      <w:szCs w:val="52"/>
    </w:rPr>
  </w:style>
  <w:style w:type="paragraph" w:customStyle="1" w:styleId="Cover3-Haknesset">
    <w:name w:val="Cover 3-Haknesset"/>
    <w:basedOn w:val="Cover1-Reshumot"/>
    <w:rsid w:val="00D97569"/>
    <w:rPr>
      <w:b/>
      <w:bCs/>
      <w:spacing w:val="60"/>
    </w:rPr>
  </w:style>
  <w:style w:type="paragraph" w:customStyle="1" w:styleId="Cover4-Date">
    <w:name w:val="Cover 4-Date"/>
    <w:basedOn w:val="a"/>
    <w:rsid w:val="00D9756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6">
    <w:name w:val="endnote reference"/>
    <w:basedOn w:val="a0"/>
    <w:semiHidden/>
    <w:rsid w:val="00D97569"/>
    <w:rPr>
      <w:vertAlign w:val="superscript"/>
    </w:rPr>
  </w:style>
  <w:style w:type="paragraph" w:customStyle="1" w:styleId="Ragil">
    <w:name w:val="Ragil"/>
    <w:basedOn w:val="a"/>
    <w:rsid w:val="00D9756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7">
    <w:name w:val="endnote text"/>
    <w:basedOn w:val="a"/>
    <w:semiHidden/>
    <w:rsid w:val="00D97569"/>
    <w:pPr>
      <w:ind w:left="227" w:hanging="227"/>
    </w:pPr>
    <w:rPr>
      <w:sz w:val="14"/>
      <w:szCs w:val="22"/>
    </w:rPr>
  </w:style>
  <w:style w:type="paragraph" w:styleId="a8">
    <w:name w:val="footer"/>
    <w:basedOn w:val="a"/>
    <w:rsid w:val="00D97569"/>
    <w:pPr>
      <w:tabs>
        <w:tab w:val="center" w:pos="4153"/>
        <w:tab w:val="right" w:pos="8306"/>
      </w:tabs>
    </w:pPr>
  </w:style>
  <w:style w:type="character" w:styleId="a9">
    <w:name w:val="footnote reference"/>
    <w:aliases w:val="Footnote Reference"/>
    <w:basedOn w:val="a0"/>
    <w:semiHidden/>
    <w:rsid w:val="00D97569"/>
    <w:rPr>
      <w:vertAlign w:val="superscript"/>
    </w:rPr>
  </w:style>
  <w:style w:type="paragraph" w:styleId="aa">
    <w:name w:val="footnote text"/>
    <w:basedOn w:val="a"/>
    <w:link w:val="ab"/>
    <w:autoRedefine/>
    <w:semiHidden/>
    <w:rsid w:val="00D9756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D9756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D9756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97569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D9756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c">
    <w:name w:val="header"/>
    <w:basedOn w:val="a"/>
    <w:link w:val="ad"/>
    <w:rsid w:val="00D97569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D9756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D97569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9756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97569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e">
    <w:name w:val="page number"/>
    <w:basedOn w:val="a0"/>
    <w:rsid w:val="00D97569"/>
  </w:style>
  <w:style w:type="paragraph" w:customStyle="1" w:styleId="TableText">
    <w:name w:val="Table Text"/>
    <w:basedOn w:val="a"/>
    <w:rsid w:val="00D9756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97569"/>
    <w:pPr>
      <w:ind w:right="0"/>
      <w:jc w:val="both"/>
    </w:pPr>
  </w:style>
  <w:style w:type="paragraph" w:customStyle="1" w:styleId="TableBlockOutdent">
    <w:name w:val="Table BlockOutdent"/>
    <w:basedOn w:val="TableBlock"/>
    <w:rsid w:val="00D97569"/>
    <w:pPr>
      <w:ind w:left="624" w:hanging="624"/>
    </w:pPr>
  </w:style>
  <w:style w:type="table" w:styleId="af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D97569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97569"/>
  </w:style>
  <w:style w:type="paragraph" w:customStyle="1" w:styleId="TableInnerSideHeading">
    <w:name w:val="Table InnerSideHeading"/>
    <w:basedOn w:val="TableSideHeading"/>
    <w:rsid w:val="00D97569"/>
  </w:style>
  <w:style w:type="paragraph" w:customStyle="1" w:styleId="TableText2">
    <w:name w:val="Table Text2"/>
    <w:basedOn w:val="TableText"/>
    <w:rsid w:val="009579F7"/>
  </w:style>
  <w:style w:type="paragraph" w:styleId="af0">
    <w:name w:val="Title"/>
    <w:basedOn w:val="a"/>
    <w:link w:val="af1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b">
    <w:name w:val="טקסט הערת שוליים תו"/>
    <w:link w:val="aa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1">
    <w:name w:val="כותרת טקסט תו"/>
    <w:link w:val="af0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2">
    <w:name w:val="Placeholder Text"/>
    <w:basedOn w:val="a0"/>
    <w:uiPriority w:val="99"/>
    <w:semiHidden/>
    <w:rsid w:val="00294114"/>
    <w:rPr>
      <w:color w:val="808080"/>
    </w:rPr>
  </w:style>
  <w:style w:type="paragraph" w:styleId="af3">
    <w:name w:val="Balloon Text"/>
    <w:basedOn w:val="a"/>
    <w:link w:val="af4"/>
    <w:rsid w:val="00294114"/>
    <w:rPr>
      <w:rFonts w:ascii="Tahoma" w:hAnsi="Tahoma" w:cs="Tahoma"/>
      <w:sz w:val="16"/>
      <w:szCs w:val="16"/>
    </w:rPr>
  </w:style>
  <w:style w:type="character" w:customStyle="1" w:styleId="af4">
    <w:name w:val="טקסט בלונים תו"/>
    <w:basedOn w:val="a0"/>
    <w:link w:val="af3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d">
    <w:name w:val="כותרת עליונה תו"/>
    <w:link w:val="ac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5">
    <w:name w:val="annotation subject"/>
    <w:basedOn w:val="a4"/>
    <w:next w:val="a4"/>
    <w:link w:val="af6"/>
    <w:semiHidden/>
    <w:unhideWhenUsed/>
    <w:rsid w:val="007A3841"/>
    <w:pPr>
      <w:spacing w:line="240" w:lineRule="auto"/>
    </w:pPr>
    <w:rPr>
      <w:b/>
      <w:bCs/>
    </w:rPr>
  </w:style>
  <w:style w:type="character" w:customStyle="1" w:styleId="a5">
    <w:name w:val="טקסט הערה תו"/>
    <w:basedOn w:val="a0"/>
    <w:link w:val="a4"/>
    <w:semiHidden/>
    <w:rsid w:val="007A3841"/>
    <w:rPr>
      <w:rFonts w:ascii="Hadasa Roso SL" w:eastAsia="MS Mincho" w:hAnsi="Hadasa Roso SL" w:cs="Hadasa Roso SL"/>
      <w:color w:val="000000"/>
      <w:spacing w:val="1"/>
      <w:lang w:eastAsia="ja-JP"/>
    </w:rPr>
  </w:style>
  <w:style w:type="character" w:customStyle="1" w:styleId="af6">
    <w:name w:val="נושא הערה תו"/>
    <w:basedOn w:val="a5"/>
    <w:link w:val="af5"/>
    <w:semiHidden/>
    <w:rsid w:val="007A3841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7">
    <w:name w:val="List Paragraph"/>
    <w:basedOn w:val="a"/>
    <w:uiPriority w:val="34"/>
    <w:qFormat/>
    <w:rsid w:val="00F979AA"/>
    <w:pPr>
      <w:widowControl/>
      <w:autoSpaceDE/>
      <w:autoSpaceDN/>
      <w:adjustRightInd/>
      <w:spacing w:before="0" w:line="240" w:lineRule="auto"/>
      <w:ind w:left="720" w:firstLine="0"/>
      <w:jc w:val="left"/>
      <w:textAlignment w:val="auto"/>
    </w:pPr>
    <w:rPr>
      <w:rFonts w:ascii="Calibri" w:eastAsiaTheme="minorHAnsi" w:hAnsi="Calibri" w:cs="Times New Roman"/>
      <w:color w:val="auto"/>
      <w:spacing w:val="0"/>
      <w:sz w:val="22"/>
      <w:szCs w:val="22"/>
      <w:lang w:eastAsia="en-US"/>
    </w:rPr>
  </w:style>
  <w:style w:type="character" w:customStyle="1" w:styleId="P00">
    <w:name w:val="P00 תו"/>
    <w:basedOn w:val="a0"/>
    <w:link w:val="P000"/>
    <w:locked/>
    <w:rsid w:val="00D97569"/>
    <w:rPr>
      <w:rFonts w:cs="FrankRuehl"/>
      <w:noProof/>
      <w:szCs w:val="26"/>
      <w:lang w:eastAsia="he-IL"/>
    </w:rPr>
  </w:style>
  <w:style w:type="paragraph" w:customStyle="1" w:styleId="P000">
    <w:name w:val="P00"/>
    <w:link w:val="P00"/>
    <w:rsid w:val="00D9756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basedOn w:val="a0"/>
    <w:rsid w:val="00D97569"/>
    <w:rPr>
      <w:rFonts w:ascii="Times New Roman" w:hAnsi="Times New Roman" w:cs="Times New Roman" w:hint="default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2258C3-DA4A-4839-A245-DCFA54DB47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DAA931-9BB7-4A6D-93E7-05FCA05090FA}"/>
</file>

<file path=customXml/itemProps4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9C99D499-0882-41ED-8090-8CF7A739E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1598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שי גרשון מאיר</cp:lastModifiedBy>
  <cp:revision>2</cp:revision>
  <cp:lastPrinted>2016-11-06T12:02:00Z</cp:lastPrinted>
  <dcterms:created xsi:type="dcterms:W3CDTF">2016-11-17T12:36:00Z</dcterms:created>
  <dcterms:modified xsi:type="dcterms:W3CDTF">2016-11-17T12:36:00Z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1b76dfed-64ba-4bc6-bc60-bda9d224a11b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2009131</vt:r8>
  </property>
</Properties>
</file>